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absence of a net-power window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jc w:val="center"/>
      </w:pPr>
      <w:r>
        <w:rPr>
          <w:b w:val="0"/>
          <w:i/>
          <w:sz w:val="19"/>
        </w:rPr>
        <w:t>Draft for submission to Physics of Plasmas (journal-neutral abstract; also suitable for Computer Physics Communications / Plasma Physics and Controlled Fusion).</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4.4e-16, Wang 3.6e-16, Nevins–Swain 3.5e-16 cm3/s), and that this spread alone determines whether the thermal fusion-to-bremsstrahlung ratio sits above (~1.20) or at (~1.01) threshold under an identical self-consistent electron temperature (Te/Ti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4x10</w:t>
      </w:r>
      <w:r>
        <w:rPr>
          <w:b w:val="0"/>
          <w:i w:val="0"/>
          <w:vertAlign w:val="superscript"/>
        </w:rPr>
        <w:t>6</w:t>
      </w:r>
      <w:r>
        <w:rPr>
          <w:b w:val="0"/>
          <w:i w:val="0"/>
        </w:rPr>
        <w:t xml:space="preserve"> parameter combinations and find no positive net-power island under conservative (Rider) accounting; a time-dependent treatment shows the transient Te&lt;Ti window yields cycle-integrated gain &lt;&lt;1;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[Putvinski 2019]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[Tentori &amp; Belloni 2023; Wang et al. 2026] revise the reactivity relative to the long-standing Nevins–Swain parametrization [Nevins &amp; Swain 2000]. Second, kinetic effects—suprathermal proton tails sustained by slowing-down alpha particles, and nuclear (R-matrix) enhancement of large-angle alpha–proton elastic scattering [Belloni 2021]—have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[Baalrud et al. 2025, PoP 32, 102709; Ochs 2026, PoP 33, 012703; Morozov et al. 2026, PoP 33, 042705].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 Table 1 "this work" column, three energy segments with bare-amplitude Breit–Wigner resonances;</w:t>
      </w:r>
    </w:p>
    <w:p>
      <w:pPr>
        <w:pStyle w:val="ListBullet"/>
      </w:pPr>
      <w:r>
        <w:rPr>
          <w:b/>
          <w:i w:val="0"/>
        </w:rPr>
        <w:t>Wang et al. 2026 (Wang)</w:t>
      </w:r>
      <w:r>
        <w:rPr>
          <w:b w:val="0"/>
          <w:i w:val="0"/>
        </w:rPr>
        <w:t xml:space="preserve"> — Table 1, five resonances, the 148 keV narrow resonance retained;</w:t>
      </w:r>
    </w:p>
    <w:p>
      <w:pPr>
        <w:pStyle w:val="ListBullet"/>
      </w:pPr>
      <w:r>
        <w:rPr>
          <w:b/>
          <w:i w:val="0"/>
        </w:rPr>
        <w:t>Nevins–Swain 2000 (NS)</w:t>
      </w:r>
      <w:r>
        <w:rPr>
          <w:b w:val="0"/>
          <w:i w:val="0"/>
        </w:rPr>
        <w:t xml:space="preserve">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[Nevins &amp; Swain 2000];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[Frontiers Nucl. Eng. 2026].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of large-angle α–p elastic scattering. The latter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(Wang, </w:t>
      </w:r>
      <w:r>
        <w:rPr>
          <w:b w:val="0"/>
          <w:i w:val="0"/>
        </w:rPr>
        <w:t>T</w:t>
      </w:r>
      <w:r>
        <w:rPr>
          <w:b w:val="0"/>
          <w:i w:val="0"/>
          <w:vertAlign w:val="subscript"/>
        </w:rPr>
        <w:t>i</w:t>
      </w:r>
      <w:r>
        <w:rPr>
          <w:b w:val="0"/>
          <w:i w:val="0"/>
        </w:rPr>
        <w:t xml:space="preserve"> = 180 keV) 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(equilibrium).</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 and the parameter projection of the rare positive samples.</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Te&lt;Ti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2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[Putvinski 2019]; the present study is a </w:t>
      </w:r>
      <w:r>
        <w:rPr>
          <w:b w:val="0"/>
          <w:i/>
        </w:rPr>
        <w:t>confirmation within uncertainty</w:t>
      </w:r>
      <w:r>
        <w:rPr>
          <w:b w:val="0"/>
          <w:i w:val="0"/>
        </w:rPr>
        <w:t>, not a contradiction. The combinatorial, transient, and spatial regimes provide four independent realizations of the recirculating-power limit on non-equilibrium fusion systems [Rider 1995, 1997]: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[Ochs et al. 2022;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 xml:space="preserve">All numerical results are reproduced by the released code (branch </w:t>
      </w:r>
      <w:r>
        <w:rPr>
          <w:rFonts w:ascii="Consolas" w:hAnsi="Consolas"/>
          <w:sz w:val="20"/>
        </w:rPr>
        <w:t>faithful-cross-section</w:t>
      </w:r>
      <w:r>
        <w:rPr>
          <w:b w:val="0"/>
          <w:i w:val="0"/>
        </w:rPr>
        <w:t>; commit hash to be pinned at submission) with a fixed environment (numpy 2.x, scipy 1.x, matplotlib 3.x).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principal results were reproduced by an independent from-scratch reimplementation, and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r>
        <w:rPr>
          <w:b w:val="0"/>
          <w:i/>
        </w:rPr>
        <w:t>(Reference list to be completed/formatted to AIP style at submission. Citations for items 9 and 11 were web-verified against arXiv/AIP/IOP; for the PoP 32, 102709 (2025) item the first author is confirmed as S. D. Baalrud via the AIP listing, to be re-verified against the full author list at submission.)</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 </w:t>
      </w:r>
      <w:r>
        <w:rPr>
          <w:b w:val="0"/>
          <w:i/>
          <w:sz w:val="20"/>
        </w:rPr>
        <w:t>(figures/cros</w:t>
      </w:r>
      <w:r>
        <w:rPr>
          <w:b w:val="0"/>
          <w:i/>
          <w:sz w:val="20"/>
        </w:rPr>
        <w:t>s</w:t>
      </w:r>
      <w:r>
        <w:rPr>
          <w:b w:val="0"/>
          <w:i/>
          <w:sz w:val="20"/>
          <w:vertAlign w:val="subscript"/>
        </w:rPr>
        <w:t>section</w:t>
      </w:r>
      <w:r>
        <w:rPr>
          <w:b w:val="0"/>
          <w:i/>
          <w:sz w:val="20"/>
        </w:rPr>
        <w:t>_comparison.png)</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 </w:t>
      </w:r>
      <w:r>
        <w:rPr>
          <w:b w:val="0"/>
          <w:i/>
          <w:sz w:val="20"/>
        </w:rPr>
        <w:t>(figures/sensitivit</w:t>
      </w:r>
      <w:r>
        <w:rPr>
          <w:b w:val="0"/>
          <w:i/>
          <w:sz w:val="20"/>
        </w:rPr>
        <w:t>y</w:t>
      </w:r>
      <w:r>
        <w:rPr>
          <w:b w:val="0"/>
          <w:i/>
          <w:sz w:val="20"/>
          <w:vertAlign w:val="subscript"/>
        </w:rPr>
        <w:t>2d</w:t>
      </w:r>
      <w:r>
        <w:rPr>
          <w:b w:val="0"/>
          <w:i/>
          <w:sz w:val="20"/>
        </w:rPr>
        <w:t>.png)</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1832052"/>
            <wp:docPr id="4" name="Picture 4"/>
            <wp:cNvGraphicFramePr>
              <a:graphicFrameLocks noChangeAspect="1"/>
            </wp:cNvGraphicFramePr>
            <a:graphic>
              <a:graphicData uri="http://schemas.openxmlformats.org/drawingml/2006/picture">
                <pic:pic>
                  <pic:nvPicPr>
                    <pic:cNvPr id="0" name="montecarlo_projection.png"/>
                    <pic:cNvPicPr/>
                  </pic:nvPicPr>
                  <pic:blipFill>
                    <a:blip r:embed="rId12"/>
                    <a:stretch>
                      <a:fillRect/>
                    </a:stretch>
                  </pic:blipFill>
                  <pic:spPr>
                    <a:xfrm>
                      <a:off x="0" y="0"/>
                      <a:ext cx="5852160" cy="1832052"/>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Top: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 </w:t>
      </w:r>
      <w:r>
        <w:rPr>
          <w:b w:val="0"/>
          <w:i/>
          <w:sz w:val="20"/>
        </w:rPr>
        <w:t>(figures/montecarl</w:t>
      </w:r>
      <w:r>
        <w:rPr>
          <w:b w:val="0"/>
          <w:i/>
          <w:sz w:val="20"/>
        </w:rPr>
        <w:t>o</w:t>
      </w:r>
      <w:r>
        <w:rPr>
          <w:b w:val="0"/>
          <w:i/>
          <w:sz w:val="20"/>
          <w:vertAlign w:val="subscript"/>
        </w:rPr>
        <w:t>hist</w:t>
      </w:r>
      <w:r>
        <w:rPr>
          <w:b w:val="0"/>
          <w:i/>
          <w:sz w:val="20"/>
        </w:rPr>
        <w:t>.png, figures/montecarl</w:t>
      </w:r>
      <w:r>
        <w:rPr>
          <w:b w:val="0"/>
          <w:i/>
          <w:sz w:val="20"/>
        </w:rPr>
        <w:t>o</w:t>
      </w:r>
      <w:r>
        <w:rPr>
          <w:b w:val="0"/>
          <w:i/>
          <w:sz w:val="20"/>
          <w:vertAlign w:val="subscript"/>
        </w:rPr>
        <w:t>projection</w:t>
      </w:r>
      <w:r>
        <w:rPr>
          <w:b w:val="0"/>
          <w:i/>
          <w:sz w:val="20"/>
        </w:rPr>
        <w:t>.png)</w:t>
      </w:r>
    </w:p>
    <w:p>
      <w:pPr>
        <w:spacing w:before="120"/>
        <w:jc w:val="center"/>
      </w:pPr>
      <w:r>
        <w:drawing>
          <wp:inline xmlns:a="http://schemas.openxmlformats.org/drawingml/2006/main" xmlns:pic="http://schemas.openxmlformats.org/drawingml/2006/picture">
            <wp:extent cx="5852160" cy="4114327"/>
            <wp:docPr id="5" name="Picture 5"/>
            <wp:cNvGraphicFramePr>
              <a:graphicFrameLocks noChangeAspect="1"/>
            </wp:cNvGraphicFramePr>
            <a:graphic>
              <a:graphicData uri="http://schemas.openxmlformats.org/drawingml/2006/picture">
                <pic:pic>
                  <pic:nvPicPr>
                    <pic:cNvPr id="0" name="pulsed_timeseries.png"/>
                    <pic:cNvPicPr/>
                  </pic:nvPicPr>
                  <pic:blipFill>
                    <a:blip r:embed="rId13"/>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6" name="Picture 6"/>
            <wp:cNvGraphicFramePr>
              <a:graphicFrameLocks noChangeAspect="1"/>
            </wp:cNvGraphicFramePr>
            <a:graphic>
              <a:graphicData uri="http://schemas.openxmlformats.org/drawingml/2006/picture">
                <pic:pic>
                  <pic:nvPicPr>
                    <pic:cNvPr id="0" name="pulsed_Gmap.png"/>
                    <pic:cNvPicPr/>
                  </pic:nvPicPr>
                  <pic:blipFill>
                    <a:blip r:embed="rId14"/>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Te&lt;Ti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 </w:t>
      </w:r>
      <w:r>
        <w:rPr>
          <w:b w:val="0"/>
          <w:i/>
          <w:sz w:val="20"/>
        </w:rPr>
        <w:t>(figures/pulse</w:t>
      </w:r>
      <w:r>
        <w:rPr>
          <w:b w:val="0"/>
          <w:i/>
          <w:sz w:val="20"/>
        </w:rPr>
        <w:t>d</w:t>
      </w:r>
      <w:r>
        <w:rPr>
          <w:b w:val="0"/>
          <w:i/>
          <w:sz w:val="20"/>
          <w:vertAlign w:val="subscript"/>
        </w:rPr>
        <w:t>timeseries</w:t>
      </w:r>
      <w:r>
        <w:rPr>
          <w:b w:val="0"/>
          <w:i/>
          <w:sz w:val="20"/>
        </w:rPr>
        <w:t>.png, figures/pulse</w:t>
      </w:r>
      <w:r>
        <w:rPr>
          <w:b w:val="0"/>
          <w:i/>
          <w:sz w:val="20"/>
        </w:rPr>
        <w:t>d</w:t>
      </w:r>
      <w:r>
        <w:rPr>
          <w:b w:val="0"/>
          <w:i/>
          <w:sz w:val="20"/>
          <w:vertAlign w:val="subscript"/>
        </w:rPr>
        <w:t>Gmap</w:t>
      </w:r>
      <w:r>
        <w:rPr>
          <w:b w:val="0"/>
          <w:i/>
          <w:sz w:val="20"/>
        </w:rPr>
        <w:t>.png)</w:t>
      </w:r>
    </w:p>
    <w:p>
      <w:pPr>
        <w:spacing w:before="120"/>
        <w:jc w:val="center"/>
      </w:pPr>
      <w:r>
        <w:drawing>
          <wp:inline xmlns:a="http://schemas.openxmlformats.org/drawingml/2006/main" xmlns:pic="http://schemas.openxmlformats.org/drawingml/2006/picture">
            <wp:extent cx="5852160" cy="1746757"/>
            <wp:docPr id="7" name="Picture 7"/>
            <wp:cNvGraphicFramePr>
              <a:graphicFrameLocks noChangeAspect="1"/>
            </wp:cNvGraphicFramePr>
            <a:graphic>
              <a:graphicData uri="http://schemas.openxmlformats.org/drawingml/2006/picture">
                <pic:pic>
                  <pic:nvPicPr>
                    <pic:cNvPr id="0" name="radial_profiles.png"/>
                    <pic:cNvPicPr/>
                  </pic:nvPicPr>
                  <pic:blipFill>
                    <a:blip r:embed="rId15"/>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8" name="Picture 8"/>
            <wp:cNvGraphicFramePr>
              <a:graphicFrameLocks noChangeAspect="1"/>
            </wp:cNvGraphicFramePr>
            <a:graphic>
              <a:graphicData uri="http://schemas.openxmlformats.org/drawingml/2006/picture">
                <pic:pic>
                  <pic:nvPicPr>
                    <pic:cNvPr id="0" name="radial_Pnet_maps.png"/>
                    <pic:cNvPicPr/>
                  </pic:nvPicPr>
                  <pic:blipFill>
                    <a:blip r:embed="rId16"/>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xml:space="preserve">, B) plane for Bohm and gyro-Bohm diffusivity. </w:t>
      </w:r>
      <w:r>
        <w:rPr>
          <w:b w:val="0"/>
          <w:i/>
          <w:sz w:val="20"/>
        </w:rPr>
        <w:t>(figures/radia</w:t>
      </w:r>
      <w:r>
        <w:rPr>
          <w:b w:val="0"/>
          <w:i/>
          <w:sz w:val="20"/>
        </w:rPr>
        <w:t>l</w:t>
      </w:r>
      <w:r>
        <w:rPr>
          <w:b w:val="0"/>
          <w:i/>
          <w:sz w:val="20"/>
          <w:vertAlign w:val="subscript"/>
        </w:rPr>
        <w:t>profiles</w:t>
      </w:r>
      <w:r>
        <w:rPr>
          <w:b w:val="0"/>
          <w:i/>
          <w:sz w:val="20"/>
        </w:rPr>
        <w:t>.png, figures/radia</w:t>
      </w:r>
      <w:r>
        <w:rPr>
          <w:b w:val="0"/>
          <w:i/>
          <w:sz w:val="20"/>
        </w:rPr>
        <w:t>l</w:t>
      </w:r>
      <w:r>
        <w:rPr>
          <w:b w:val="0"/>
          <w:i/>
          <w:sz w:val="20"/>
          <w:vertAlign w:val="subscript"/>
        </w:rPr>
        <w:t>Pnet</w:t>
      </w:r>
      <w:r>
        <w:rPr>
          <w:b w:val="0"/>
          <w:i/>
          <w:sz w:val="20"/>
        </w:rPr>
        <w:t>_maps.png)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