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4.4e-16, Wang 3.6e-16, Nevins–Swain 3.5e-16 cm3/s), and that this spread alone determines whether the thermal fusion-to-bremsstrahlung ratio sits above (~1.20) or at (~1.01) threshold under an identical self-consistent electron temperature (Te/Ti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4x10</w:t>
      </w:r>
      <w:r>
        <w:rPr>
          <w:b w:val="0"/>
          <w:i w:val="0"/>
          <w:vertAlign w:val="superscript"/>
        </w:rPr>
        <w:t>6</w:t>
      </w:r>
      <w:r>
        <w:rPr>
          <w:b w:val="0"/>
          <w:i w:val="0"/>
        </w:rPr>
        <w:t xml:space="preserve"> parameter combinations and find no positive net-power island under conservative (Rider) accounting; a time-dependent treatment shows the transient Te&lt;Ti window yields cycle-integrated gain &lt;&lt;1;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latter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Two independent accounting approaches bracket the conservative margin at </w:t>
      </w:r>
      <w:r>
        <w:rPr>
          <w:b/>
          <w:i w:val="0"/>
        </w:rPr>
        <w:t>−14% to −76%</w:t>
      </w:r>
      <w:r>
        <w:rPr>
          <w:b w:val="0"/>
          <w:i w:val="0"/>
        </w:rPr>
        <w:t>, both negative. Figure 3 shows the net-power distribution and the parameter projection of the rare positive samples.</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Te&lt;Ti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Data availability</w:t>
      </w:r>
    </w:p>
    <w:p>
      <w:r>
        <w:rPr>
          <w:b w:val="0"/>
          <w:i w:val="0"/>
        </w:rPr>
        <w:t xml:space="preserve">All numerical results are reproduced by the released code (branch </w:t>
      </w:r>
      <w:r>
        <w:rPr>
          <w:rFonts w:ascii="Consolas" w:hAnsi="Consolas"/>
          <w:sz w:val="20"/>
        </w:rPr>
        <w:t>faithful-cross-section</w:t>
      </w:r>
      <w:r>
        <w:rPr>
          <w:b w:val="0"/>
          <w:i w:val="0"/>
        </w:rPr>
        <w:t>) with a fixed environment (numpy 2.x, scipy 1.x, matplotlib 3.x).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principal results were reproduced by an independent from-scratch reimplementation, and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1832052"/>
            <wp:docPr id="4" name="Picture 4"/>
            <wp:cNvGraphicFramePr>
              <a:graphicFrameLocks noChangeAspect="1"/>
            </wp:cNvGraphicFramePr>
            <a:graphic>
              <a:graphicData uri="http://schemas.openxmlformats.org/drawingml/2006/picture">
                <pic:pic>
                  <pic:nvPicPr>
                    <pic:cNvPr id="0" name="montecarlo_projection.png"/>
                    <pic:cNvPicPr/>
                  </pic:nvPicPr>
                  <pic:blipFill>
                    <a:blip r:embed="rId12"/>
                    <a:stretch>
                      <a:fillRect/>
                    </a:stretch>
                  </pic:blipFill>
                  <pic:spPr>
                    <a:xfrm>
                      <a:off x="0" y="0"/>
                      <a:ext cx="5852160" cy="1832052"/>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Top: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5" name="Picture 5"/>
            <wp:cNvGraphicFramePr>
              <a:graphicFrameLocks noChangeAspect="1"/>
            </wp:cNvGraphicFramePr>
            <a:graphic>
              <a:graphicData uri="http://schemas.openxmlformats.org/drawingml/2006/picture">
                <pic:pic>
                  <pic:nvPicPr>
                    <pic:cNvPr id="0" name="pulsed_timeseries.png"/>
                    <pic:cNvPicPr/>
                  </pic:nvPicPr>
                  <pic:blipFill>
                    <a:blip r:embed="rId13"/>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6" name="Picture 6"/>
            <wp:cNvGraphicFramePr>
              <a:graphicFrameLocks noChangeAspect="1"/>
            </wp:cNvGraphicFramePr>
            <a:graphic>
              <a:graphicData uri="http://schemas.openxmlformats.org/drawingml/2006/picture">
                <pic:pic>
                  <pic:nvPicPr>
                    <pic:cNvPr id="0" name="pulsed_Gmap.png"/>
                    <pic:cNvPicPr/>
                  </pic:nvPicPr>
                  <pic:blipFill>
                    <a:blip r:embed="rId14"/>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Te&lt;Ti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7" name="Picture 7"/>
            <wp:cNvGraphicFramePr>
              <a:graphicFrameLocks noChangeAspect="1"/>
            </wp:cNvGraphicFramePr>
            <a:graphic>
              <a:graphicData uri="http://schemas.openxmlformats.org/drawingml/2006/picture">
                <pic:pic>
                  <pic:nvPicPr>
                    <pic:cNvPr id="0" name="radial_profiles.png"/>
                    <pic:cNvPicPr/>
                  </pic:nvPicPr>
                  <pic:blipFill>
                    <a:blip r:embed="rId15"/>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8" name="Picture 8"/>
            <wp:cNvGraphicFramePr>
              <a:graphicFrameLocks noChangeAspect="1"/>
            </wp:cNvGraphicFramePr>
            <a:graphic>
              <a:graphicData uri="http://schemas.openxmlformats.org/drawingml/2006/picture">
                <pic:pic>
                  <pic:nvPicPr>
                    <pic:cNvPr id="0" name="radial_Pnet_maps.png"/>
                    <pic:cNvPicPr/>
                  </pic:nvPicPr>
                  <pic:blipFill>
                    <a:blip r:embed="rId16"/>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