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alpha source is normalized per fusion event—each reaction yields three alphas sharing the total Q = 8.68 MeV (mean Q/3 = 2.89 MeV per alpha)—with the birth spectrum taken as a two-Gaussian-plus-background fit to the measured double-peaked 3α spectrum [10], and the laboratory↔CM transform applied as in Sec. II.A. The nuclear enhancement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it is the standard NRL classical value [8], tabulated in the Formulary as 1.69×10⁻³² for </w:t>
      </w:r>
      <w:r>
        <w:rPr>
          <w:b w:val="0"/>
          <w:i w:val="0"/>
        </w:rPr>
        <w:t>T</w:t>
      </w:r>
      <w:r>
        <w:rPr>
          <w:b w:val="0"/>
          <w:i w:val="0"/>
          <w:vertAlign w:val="subscript"/>
        </w:rPr>
        <w:t>e</w:t>
      </w:r>
      <w:r>
        <w:rPr>
          <w:b w:val="0"/>
          <w:i w:val="0"/>
        </w:rPr>
        <w:t xml:space="preserve"> in eV (</w:t>
      </w:r>
      <w:r>
        <w:rPr>
          <w:b w:val="0"/>
          <w:i w:val="0"/>
        </w:rPr>
        <w:t>n</w:t>
      </w:r>
      <w:r>
        <w:rPr>
          <w:b w:val="0"/>
          <w:i w:val="0"/>
          <w:vertAlign w:val="subscript"/>
        </w:rPr>
        <w:t>e</w:t>
      </w:r>
      <w:r>
        <w:rPr>
          <w:b w:val="0"/>
          <w:i w:val="0"/>
        </w:rPr>
        <w:t xml:space="preserve"> in cm⁻³, </w:t>
      </w:r>
      <w:r>
        <w:rPr>
          <w:b w:val="0"/>
          <w:i w:val="0"/>
        </w:rPr>
        <w:t>P</w:t>
      </w:r>
      <w:r>
        <w:rPr>
          <w:b w:val="0"/>
          <w:i w:val="0"/>
          <w:vertAlign w:val="subscript"/>
        </w:rPr>
        <w:t>B</w:t>
      </w:r>
      <w:r>
        <w:rPr>
          <w:b w:val="0"/>
          <w:i w:val="0"/>
        </w:rPr>
        <w:t xml:space="preserve"> in W/cm³) and rescaled here to </w:t>
      </w:r>
      <w:r>
        <w:rPr>
          <w:b w:val="0"/>
          <w:i w:val="0"/>
        </w:rPr>
        <w:t>T</w:t>
      </w:r>
      <w:r>
        <w:rPr>
          <w:b w:val="0"/>
          <w:i w:val="0"/>
          <w:vertAlign w:val="subscript"/>
        </w:rPr>
        <w:t>e</w:t>
      </w:r>
      <w:r>
        <w:rPr>
          <w:b w:val="0"/>
          <w:i w:val="0"/>
        </w:rPr>
        <w:t xml:space="preserve"> in keV (×√1000 = 5.34×10⁻³¹), the natural unit over the 100–600 keV range of interest.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plane is a hyperbola p = p</w:t>
      </w:r>
      <w:r>
        <w:rPr>
          <w:b w:val="0"/>
          <w:i/>
        </w:rPr>
        <w:t xml:space="preserve">. We find </w:t>
      </w:r>
      <w:r>
        <w:rPr>
          <w:b w:val="0"/>
          <w:i/>
        </w:rPr>
        <w:t>p</w:t>
      </w:r>
      <w:r>
        <w:rPr>
          <w:b w:val="0"/>
          <w:i w:val="0"/>
        </w:rPr>
        <w:t>(Wang) = 0.013</w:t>
      </w:r>
      <w:r>
        <w:rPr>
          <w:b/>
          <w:i w:val="0"/>
        </w:rPr>
        <w:t xml:space="preserve"> and </w:t>
      </w:r>
      <w:r>
        <w:rPr>
          <w:b w:val="0"/>
          <w:i w:val="0"/>
        </w:rPr>
        <w:t>p</w:t>
      </w:r>
      <w:r>
        <w:rPr>
          <w:b w:val="0"/>
          <w:i/>
        </w:rPr>
        <w:t>(TB) = 0</w:t>
      </w:r>
      <w:r>
        <w:rPr>
          <w:b w:val="0"/>
          <w:i/>
        </w:rPr>
        <w:t xml:space="preserve"> (TB ignites across the box). Figure 2 shows the resulting 2-D sensitivity map; within the conservative band (channeling efficiency ≤ 0.5) the Wang result is sub-ignition over a finite region and razor-thin elsewhere. This is an </w:t>
      </w:r>
      <w:r>
        <w:rPr>
          <w:b w:val="0"/>
          <w:i w:val="0"/>
        </w:rPr>
        <w:t>identifiability*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w:t>
      </w:r>
      <w:r>
        <w:rPr>
          <w:b w:val="0"/>
          <w:i w:val="0"/>
        </w:rPr>
        <w:t>η</w:t>
      </w:r>
      <w:r>
        <w:rPr>
          <w:b w:val="0"/>
          <w:i w:val="0"/>
          <w:vertAlign w:val="subscript"/>
        </w:rPr>
        <w:t>ch</w:t>
      </w:r>
      <w:r>
        <w:rPr>
          <w:b w:val="0"/>
          <w:i w:val="0"/>
        </w:rPr>
        <w:t xml:space="preserve"> ≤ 0.20,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0.40,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 0.01), which contains zero positive samples. Both positive samples' full coordinates are tabulated in the released </w:t>
      </w:r>
      <w:r>
        <w:rPr>
          <w:rFonts w:ascii="Consolas" w:hAnsi="Consolas"/>
          <w:sz w:val="20"/>
        </w:rPr>
        <w:t>montecarlo_*.csv</w:t>
      </w:r>
      <w:r>
        <w:rPr>
          <w:b w:val="0"/>
          <w:i w:val="0"/>
        </w:rPr>
        <w:t xml:space="preserve">. Two independent accounting approaches bracket the conservative margin at </w:t>
      </w:r>
      <w:r>
        <w:rPr>
          <w:b/>
          <w:i w:val="0"/>
        </w:rPr>
        <w:t>−14% to −76%</w:t>
      </w:r>
      <w:r>
        <w:rPr>
          <w:b w:val="0"/>
          <w:i w:val="0"/>
        </w:rPr>
        <w:t>, both negative. Figure 3 shows the net-power distribution.</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Author declarations</w:t>
      </w:r>
    </w:p>
    <w:p>
      <w:r>
        <w:rPr>
          <w:b/>
          <w:i w:val="0"/>
        </w:rPr>
        <w:t>Conflict of interest.</w:t>
      </w:r>
      <w:r>
        <w:rPr>
          <w:b w:val="0"/>
          <w:i w:val="0"/>
        </w:rPr>
        <w:t xml:space="preserve"> The author has no conflicts to disclose.</w:t>
      </w:r>
    </w:p>
    <w:p>
      <w:r>
        <w:rPr>
          <w:b/>
          <w:i w:val="0"/>
        </w:rPr>
        <w:t>Author contributions.</w:t>
      </w:r>
      <w:r>
        <w:rPr>
          <w:b w:val="0"/>
          <w:i w:val="0"/>
        </w:rPr>
        <w:t xml:space="preserve"> Mehmet Enes Süzek: Conceptualization; Methodology; Software; Validation; Formal analysis; Writing – original draft; Writing – review and editing.</w:t>
      </w:r>
    </w:p>
    <w:p>
      <w:pPr>
        <w:keepNext/>
        <w:spacing w:before="280" w:after="120"/>
      </w:pPr>
      <w:r>
        <w:rPr>
          <w:b/>
          <w:color w:val="1A1A1A"/>
          <w:sz w:val="28"/>
        </w:rPr>
        <w:t>Data availability</w:t>
      </w:r>
    </w:p>
    <w:p>
      <w:r>
        <w:rPr>
          <w:b w:val="0"/>
          <w:i w:val="0"/>
        </w:rPr>
        <w:t>All numerical results are reproduced by the released code with a fixed environment (numpy 2.x, scipy 1.x, matplotlib 3.x). All code and data are archived at Zenodo, DOI: 10.5281/zenodo.21104021 (release v2.1, commit 27495ca), and are also available at https://github.com/msyrt-sys/pB11-kinetic-ignition.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independent from-scratch reimplementation is included in the archive (</w:t>
      </w:r>
      <w:r>
        <w:rPr>
          <w:rFonts w:ascii="Consolas" w:hAnsi="Consolas"/>
          <w:sz w:val="20"/>
        </w:rPr>
        <w:t>validation/</w:t>
      </w:r>
      <w:r>
        <w:rPr>
          <w:b w:val="0"/>
          <w:i w:val="0"/>
        </w:rPr>
        <w:t>), sharing no code with the primary implementation (SI units, an independent integrator, the Wang/Rider bremsstrahlung form), and reproduces the principal results (reactivity to &lt;0.1%, thermal peaks, the combinatorial null, pulsed G&lt;1, and transport dominance). The results are additionally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27011"/>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27011"/>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52320"/>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52320"/>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20208"/>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20208"/>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4327"/>
            <wp:docPr id="4" name="Picture 4"/>
            <wp:cNvGraphicFramePr>
              <a:graphicFrameLocks noChangeAspect="1"/>
            </wp:cNvGraphicFramePr>
            <a:graphic>
              <a:graphicData uri="http://schemas.openxmlformats.org/drawingml/2006/picture">
                <pic:pic>
                  <pic:nvPicPr>
                    <pic:cNvPr id="0" name="pulsed_timeseries.png"/>
                    <pic:cNvPicPr/>
                  </pic:nvPicPr>
                  <pic:blipFill>
                    <a:blip r:embed="rId12"/>
                    <a:stretch>
                      <a:fillRect/>
                    </a:stretch>
                  </pic:blipFill>
                  <pic:spPr>
                    <a:xfrm>
                      <a:off x="0" y="0"/>
                      <a:ext cx="5852160" cy="411432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32078"/>
            <wp:docPr id="5" name="Picture 5"/>
            <wp:cNvGraphicFramePr>
              <a:graphicFrameLocks noChangeAspect="1"/>
            </wp:cNvGraphicFramePr>
            <a:graphic>
              <a:graphicData uri="http://schemas.openxmlformats.org/drawingml/2006/picture">
                <pic:pic>
                  <pic:nvPicPr>
                    <pic:cNvPr id="0" name="pulsed_Gmap.png"/>
                    <pic:cNvPicPr/>
                  </pic:nvPicPr>
                  <pic:blipFill>
                    <a:blip r:embed="rId13"/>
                    <a:stretch>
                      <a:fillRect/>
                    </a:stretch>
                  </pic:blipFill>
                  <pic:spPr>
                    <a:xfrm>
                      <a:off x="0" y="0"/>
                      <a:ext cx="5852160" cy="4332078"/>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46757"/>
            <wp:docPr id="6" name="Picture 6"/>
            <wp:cNvGraphicFramePr>
              <a:graphicFrameLocks noChangeAspect="1"/>
            </wp:cNvGraphicFramePr>
            <a:graphic>
              <a:graphicData uri="http://schemas.openxmlformats.org/drawingml/2006/picture">
                <pic:pic>
                  <pic:nvPicPr>
                    <pic:cNvPr id="0" name="radial_profiles.png"/>
                    <pic:cNvPicPr/>
                  </pic:nvPicPr>
                  <pic:blipFill>
                    <a:blip r:embed="rId14"/>
                    <a:stretch>
                      <a:fillRect/>
                    </a:stretch>
                  </pic:blipFill>
                  <pic:spPr>
                    <a:xfrm>
                      <a:off x="0" y="0"/>
                      <a:ext cx="5852160" cy="174675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9876"/>
            <wp:docPr id="7" name="Picture 7"/>
            <wp:cNvGraphicFramePr>
              <a:graphicFrameLocks noChangeAspect="1"/>
            </wp:cNvGraphicFramePr>
            <a:graphic>
              <a:graphicData uri="http://schemas.openxmlformats.org/drawingml/2006/picture">
                <pic:pic>
                  <pic:nvPicPr>
                    <pic:cNvPr id="0" name="radial_Pnet_maps.png"/>
                    <pic:cNvPicPr/>
                  </pic:nvPicPr>
                  <pic:blipFill>
                    <a:blip r:embed="rId15"/>
                    <a:stretch>
                      <a:fillRect/>
                    </a:stretch>
                  </pic:blipFill>
                  <pic:spPr>
                    <a:xfrm>
                      <a:off x="0" y="0"/>
                      <a:ext cx="5852160" cy="2619876"/>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