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245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488" w:rsidRPr="00BD4488" w14:paraId="23288B67" w14:textId="77777777" w:rsidTr="00BD4488">
        <w:trPr>
          <w:trHeight w:val="6790"/>
        </w:trPr>
        <w:tc>
          <w:tcPr>
            <w:tcW w:w="8296" w:type="dxa"/>
          </w:tcPr>
          <w:p w14:paraId="561AB73C" w14:textId="77777777" w:rsidR="00BD4488" w:rsidRPr="00BD4488" w:rsidRDefault="00BD4488" w:rsidP="00BD4488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  <w:r w:rsidRPr="00BD4488">
              <w:rPr>
                <w:rFonts w:ascii="標楷體" w:eastAsia="標楷體" w:hAnsi="標楷體" w:hint="eastAsia"/>
                <w:sz w:val="36"/>
                <w:szCs w:val="36"/>
              </w:rPr>
              <w:t>臺北高等行政法院 110 年度訴字第 1374 號判決(判決字號)</w:t>
            </w:r>
          </w:p>
          <w:p w14:paraId="59F4533C" w14:textId="77777777" w:rsidR="00BD4488" w:rsidRPr="00BD4488" w:rsidRDefault="00BD4488" w:rsidP="00BD4488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  <w:r w:rsidRPr="00BD4488">
              <w:rPr>
                <w:rFonts w:ascii="標楷體" w:eastAsia="標楷體" w:hAnsi="標楷體" w:hint="eastAsia"/>
                <w:sz w:val="36"/>
                <w:szCs w:val="36"/>
              </w:rPr>
              <w:t>房屋稅稅基以通案式類型觀察的方法評價仍不得背離平等原則(副標題)</w:t>
            </w:r>
          </w:p>
          <w:p w14:paraId="0D2A07DB" w14:textId="77777777" w:rsidR="00BD4488" w:rsidRPr="00BD4488" w:rsidRDefault="00BD4488" w:rsidP="00BD4488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  <w:r w:rsidRPr="00BD4488">
              <w:rPr>
                <w:rFonts w:ascii="標楷體" w:eastAsia="標楷體" w:hAnsi="標楷體" w:hint="eastAsia"/>
                <w:sz w:val="36"/>
                <w:szCs w:val="36"/>
              </w:rPr>
              <w:t>一、事實摘要(事實儘量中立)</w:t>
            </w:r>
          </w:p>
          <w:p w14:paraId="207C14FB" w14:textId="77777777" w:rsidR="00BD4488" w:rsidRPr="00BD4488" w:rsidRDefault="00BD4488" w:rsidP="00BD4488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  <w:r w:rsidRPr="00BD4488">
              <w:rPr>
                <w:rFonts w:ascii="標楷體" w:eastAsia="標楷體" w:hAnsi="標楷體" w:hint="eastAsia"/>
                <w:sz w:val="36"/>
                <w:szCs w:val="36"/>
              </w:rPr>
              <w:t>二、判決主文</w:t>
            </w:r>
          </w:p>
          <w:p w14:paraId="533DB268" w14:textId="77777777" w:rsidR="00BD4488" w:rsidRPr="00BD4488" w:rsidRDefault="00BD4488" w:rsidP="00BD4488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  <w:r w:rsidRPr="00BD4488">
              <w:rPr>
                <w:rFonts w:ascii="標楷體" w:eastAsia="標楷體" w:hAnsi="標楷體" w:hint="eastAsia"/>
                <w:sz w:val="36"/>
                <w:szCs w:val="36"/>
              </w:rPr>
              <w:t>三、判決要旨</w:t>
            </w:r>
          </w:p>
          <w:p w14:paraId="00F215BA" w14:textId="77777777" w:rsidR="00BD4488" w:rsidRPr="00BD4488" w:rsidRDefault="00BD4488" w:rsidP="00BD4488">
            <w:pPr>
              <w:rPr>
                <w:rFonts w:ascii="標楷體" w:eastAsia="標楷體" w:hAnsi="標楷體" w:hint="eastAsia"/>
                <w:sz w:val="36"/>
                <w:szCs w:val="36"/>
              </w:rPr>
            </w:pPr>
            <w:r w:rsidRPr="00BD4488">
              <w:rPr>
                <w:rFonts w:ascii="標楷體" w:eastAsia="標楷體" w:hAnsi="標楷體" w:hint="eastAsia"/>
                <w:sz w:val="36"/>
                <w:szCs w:val="36"/>
              </w:rPr>
              <w:t>四、推薦理由</w:t>
            </w:r>
          </w:p>
          <w:p w14:paraId="62384128" w14:textId="77777777" w:rsidR="00BD4488" w:rsidRPr="00BD4488" w:rsidRDefault="00BD4488" w:rsidP="00BD4488">
            <w:pPr>
              <w:rPr>
                <w:rFonts w:ascii="標楷體" w:eastAsia="標楷體" w:hAnsi="標楷體"/>
              </w:rPr>
            </w:pPr>
            <w:r w:rsidRPr="00BD4488">
              <w:rPr>
                <w:rFonts w:ascii="標楷體" w:eastAsia="標楷體" w:hAnsi="標楷體" w:hint="eastAsia"/>
                <w:sz w:val="36"/>
                <w:szCs w:val="36"/>
              </w:rPr>
              <w:t>五、對判決進一步期待</w:t>
            </w:r>
          </w:p>
        </w:tc>
      </w:tr>
    </w:tbl>
    <w:p w14:paraId="4D14D3F8" w14:textId="7A27186E" w:rsidR="00326F56" w:rsidRPr="00BD4488" w:rsidRDefault="00BD4488" w:rsidP="00BD4488">
      <w:pPr>
        <w:jc w:val="center"/>
        <w:rPr>
          <w:rFonts w:ascii="標楷體" w:eastAsia="標楷體" w:hAnsi="標楷體"/>
          <w:sz w:val="44"/>
          <w:szCs w:val="44"/>
        </w:rPr>
      </w:pPr>
      <w:r w:rsidRPr="00BD4488">
        <w:rPr>
          <w:rFonts w:ascii="標楷體" w:eastAsia="標楷體" w:hAnsi="標楷體" w:hint="eastAsia"/>
          <w:sz w:val="44"/>
          <w:szCs w:val="44"/>
        </w:rPr>
        <w:t>【範例】</w:t>
      </w:r>
    </w:p>
    <w:sectPr w:rsidR="00326F56" w:rsidRPr="00BD44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88"/>
    <w:rsid w:val="00326F56"/>
    <w:rsid w:val="00BD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5A27"/>
  <w15:chartTrackingRefBased/>
  <w15:docId w15:val="{A1103CB1-C347-40A4-91C7-F5A29FC6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4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胤佑 陳</dc:creator>
  <cp:keywords/>
  <dc:description/>
  <cp:lastModifiedBy>胤佑 陳</cp:lastModifiedBy>
  <cp:revision>1</cp:revision>
  <dcterms:created xsi:type="dcterms:W3CDTF">2023-03-08T13:03:00Z</dcterms:created>
  <dcterms:modified xsi:type="dcterms:W3CDTF">2023-03-08T13:05:00Z</dcterms:modified>
</cp:coreProperties>
</file>