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6837" w:rsidRDefault="002F6837" w:rsidP="002F6837">
      <w:pPr>
        <w:jc w:val="center"/>
        <w:rPr>
          <w:rFonts w:ascii="標楷體" w:eastAsia="標楷體" w:hAnsi="標楷體"/>
        </w:rPr>
      </w:pPr>
      <w:bookmarkStart w:id="0" w:name="_GoBack"/>
      <w:bookmarkEnd w:id="0"/>
      <w:r>
        <w:rPr>
          <w:rFonts w:ascii="標楷體" w:eastAsia="標楷體" w:hAnsi="標楷體" w:hint="eastAsia"/>
        </w:rPr>
        <w:t>稅捐處罰法</w:t>
      </w:r>
      <w:r>
        <w:rPr>
          <w:rFonts w:ascii="標楷體" w:eastAsia="標楷體" w:hAnsi="標楷體"/>
        </w:rPr>
        <w:t>—</w:t>
      </w:r>
      <w:r>
        <w:rPr>
          <w:rFonts w:ascii="標楷體" w:eastAsia="標楷體" w:hAnsi="標楷體" w:hint="eastAsia"/>
        </w:rPr>
        <w:t>參考文獻</w:t>
      </w:r>
    </w:p>
    <w:p w:rsidR="002F6837" w:rsidRDefault="002F6837" w:rsidP="002F6837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（有標明頁數者，參看該部分即可）</w:t>
      </w:r>
    </w:p>
    <w:p w:rsidR="002F6837" w:rsidRPr="00581196" w:rsidRDefault="002F6837" w:rsidP="002F6837">
      <w:pPr>
        <w:jc w:val="center"/>
        <w:rPr>
          <w:rFonts w:ascii="標楷體" w:eastAsia="標楷體" w:hAnsi="標楷體"/>
        </w:rPr>
      </w:pPr>
    </w:p>
    <w:p w:rsidR="002F6837" w:rsidRPr="00581196" w:rsidRDefault="002F6837" w:rsidP="002F683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81196">
        <w:rPr>
          <w:rFonts w:ascii="標楷體" w:eastAsia="標楷體" w:hAnsi="標楷體" w:cs="標楷體" w:hint="eastAsia"/>
        </w:rPr>
        <w:t>柯格鐘(20</w:t>
      </w:r>
      <w:r w:rsidRPr="00581196">
        <w:rPr>
          <w:rFonts w:ascii="標楷體" w:eastAsia="標楷體" w:hAnsi="標楷體" w:cs="標楷體"/>
        </w:rPr>
        <w:t>13</w:t>
      </w:r>
      <w:r w:rsidRPr="00581196">
        <w:rPr>
          <w:rFonts w:ascii="標楷體" w:eastAsia="標楷體" w:hAnsi="標楷體" w:cs="標楷體" w:hint="eastAsia"/>
        </w:rPr>
        <w:t>)，〈論漏稅罰－德國與臺灣稅捐法律規範之比較〉，《東吳公法論叢》，第6期</w:t>
      </w:r>
    </w:p>
    <w:p w:rsidR="002F6837" w:rsidRPr="00581196" w:rsidRDefault="002F6837" w:rsidP="002F6837">
      <w:pPr>
        <w:rPr>
          <w:rFonts w:ascii="標楷體" w:eastAsia="標楷體" w:hAnsi="標楷體"/>
        </w:rPr>
      </w:pPr>
    </w:p>
    <w:p w:rsidR="002F6837" w:rsidRPr="00581196" w:rsidRDefault="002F6837" w:rsidP="002F683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A7BE2">
        <w:rPr>
          <w:rFonts w:ascii="標楷體" w:eastAsia="標楷體" w:hAnsi="標楷體" w:cs="標楷體" w:hint="eastAsia"/>
        </w:rPr>
        <w:t>柯格鐘(20</w:t>
      </w:r>
      <w:r w:rsidRPr="007A7BE2">
        <w:rPr>
          <w:rFonts w:ascii="標楷體" w:eastAsia="標楷體" w:hAnsi="標楷體" w:cs="標楷體"/>
        </w:rPr>
        <w:t>10</w:t>
      </w:r>
      <w:r w:rsidRPr="007A7BE2">
        <w:rPr>
          <w:rFonts w:ascii="標楷體" w:eastAsia="標楷體" w:hAnsi="標楷體" w:cs="標楷體" w:hint="eastAsia"/>
        </w:rPr>
        <w:t>)，〈行為罰、漏稅罰與逃漏稅捐罪－評司法院大法官釋字第五○三號解釋〉，《月旦裁判時報》，第6期</w:t>
      </w:r>
    </w:p>
    <w:p w:rsidR="002F6837" w:rsidRPr="00581196" w:rsidRDefault="002F6837" w:rsidP="002F6837">
      <w:pPr>
        <w:pStyle w:val="a3"/>
        <w:rPr>
          <w:rFonts w:ascii="標楷體" w:eastAsia="標楷體" w:hAnsi="標楷體"/>
        </w:rPr>
      </w:pPr>
    </w:p>
    <w:p w:rsidR="002F6837" w:rsidRPr="007049CE" w:rsidRDefault="002F6837" w:rsidP="002F683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81196">
        <w:rPr>
          <w:rFonts w:ascii="標楷體" w:eastAsia="標楷體" w:hAnsi="標楷體" w:cs="標楷體" w:hint="eastAsia"/>
        </w:rPr>
        <w:t>柯格鐘(20</w:t>
      </w:r>
      <w:r w:rsidRPr="00581196">
        <w:rPr>
          <w:rFonts w:ascii="標楷體" w:eastAsia="標楷體" w:hAnsi="標楷體" w:cs="標楷體"/>
        </w:rPr>
        <w:t>19</w:t>
      </w:r>
      <w:r w:rsidRPr="00581196">
        <w:rPr>
          <w:rFonts w:ascii="標楷體" w:eastAsia="標楷體" w:hAnsi="標楷體" w:cs="標楷體" w:hint="eastAsia"/>
        </w:rPr>
        <w:t>)，〈稅捐稽徵協力義務、推計課稅與協力義務違反的制裁－以納稅者權利保護法第 14 條規定討論與條文修正建議為中心〉，《臺北大學法學論叢》，第110期</w:t>
      </w:r>
      <w:r>
        <w:rPr>
          <w:rFonts w:ascii="標楷體" w:eastAsia="標楷體" w:hAnsi="標楷體" w:cs="標楷體" w:hint="eastAsia"/>
        </w:rPr>
        <w:t>，頁</w:t>
      </w:r>
      <w:r>
        <w:rPr>
          <w:rFonts w:ascii="標楷體" w:eastAsia="標楷體" w:hAnsi="標楷體" w:cs="標楷體"/>
        </w:rPr>
        <w:t>71-81</w:t>
      </w:r>
      <w:r>
        <w:rPr>
          <w:rFonts w:ascii="標楷體" w:eastAsia="標楷體" w:hAnsi="標楷體" w:cs="標楷體" w:hint="eastAsia"/>
        </w:rPr>
        <w:t>。</w:t>
      </w:r>
    </w:p>
    <w:p w:rsidR="002F6837" w:rsidRPr="007049CE" w:rsidRDefault="002F6837" w:rsidP="002F6837">
      <w:pPr>
        <w:pStyle w:val="a3"/>
        <w:rPr>
          <w:rFonts w:ascii="標楷體" w:eastAsia="標楷體" w:hAnsi="標楷體"/>
        </w:rPr>
      </w:pPr>
    </w:p>
    <w:p w:rsidR="002F6837" w:rsidRPr="00EC08B2" w:rsidRDefault="002F6837" w:rsidP="002F683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81196">
        <w:rPr>
          <w:rFonts w:ascii="標楷體" w:eastAsia="標楷體" w:hAnsi="標楷體" w:cs="標楷體" w:hint="eastAsia"/>
        </w:rPr>
        <w:t>柯格鐘(20</w:t>
      </w:r>
      <w:r w:rsidRPr="00581196">
        <w:rPr>
          <w:rFonts w:ascii="標楷體" w:eastAsia="標楷體" w:hAnsi="標楷體" w:cs="標楷體"/>
        </w:rPr>
        <w:t>1</w:t>
      </w:r>
      <w:r>
        <w:rPr>
          <w:rFonts w:ascii="標楷體" w:eastAsia="標楷體" w:hAnsi="標楷體" w:cs="標楷體"/>
        </w:rPr>
        <w:t>4</w:t>
      </w:r>
      <w:r w:rsidRPr="00581196">
        <w:rPr>
          <w:rFonts w:ascii="標楷體" w:eastAsia="標楷體" w:hAnsi="標楷體" w:cs="標楷體" w:hint="eastAsia"/>
        </w:rPr>
        <w:t>)，〈</w:t>
      </w:r>
      <w:r w:rsidRPr="007049CE">
        <w:rPr>
          <w:rFonts w:ascii="標楷體" w:eastAsia="標楷體" w:hAnsi="標楷體" w:hint="eastAsia"/>
        </w:rPr>
        <w:t>論稅捐規避行為之立法與行為的類型化</w:t>
      </w:r>
      <w:r w:rsidRPr="00581196">
        <w:rPr>
          <w:rFonts w:ascii="標楷體" w:eastAsia="標楷體" w:hAnsi="標楷體" w:cs="標楷體" w:hint="eastAsia"/>
        </w:rPr>
        <w:t>〉，《</w:t>
      </w:r>
      <w:r>
        <w:rPr>
          <w:rFonts w:ascii="標楷體" w:eastAsia="標楷體" w:hAnsi="標楷體" w:cs="標楷體" w:hint="eastAsia"/>
        </w:rPr>
        <w:t>興</w:t>
      </w:r>
      <w:r w:rsidRPr="00581196">
        <w:rPr>
          <w:rFonts w:ascii="標楷體" w:eastAsia="標楷體" w:hAnsi="標楷體" w:cs="標楷體" w:hint="eastAsia"/>
        </w:rPr>
        <w:t>大法學》，第1</w:t>
      </w:r>
      <w:r>
        <w:rPr>
          <w:rFonts w:ascii="標楷體" w:eastAsia="標楷體" w:hAnsi="標楷體" w:cs="標楷體"/>
        </w:rPr>
        <w:t>5</w:t>
      </w:r>
      <w:r w:rsidRPr="00581196">
        <w:rPr>
          <w:rFonts w:ascii="標楷體" w:eastAsia="標楷體" w:hAnsi="標楷體" w:cs="標楷體" w:hint="eastAsia"/>
        </w:rPr>
        <w:t>期</w:t>
      </w:r>
      <w:r>
        <w:rPr>
          <w:rFonts w:ascii="標楷體" w:eastAsia="標楷體" w:hAnsi="標楷體" w:cs="標楷體" w:hint="eastAsia"/>
        </w:rPr>
        <w:t>，頁</w:t>
      </w:r>
      <w:r>
        <w:rPr>
          <w:rFonts w:ascii="標楷體" w:eastAsia="標楷體" w:hAnsi="標楷體" w:cs="標楷體"/>
        </w:rPr>
        <w:t>71-73</w:t>
      </w:r>
      <w:r>
        <w:rPr>
          <w:rFonts w:ascii="標楷體" w:eastAsia="標楷體" w:hAnsi="標楷體" w:cs="標楷體" w:hint="eastAsia"/>
        </w:rPr>
        <w:t>。</w:t>
      </w:r>
    </w:p>
    <w:p w:rsidR="002F6837" w:rsidRPr="00EC08B2" w:rsidRDefault="002F6837" w:rsidP="002F6837">
      <w:pPr>
        <w:pStyle w:val="a3"/>
        <w:rPr>
          <w:rFonts w:ascii="標楷體" w:eastAsia="標楷體" w:hAnsi="標楷體"/>
        </w:rPr>
      </w:pPr>
    </w:p>
    <w:p w:rsidR="002F6837" w:rsidRPr="00581196" w:rsidRDefault="002F6837" w:rsidP="002F683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81196">
        <w:rPr>
          <w:rFonts w:ascii="標楷體" w:eastAsia="標楷體" w:hAnsi="標楷體" w:cs="標楷體" w:hint="eastAsia"/>
        </w:rPr>
        <w:t>柯格鐘(20</w:t>
      </w:r>
      <w:r w:rsidRPr="00581196">
        <w:rPr>
          <w:rFonts w:ascii="標楷體" w:eastAsia="標楷體" w:hAnsi="標楷體" w:cs="標楷體"/>
        </w:rPr>
        <w:t>1</w:t>
      </w:r>
      <w:r>
        <w:rPr>
          <w:rFonts w:ascii="標楷體" w:eastAsia="標楷體" w:hAnsi="標楷體" w:cs="標楷體"/>
        </w:rPr>
        <w:t>0</w:t>
      </w:r>
      <w:r w:rsidRPr="00581196">
        <w:rPr>
          <w:rFonts w:ascii="標楷體" w:eastAsia="標楷體" w:hAnsi="標楷體" w:cs="標楷體" w:hint="eastAsia"/>
        </w:rPr>
        <w:t>)，〈</w:t>
      </w:r>
      <w:r w:rsidRPr="00CD6C70">
        <w:rPr>
          <w:rFonts w:ascii="標楷體" w:eastAsia="標楷體" w:hAnsi="標楷體" w:hint="eastAsia"/>
        </w:rPr>
        <w:t>現行扣繳制度不違憲？－簡評釋字第六七三號解釋</w:t>
      </w:r>
      <w:r w:rsidRPr="00581196">
        <w:rPr>
          <w:rFonts w:ascii="標楷體" w:eastAsia="標楷體" w:hAnsi="標楷體" w:cs="標楷體" w:hint="eastAsia"/>
        </w:rPr>
        <w:t>〉，《</w:t>
      </w:r>
      <w:r w:rsidRPr="00EC08B2">
        <w:rPr>
          <w:rFonts w:ascii="標楷體" w:eastAsia="標楷體" w:hAnsi="標楷體" w:hint="eastAsia"/>
        </w:rPr>
        <w:t>月旦裁判時報</w:t>
      </w:r>
      <w:r w:rsidRPr="00581196">
        <w:rPr>
          <w:rFonts w:ascii="標楷體" w:eastAsia="標楷體" w:hAnsi="標楷體" w:cs="標楷體" w:hint="eastAsia"/>
        </w:rPr>
        <w:t>》，第</w:t>
      </w:r>
      <w:r>
        <w:rPr>
          <w:rFonts w:ascii="標楷體" w:eastAsia="標楷體" w:hAnsi="標楷體" w:cs="標楷體"/>
        </w:rPr>
        <w:t>3</w:t>
      </w:r>
      <w:r w:rsidRPr="00581196">
        <w:rPr>
          <w:rFonts w:ascii="標楷體" w:eastAsia="標楷體" w:hAnsi="標楷體" w:cs="標楷體" w:hint="eastAsia"/>
        </w:rPr>
        <w:t>期</w:t>
      </w:r>
      <w:r>
        <w:rPr>
          <w:rFonts w:ascii="標楷體" w:eastAsia="標楷體" w:hAnsi="標楷體" w:cs="標楷體" w:hint="eastAsia"/>
        </w:rPr>
        <w:t>。</w:t>
      </w:r>
    </w:p>
    <w:p w:rsidR="002F6837" w:rsidRPr="00581196" w:rsidRDefault="002F6837" w:rsidP="002F6837">
      <w:pPr>
        <w:pStyle w:val="a3"/>
        <w:ind w:leftChars="0"/>
        <w:rPr>
          <w:rFonts w:ascii="標楷體" w:eastAsia="標楷體" w:hAnsi="標楷體"/>
        </w:rPr>
      </w:pPr>
    </w:p>
    <w:p w:rsidR="002F6837" w:rsidRDefault="002F6837" w:rsidP="002F6837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w:r w:rsidRPr="00581196">
        <w:rPr>
          <w:rFonts w:ascii="標楷體" w:eastAsia="標楷體" w:hAnsi="標楷體" w:cs="標楷體" w:hint="eastAsia"/>
        </w:rPr>
        <w:t>陳清秀(20</w:t>
      </w:r>
      <w:r w:rsidRPr="00581196">
        <w:rPr>
          <w:rFonts w:ascii="標楷體" w:eastAsia="標楷體" w:hAnsi="標楷體" w:cs="標楷體"/>
        </w:rPr>
        <w:t>10</w:t>
      </w:r>
      <w:r w:rsidRPr="00581196">
        <w:rPr>
          <w:rFonts w:ascii="標楷體" w:eastAsia="標楷體" w:hAnsi="標楷體" w:cs="標楷體" w:hint="eastAsia"/>
        </w:rPr>
        <w:t>)，〈推計課稅與處罰</w:t>
      </w:r>
      <w:r w:rsidRPr="00581196">
        <w:rPr>
          <w:rFonts w:ascii="標楷體" w:eastAsia="標楷體" w:hAnsi="標楷體" w:cs="標楷體"/>
        </w:rPr>
        <w:t>—</w:t>
      </w:r>
      <w:r w:rsidRPr="00581196">
        <w:rPr>
          <w:rFonts w:ascii="標楷體" w:eastAsia="標楷體" w:hAnsi="標楷體" w:cs="標楷體" w:hint="eastAsia"/>
        </w:rPr>
        <w:t>評析最高行政法院九十八年八月份第二次庭長法官聯席會議決議〉，《月旦法學雜誌》，第1</w:t>
      </w:r>
      <w:r w:rsidRPr="00581196">
        <w:rPr>
          <w:rFonts w:ascii="標楷體" w:eastAsia="標楷體" w:hAnsi="標楷體" w:cs="標楷體"/>
        </w:rPr>
        <w:t>81</w:t>
      </w:r>
      <w:r w:rsidRPr="00581196">
        <w:rPr>
          <w:rFonts w:ascii="標楷體" w:eastAsia="標楷體" w:hAnsi="標楷體" w:cs="標楷體" w:hint="eastAsia"/>
        </w:rPr>
        <w:t>期</w:t>
      </w:r>
    </w:p>
    <w:p w:rsidR="002F6837" w:rsidRPr="00581196" w:rsidRDefault="002F6837" w:rsidP="002F6837">
      <w:pPr>
        <w:pStyle w:val="a3"/>
        <w:rPr>
          <w:rFonts w:ascii="標楷體" w:eastAsia="標楷體" w:hAnsi="標楷體"/>
        </w:rPr>
      </w:pPr>
    </w:p>
    <w:p w:rsidR="002F6837" w:rsidRPr="009E5297" w:rsidRDefault="002F6837" w:rsidP="002F6837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葛克昌</w:t>
      </w:r>
      <w:r w:rsidRPr="00581196">
        <w:rPr>
          <w:rFonts w:ascii="標楷體" w:eastAsia="標楷體" w:hAnsi="標楷體" w:cs="標楷體" w:hint="eastAsia"/>
        </w:rPr>
        <w:t>(20</w:t>
      </w:r>
      <w:r w:rsidRPr="00581196">
        <w:rPr>
          <w:rFonts w:ascii="標楷體" w:eastAsia="標楷體" w:hAnsi="標楷體" w:cs="標楷體"/>
        </w:rPr>
        <w:t>10</w:t>
      </w:r>
      <w:r w:rsidRPr="00581196">
        <w:rPr>
          <w:rFonts w:ascii="標楷體" w:eastAsia="標楷體" w:hAnsi="標楷體" w:cs="標楷體" w:hint="eastAsia"/>
        </w:rPr>
        <w:t>)，〈</w:t>
      </w:r>
      <w:r w:rsidRPr="009E5297">
        <w:rPr>
          <w:rFonts w:ascii="標楷體" w:eastAsia="標楷體" w:hAnsi="標楷體" w:cs="標楷體" w:hint="eastAsia"/>
        </w:rPr>
        <w:t>漏稅罰之所漏稅額可否推估－最高行政法院九八年八月第二次庭長法官聯席會議決議評析</w:t>
      </w:r>
      <w:r w:rsidRPr="00581196">
        <w:rPr>
          <w:rFonts w:ascii="標楷體" w:eastAsia="標楷體" w:hAnsi="標楷體" w:cs="標楷體" w:hint="eastAsia"/>
        </w:rPr>
        <w:t>〉，《</w:t>
      </w:r>
      <w:r>
        <w:rPr>
          <w:rFonts w:ascii="標楷體" w:eastAsia="標楷體" w:hAnsi="標楷體" w:cs="標楷體" w:hint="eastAsia"/>
        </w:rPr>
        <w:t>台灣</w:t>
      </w:r>
      <w:r w:rsidRPr="00581196">
        <w:rPr>
          <w:rFonts w:ascii="標楷體" w:eastAsia="標楷體" w:hAnsi="標楷體" w:cs="標楷體" w:hint="eastAsia"/>
        </w:rPr>
        <w:t>法學雜誌》，第</w:t>
      </w:r>
      <w:r>
        <w:rPr>
          <w:rFonts w:ascii="標楷體" w:eastAsia="標楷體" w:hAnsi="標楷體" w:cs="標楷體"/>
        </w:rPr>
        <w:t>145</w:t>
      </w:r>
      <w:r w:rsidRPr="00581196">
        <w:rPr>
          <w:rFonts w:ascii="標楷體" w:eastAsia="標楷體" w:hAnsi="標楷體" w:cs="標楷體" w:hint="eastAsia"/>
        </w:rPr>
        <w:t>期</w:t>
      </w:r>
    </w:p>
    <w:p w:rsidR="002F6837" w:rsidRPr="009E5297" w:rsidRDefault="002F6837" w:rsidP="002F6837">
      <w:pPr>
        <w:pStyle w:val="a3"/>
        <w:rPr>
          <w:rFonts w:ascii="標楷體" w:eastAsia="標楷體" w:hAnsi="標楷體"/>
        </w:rPr>
      </w:pPr>
    </w:p>
    <w:p w:rsidR="002F6837" w:rsidRDefault="002F6837" w:rsidP="002F6837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w:r w:rsidRPr="00581196">
        <w:rPr>
          <w:rFonts w:ascii="標楷體" w:eastAsia="標楷體" w:hAnsi="標楷體" w:hint="eastAsia"/>
        </w:rPr>
        <w:t>葛克昌</w:t>
      </w:r>
      <w:r w:rsidRPr="00581196">
        <w:rPr>
          <w:rFonts w:ascii="標楷體" w:eastAsia="標楷體" w:hAnsi="標楷體" w:cs="標楷體" w:hint="eastAsia"/>
        </w:rPr>
        <w:t>(20</w:t>
      </w:r>
      <w:r w:rsidRPr="00581196">
        <w:rPr>
          <w:rFonts w:ascii="標楷體" w:eastAsia="標楷體" w:hAnsi="標楷體" w:cs="標楷體"/>
        </w:rPr>
        <w:t>1</w:t>
      </w:r>
      <w:r>
        <w:rPr>
          <w:rFonts w:ascii="標楷體" w:eastAsia="標楷體" w:hAnsi="標楷體" w:cs="標楷體"/>
        </w:rPr>
        <w:t>2</w:t>
      </w:r>
      <w:r w:rsidRPr="00581196">
        <w:rPr>
          <w:rFonts w:ascii="標楷體" w:eastAsia="標楷體" w:hAnsi="標楷體" w:cs="標楷體" w:hint="eastAsia"/>
        </w:rPr>
        <w:t>)，〈</w:t>
      </w:r>
      <w:r>
        <w:rPr>
          <w:rFonts w:ascii="標楷體" w:eastAsia="標楷體" w:hAnsi="標楷體" w:cs="標楷體" w:hint="eastAsia"/>
        </w:rPr>
        <w:t>稅捐</w:t>
      </w:r>
      <w:r w:rsidRPr="00581196">
        <w:rPr>
          <w:rFonts w:ascii="標楷體" w:eastAsia="標楷體" w:hAnsi="標楷體" w:cs="標楷體" w:hint="eastAsia"/>
        </w:rPr>
        <w:t>罰</w:t>
      </w:r>
      <w:r>
        <w:rPr>
          <w:rFonts w:ascii="標楷體" w:eastAsia="標楷體" w:hAnsi="標楷體" w:cs="標楷體" w:hint="eastAsia"/>
        </w:rPr>
        <w:t>與憲法解釋</w:t>
      </w:r>
      <w:r w:rsidRPr="00581196">
        <w:rPr>
          <w:rFonts w:ascii="標楷體" w:eastAsia="標楷體" w:hAnsi="標楷體" w:cs="標楷體" w:hint="eastAsia"/>
        </w:rPr>
        <w:t>〉，《月旦法學雜誌》，第</w:t>
      </w:r>
      <w:r>
        <w:rPr>
          <w:rFonts w:ascii="標楷體" w:eastAsia="標楷體" w:hAnsi="標楷體" w:cs="標楷體"/>
        </w:rPr>
        <w:t>202</w:t>
      </w:r>
      <w:r w:rsidRPr="00581196">
        <w:rPr>
          <w:rFonts w:ascii="標楷體" w:eastAsia="標楷體" w:hAnsi="標楷體" w:cs="標楷體" w:hint="eastAsia"/>
        </w:rPr>
        <w:t>期</w:t>
      </w:r>
      <w:r>
        <w:rPr>
          <w:rFonts w:ascii="標楷體" w:eastAsia="標楷體" w:hAnsi="標楷體" w:cs="標楷體" w:hint="eastAsia"/>
        </w:rPr>
        <w:t>，頁</w:t>
      </w:r>
      <w:r>
        <w:rPr>
          <w:rFonts w:ascii="標楷體" w:eastAsia="標楷體" w:hAnsi="標楷體" w:cs="標楷體"/>
        </w:rPr>
        <w:t>133-139</w:t>
      </w:r>
      <w:r>
        <w:rPr>
          <w:rFonts w:ascii="標楷體" w:eastAsia="標楷體" w:hAnsi="標楷體" w:cs="標楷體" w:hint="eastAsia"/>
        </w:rPr>
        <w:t>。</w:t>
      </w:r>
    </w:p>
    <w:p w:rsidR="005B6BCE" w:rsidRPr="002F6837" w:rsidRDefault="005B6BCE">
      <w:pPr>
        <w:rPr>
          <w:rFonts w:hint="eastAsia"/>
        </w:rPr>
      </w:pPr>
    </w:p>
    <w:sectPr w:rsidR="005B6BCE" w:rsidRPr="002F6837" w:rsidSect="00455BD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2010601000101010101"/>
    <w:charset w:val="88"/>
    <w:family w:val="script"/>
    <w:pitch w:val="fixed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E1BF0"/>
    <w:multiLevelType w:val="hybridMultilevel"/>
    <w:tmpl w:val="053C32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37"/>
    <w:rsid w:val="00015F8F"/>
    <w:rsid w:val="00073132"/>
    <w:rsid w:val="00073AAB"/>
    <w:rsid w:val="0007631C"/>
    <w:rsid w:val="0007669E"/>
    <w:rsid w:val="00183006"/>
    <w:rsid w:val="00215A50"/>
    <w:rsid w:val="00264116"/>
    <w:rsid w:val="002C0023"/>
    <w:rsid w:val="002C4E56"/>
    <w:rsid w:val="002F6837"/>
    <w:rsid w:val="00307EBD"/>
    <w:rsid w:val="00373CFD"/>
    <w:rsid w:val="00377AEA"/>
    <w:rsid w:val="003A724D"/>
    <w:rsid w:val="003C48C9"/>
    <w:rsid w:val="00422FE9"/>
    <w:rsid w:val="00436828"/>
    <w:rsid w:val="00455186"/>
    <w:rsid w:val="00455BD0"/>
    <w:rsid w:val="00475432"/>
    <w:rsid w:val="004C51EE"/>
    <w:rsid w:val="004C662E"/>
    <w:rsid w:val="004F3B4A"/>
    <w:rsid w:val="0050558C"/>
    <w:rsid w:val="005B6BCE"/>
    <w:rsid w:val="005C24E6"/>
    <w:rsid w:val="00664A6C"/>
    <w:rsid w:val="00664E19"/>
    <w:rsid w:val="006C4439"/>
    <w:rsid w:val="006C5BBF"/>
    <w:rsid w:val="006D7F9C"/>
    <w:rsid w:val="006F0757"/>
    <w:rsid w:val="00715B8F"/>
    <w:rsid w:val="00724A83"/>
    <w:rsid w:val="00725541"/>
    <w:rsid w:val="00750B91"/>
    <w:rsid w:val="0077308F"/>
    <w:rsid w:val="00774F54"/>
    <w:rsid w:val="00787833"/>
    <w:rsid w:val="007D29A4"/>
    <w:rsid w:val="00816430"/>
    <w:rsid w:val="00831127"/>
    <w:rsid w:val="00832E1E"/>
    <w:rsid w:val="00945EDC"/>
    <w:rsid w:val="00961C70"/>
    <w:rsid w:val="009654A4"/>
    <w:rsid w:val="00967618"/>
    <w:rsid w:val="00974674"/>
    <w:rsid w:val="00977AAC"/>
    <w:rsid w:val="009B02C7"/>
    <w:rsid w:val="009D19F1"/>
    <w:rsid w:val="00A1503B"/>
    <w:rsid w:val="00AA475C"/>
    <w:rsid w:val="00AD561E"/>
    <w:rsid w:val="00AE64A4"/>
    <w:rsid w:val="00BD0F7A"/>
    <w:rsid w:val="00BD3200"/>
    <w:rsid w:val="00BD6B4F"/>
    <w:rsid w:val="00C0656A"/>
    <w:rsid w:val="00C32091"/>
    <w:rsid w:val="00C33078"/>
    <w:rsid w:val="00C40946"/>
    <w:rsid w:val="00C63454"/>
    <w:rsid w:val="00C83552"/>
    <w:rsid w:val="00CB79AB"/>
    <w:rsid w:val="00D05500"/>
    <w:rsid w:val="00D50389"/>
    <w:rsid w:val="00D73679"/>
    <w:rsid w:val="00D90AC1"/>
    <w:rsid w:val="00DB132C"/>
    <w:rsid w:val="00DD74C9"/>
    <w:rsid w:val="00E2003D"/>
    <w:rsid w:val="00E3367A"/>
    <w:rsid w:val="00E36C2E"/>
    <w:rsid w:val="00E56CDA"/>
    <w:rsid w:val="00E824E0"/>
    <w:rsid w:val="00E91DC9"/>
    <w:rsid w:val="00EB0083"/>
    <w:rsid w:val="00EF7C53"/>
    <w:rsid w:val="00F0209F"/>
    <w:rsid w:val="00F05EF7"/>
    <w:rsid w:val="00F173C4"/>
    <w:rsid w:val="00F4029A"/>
    <w:rsid w:val="00F51C48"/>
    <w:rsid w:val="00F6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DED2FD4-52AF-7B4A-B2B7-773A4BEB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8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8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2020-12-10T15:50:00Z</dcterms:created>
  <dcterms:modified xsi:type="dcterms:W3CDTF">2020-12-10T15:50:00Z</dcterms:modified>
</cp:coreProperties>
</file>