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674B" w:rsidRDefault="00833731">
      <w:pPr>
        <w:pStyle w:val="1"/>
      </w:pPr>
      <w:bookmarkStart w:id="0" w:name="遺產稅案例研討憲法法庭113年憲判字第11號判決之影響"/>
      <w:bookmarkStart w:id="1" w:name="_Toc211785251"/>
      <w:r>
        <w:rPr>
          <w:rFonts w:hint="eastAsia"/>
        </w:rPr>
        <w:t>遺產稅案例研討——憲法法庭</w:t>
      </w:r>
      <w:r>
        <w:rPr>
          <w:rFonts w:hint="eastAsia"/>
        </w:rPr>
        <w:t>113</w:t>
      </w:r>
      <w:r>
        <w:rPr>
          <w:rFonts w:hint="eastAsia"/>
        </w:rPr>
        <w:t>年憲判字第</w:t>
      </w:r>
      <w:r>
        <w:rPr>
          <w:rFonts w:hint="eastAsia"/>
        </w:rPr>
        <w:t>11</w:t>
      </w:r>
      <w:r>
        <w:rPr>
          <w:rFonts w:hint="eastAsia"/>
        </w:rPr>
        <w:t>號判決之影響</w:t>
      </w:r>
      <w:bookmarkEnd w:id="1"/>
    </w:p>
    <w:p w:rsidR="005E674B" w:rsidRDefault="00833731">
      <w:pPr>
        <w:pStyle w:val="FirstParagraph"/>
      </w:pPr>
      <w:r>
        <w:rPr>
          <w:rFonts w:hint="eastAsia"/>
        </w:rPr>
        <w:t>法官學院</w:t>
      </w:r>
      <w:r>
        <w:rPr>
          <w:rFonts w:hint="eastAsia"/>
        </w:rPr>
        <w:t>114</w:t>
      </w:r>
      <w:r>
        <w:rPr>
          <w:rFonts w:hint="eastAsia"/>
        </w:rPr>
        <w:t>年稅務法官專庭在職研討</w:t>
      </w:r>
      <w:r>
        <w:br/>
      </w:r>
      <w:r>
        <w:rPr>
          <w:rFonts w:hint="eastAsia"/>
        </w:rPr>
        <w:t>講師：柯格鐘教授（國立臺灣大學法律學院、財稅法學研究中心）</w:t>
      </w:r>
    </w:p>
    <w:p w:rsidR="005E674B" w:rsidRDefault="00833731">
      <w:pPr>
        <w:pStyle w:val="a3"/>
      </w:pPr>
      <w:r>
        <w:rPr>
          <w:rFonts w:hint="eastAsia"/>
        </w:rPr>
        <w:t>版本資訊：</w:t>
      </w:r>
      <w:r>
        <w:rPr>
          <w:rFonts w:hint="eastAsia"/>
        </w:rPr>
        <w:t>v2.2</w:t>
      </w:r>
      <w:r>
        <w:rPr>
          <w:rFonts w:hint="eastAsia"/>
        </w:rPr>
        <w:t>（</w:t>
      </w:r>
      <w:r>
        <w:rPr>
          <w:rFonts w:hint="eastAsia"/>
        </w:rPr>
        <w:t>2025-10-19</w:t>
      </w:r>
      <w:r>
        <w:rPr>
          <w:rFonts w:hint="eastAsia"/>
        </w:rPr>
        <w:t>）</w:t>
      </w:r>
    </w:p>
    <w:p w:rsidR="005E674B" w:rsidRDefault="00833731">
      <w:pPr>
        <w:pStyle w:val="af0"/>
      </w:pPr>
      <w:r>
        <w:t>目錄</w:t>
      </w:r>
    </w:p>
    <w:p w:rsidR="00833731" w:rsidRDefault="00833731">
      <w:pPr>
        <w:pStyle w:val="11"/>
        <w:tabs>
          <w:tab w:val="right" w:leader="dot" w:pos="8630"/>
        </w:tabs>
        <w:rPr>
          <w:noProof/>
        </w:rPr>
      </w:pPr>
      <w:r>
        <w:fldChar w:fldCharType="begin"/>
      </w:r>
      <w:r>
        <w:instrText>TOC \o "1-4" \h \z \u</w:instrText>
      </w:r>
      <w:r>
        <w:fldChar w:fldCharType="separate"/>
      </w:r>
      <w:hyperlink w:anchor="_Toc211785251" w:history="1">
        <w:r w:rsidRPr="00514825">
          <w:rPr>
            <w:rStyle w:val="af"/>
            <w:rFonts w:hint="eastAsia"/>
            <w:noProof/>
          </w:rPr>
          <w:t>遺產稅案例研討——憲法法庭</w:t>
        </w:r>
        <w:r w:rsidRPr="00514825">
          <w:rPr>
            <w:rStyle w:val="af"/>
            <w:noProof/>
          </w:rPr>
          <w:t>113</w:t>
        </w:r>
        <w:r w:rsidRPr="00514825">
          <w:rPr>
            <w:rStyle w:val="af"/>
            <w:rFonts w:hint="eastAsia"/>
            <w:noProof/>
          </w:rPr>
          <w:t>年憲判字第</w:t>
        </w:r>
        <w:r w:rsidRPr="00514825">
          <w:rPr>
            <w:rStyle w:val="af"/>
            <w:noProof/>
          </w:rPr>
          <w:t>11</w:t>
        </w:r>
        <w:r w:rsidRPr="00514825">
          <w:rPr>
            <w:rStyle w:val="af"/>
            <w:rFonts w:hint="eastAsia"/>
            <w:noProof/>
          </w:rPr>
          <w:t>號判決之影響</w:t>
        </w:r>
        <w:r>
          <w:rPr>
            <w:noProof/>
            <w:webHidden/>
          </w:rPr>
          <w:tab/>
        </w:r>
        <w:r>
          <w:rPr>
            <w:noProof/>
            <w:webHidden/>
          </w:rPr>
          <w:fldChar w:fldCharType="begin"/>
        </w:r>
        <w:r>
          <w:rPr>
            <w:noProof/>
            <w:webHidden/>
          </w:rPr>
          <w:instrText xml:space="preserve"> PAGEREF _Toc211785251 \h </w:instrText>
        </w:r>
        <w:r>
          <w:rPr>
            <w:noProof/>
            <w:webHidden/>
          </w:rPr>
        </w:r>
        <w:r>
          <w:rPr>
            <w:noProof/>
            <w:webHidden/>
          </w:rPr>
          <w:fldChar w:fldCharType="separate"/>
        </w:r>
        <w:r>
          <w:rPr>
            <w:noProof/>
            <w:webHidden/>
          </w:rPr>
          <w:t>1</w:t>
        </w:r>
        <w:r>
          <w:rPr>
            <w:noProof/>
            <w:webHidden/>
          </w:rPr>
          <w:fldChar w:fldCharType="end"/>
        </w:r>
      </w:hyperlink>
    </w:p>
    <w:p w:rsidR="00833731" w:rsidRDefault="00833731">
      <w:pPr>
        <w:pStyle w:val="21"/>
        <w:tabs>
          <w:tab w:val="right" w:leader="dot" w:pos="8630"/>
        </w:tabs>
        <w:ind w:left="400"/>
        <w:rPr>
          <w:noProof/>
        </w:rPr>
      </w:pPr>
      <w:hyperlink w:anchor="_Toc211785252" w:history="1">
        <w:r w:rsidRPr="00514825">
          <w:rPr>
            <w:rStyle w:val="af"/>
            <w:rFonts w:hint="eastAsia"/>
            <w:noProof/>
          </w:rPr>
          <w:t>開題</w:t>
        </w:r>
        <w:r>
          <w:rPr>
            <w:noProof/>
            <w:webHidden/>
          </w:rPr>
          <w:tab/>
        </w:r>
        <w:r>
          <w:rPr>
            <w:noProof/>
            <w:webHidden/>
          </w:rPr>
          <w:fldChar w:fldCharType="begin"/>
        </w:r>
        <w:r>
          <w:rPr>
            <w:noProof/>
            <w:webHidden/>
          </w:rPr>
          <w:instrText xml:space="preserve"> PAGEREF _Toc211785252 \h </w:instrText>
        </w:r>
        <w:r>
          <w:rPr>
            <w:noProof/>
            <w:webHidden/>
          </w:rPr>
        </w:r>
        <w:r>
          <w:rPr>
            <w:noProof/>
            <w:webHidden/>
          </w:rPr>
          <w:fldChar w:fldCharType="separate"/>
        </w:r>
        <w:r>
          <w:rPr>
            <w:noProof/>
            <w:webHidden/>
          </w:rPr>
          <w:t>4</w:t>
        </w:r>
        <w:r>
          <w:rPr>
            <w:noProof/>
            <w:webHidden/>
          </w:rPr>
          <w:fldChar w:fldCharType="end"/>
        </w:r>
      </w:hyperlink>
    </w:p>
    <w:p w:rsidR="00833731" w:rsidRDefault="00833731">
      <w:pPr>
        <w:pStyle w:val="31"/>
        <w:tabs>
          <w:tab w:val="right" w:leader="dot" w:pos="8630"/>
        </w:tabs>
        <w:ind w:left="800"/>
        <w:rPr>
          <w:noProof/>
        </w:rPr>
      </w:pPr>
      <w:hyperlink w:anchor="_Toc211785253" w:history="1">
        <w:r w:rsidRPr="00514825">
          <w:rPr>
            <w:rStyle w:val="af"/>
            <w:noProof/>
          </w:rPr>
          <w:t>113</w:t>
        </w:r>
        <w:r w:rsidRPr="00514825">
          <w:rPr>
            <w:rStyle w:val="af"/>
            <w:rFonts w:hint="eastAsia"/>
            <w:noProof/>
          </w:rPr>
          <w:t>年憲判字第</w:t>
        </w:r>
        <w:r w:rsidRPr="00514825">
          <w:rPr>
            <w:rStyle w:val="af"/>
            <w:noProof/>
          </w:rPr>
          <w:t>11</w:t>
        </w:r>
        <w:r w:rsidRPr="00514825">
          <w:rPr>
            <w:rStyle w:val="af"/>
            <w:rFonts w:hint="eastAsia"/>
            <w:noProof/>
          </w:rPr>
          <w:t>號</w:t>
        </w:r>
        <w:r>
          <w:rPr>
            <w:noProof/>
            <w:webHidden/>
          </w:rPr>
          <w:tab/>
        </w:r>
        <w:r>
          <w:rPr>
            <w:noProof/>
            <w:webHidden/>
          </w:rPr>
          <w:fldChar w:fldCharType="begin"/>
        </w:r>
        <w:r>
          <w:rPr>
            <w:noProof/>
            <w:webHidden/>
          </w:rPr>
          <w:instrText xml:space="preserve"> PAGEREF _Toc211785253 \h </w:instrText>
        </w:r>
        <w:r>
          <w:rPr>
            <w:noProof/>
            <w:webHidden/>
          </w:rPr>
        </w:r>
        <w:r>
          <w:rPr>
            <w:noProof/>
            <w:webHidden/>
          </w:rPr>
          <w:fldChar w:fldCharType="separate"/>
        </w:r>
        <w:r>
          <w:rPr>
            <w:noProof/>
            <w:webHidden/>
          </w:rPr>
          <w:t>4</w:t>
        </w:r>
        <w:r>
          <w:rPr>
            <w:noProof/>
            <w:webHidden/>
          </w:rPr>
          <w:fldChar w:fldCharType="end"/>
        </w:r>
      </w:hyperlink>
    </w:p>
    <w:p w:rsidR="00833731" w:rsidRDefault="00833731">
      <w:pPr>
        <w:pStyle w:val="31"/>
        <w:tabs>
          <w:tab w:val="right" w:leader="dot" w:pos="8630"/>
        </w:tabs>
        <w:ind w:left="800"/>
        <w:rPr>
          <w:noProof/>
        </w:rPr>
      </w:pPr>
      <w:hyperlink w:anchor="_Toc211785254" w:history="1">
        <w:r w:rsidRPr="00514825">
          <w:rPr>
            <w:rStyle w:val="af"/>
            <w:rFonts w:hint="eastAsia"/>
            <w:noProof/>
          </w:rPr>
          <w:t>講程安排</w:t>
        </w:r>
        <w:r>
          <w:rPr>
            <w:noProof/>
            <w:webHidden/>
          </w:rPr>
          <w:tab/>
        </w:r>
        <w:r>
          <w:rPr>
            <w:noProof/>
            <w:webHidden/>
          </w:rPr>
          <w:fldChar w:fldCharType="begin"/>
        </w:r>
        <w:r>
          <w:rPr>
            <w:noProof/>
            <w:webHidden/>
          </w:rPr>
          <w:instrText xml:space="preserve"> PAGEREF _Toc211785254 \h </w:instrText>
        </w:r>
        <w:r>
          <w:rPr>
            <w:noProof/>
            <w:webHidden/>
          </w:rPr>
        </w:r>
        <w:r>
          <w:rPr>
            <w:noProof/>
            <w:webHidden/>
          </w:rPr>
          <w:fldChar w:fldCharType="separate"/>
        </w:r>
        <w:r>
          <w:rPr>
            <w:noProof/>
            <w:webHidden/>
          </w:rPr>
          <w:t>4</w:t>
        </w:r>
        <w:r>
          <w:rPr>
            <w:noProof/>
            <w:webHidden/>
          </w:rPr>
          <w:fldChar w:fldCharType="end"/>
        </w:r>
      </w:hyperlink>
    </w:p>
    <w:p w:rsidR="00833731" w:rsidRDefault="00833731">
      <w:pPr>
        <w:pStyle w:val="21"/>
        <w:tabs>
          <w:tab w:val="right" w:leader="dot" w:pos="8630"/>
        </w:tabs>
        <w:ind w:left="400"/>
        <w:rPr>
          <w:noProof/>
        </w:rPr>
      </w:pPr>
      <w:hyperlink w:anchor="_Toc211785255" w:history="1">
        <w:r w:rsidRPr="00514825">
          <w:rPr>
            <w:rStyle w:val="af"/>
            <w:rFonts w:hint="eastAsia"/>
            <w:noProof/>
          </w:rPr>
          <w:t>遺贈稅法的立法規範</w:t>
        </w:r>
        <w:r>
          <w:rPr>
            <w:noProof/>
            <w:webHidden/>
          </w:rPr>
          <w:tab/>
        </w:r>
        <w:r>
          <w:rPr>
            <w:noProof/>
            <w:webHidden/>
          </w:rPr>
          <w:fldChar w:fldCharType="begin"/>
        </w:r>
        <w:r>
          <w:rPr>
            <w:noProof/>
            <w:webHidden/>
          </w:rPr>
          <w:instrText xml:space="preserve"> PAGEREF _Toc211785255 \h </w:instrText>
        </w:r>
        <w:r>
          <w:rPr>
            <w:noProof/>
            <w:webHidden/>
          </w:rPr>
        </w:r>
        <w:r>
          <w:rPr>
            <w:noProof/>
            <w:webHidden/>
          </w:rPr>
          <w:fldChar w:fldCharType="separate"/>
        </w:r>
        <w:r>
          <w:rPr>
            <w:noProof/>
            <w:webHidden/>
          </w:rPr>
          <w:t>5</w:t>
        </w:r>
        <w:r>
          <w:rPr>
            <w:noProof/>
            <w:webHidden/>
          </w:rPr>
          <w:fldChar w:fldCharType="end"/>
        </w:r>
      </w:hyperlink>
    </w:p>
    <w:p w:rsidR="00833731" w:rsidRDefault="00833731">
      <w:pPr>
        <w:pStyle w:val="31"/>
        <w:tabs>
          <w:tab w:val="right" w:leader="dot" w:pos="8630"/>
        </w:tabs>
        <w:ind w:left="800"/>
        <w:rPr>
          <w:noProof/>
        </w:rPr>
      </w:pPr>
      <w:hyperlink w:anchor="_Toc211785256" w:history="1">
        <w:r w:rsidRPr="00514825">
          <w:rPr>
            <w:rStyle w:val="af"/>
            <w:rFonts w:hint="eastAsia"/>
            <w:noProof/>
          </w:rPr>
          <w:t>課稅構成要件與納稅義務人</w:t>
        </w:r>
        <w:r>
          <w:rPr>
            <w:noProof/>
            <w:webHidden/>
          </w:rPr>
          <w:tab/>
        </w:r>
        <w:r>
          <w:rPr>
            <w:noProof/>
            <w:webHidden/>
          </w:rPr>
          <w:fldChar w:fldCharType="begin"/>
        </w:r>
        <w:r>
          <w:rPr>
            <w:noProof/>
            <w:webHidden/>
          </w:rPr>
          <w:instrText xml:space="preserve"> PAGEREF _Toc211785256 \h </w:instrText>
        </w:r>
        <w:r>
          <w:rPr>
            <w:noProof/>
            <w:webHidden/>
          </w:rPr>
        </w:r>
        <w:r>
          <w:rPr>
            <w:noProof/>
            <w:webHidden/>
          </w:rPr>
          <w:fldChar w:fldCharType="separate"/>
        </w:r>
        <w:r>
          <w:rPr>
            <w:noProof/>
            <w:webHidden/>
          </w:rPr>
          <w:t>5</w:t>
        </w:r>
        <w:r>
          <w:rPr>
            <w:noProof/>
            <w:webHidden/>
          </w:rPr>
          <w:fldChar w:fldCharType="end"/>
        </w:r>
      </w:hyperlink>
    </w:p>
    <w:p w:rsidR="00833731" w:rsidRDefault="00833731">
      <w:pPr>
        <w:pStyle w:val="31"/>
        <w:tabs>
          <w:tab w:val="right" w:leader="dot" w:pos="8630"/>
        </w:tabs>
        <w:ind w:left="800"/>
        <w:rPr>
          <w:noProof/>
        </w:rPr>
      </w:pPr>
      <w:hyperlink w:anchor="_Toc211785257" w:history="1">
        <w:r w:rsidRPr="00514825">
          <w:rPr>
            <w:rStyle w:val="af"/>
            <w:rFonts w:hint="eastAsia"/>
            <w:noProof/>
          </w:rPr>
          <w:t>稅捐客體</w:t>
        </w:r>
        <w:r>
          <w:rPr>
            <w:noProof/>
            <w:webHidden/>
          </w:rPr>
          <w:tab/>
        </w:r>
        <w:r>
          <w:rPr>
            <w:noProof/>
            <w:webHidden/>
          </w:rPr>
          <w:fldChar w:fldCharType="begin"/>
        </w:r>
        <w:r>
          <w:rPr>
            <w:noProof/>
            <w:webHidden/>
          </w:rPr>
          <w:instrText xml:space="preserve"> PAGEREF _Toc211785257 \h </w:instrText>
        </w:r>
        <w:r>
          <w:rPr>
            <w:noProof/>
            <w:webHidden/>
          </w:rPr>
        </w:r>
        <w:r>
          <w:rPr>
            <w:noProof/>
            <w:webHidden/>
          </w:rPr>
          <w:fldChar w:fldCharType="separate"/>
        </w:r>
        <w:r>
          <w:rPr>
            <w:noProof/>
            <w:webHidden/>
          </w:rPr>
          <w:t>5</w:t>
        </w:r>
        <w:r>
          <w:rPr>
            <w:noProof/>
            <w:webHidden/>
          </w:rPr>
          <w:fldChar w:fldCharType="end"/>
        </w:r>
      </w:hyperlink>
    </w:p>
    <w:p w:rsidR="00833731" w:rsidRDefault="00833731">
      <w:pPr>
        <w:pStyle w:val="31"/>
        <w:tabs>
          <w:tab w:val="right" w:leader="dot" w:pos="8630"/>
        </w:tabs>
        <w:ind w:left="800"/>
        <w:rPr>
          <w:noProof/>
        </w:rPr>
      </w:pPr>
      <w:hyperlink w:anchor="_Toc211785258" w:history="1">
        <w:r w:rsidRPr="00514825">
          <w:rPr>
            <w:rStyle w:val="af"/>
            <w:rFonts w:hint="eastAsia"/>
            <w:noProof/>
          </w:rPr>
          <w:t>遺贈稅法的立法的歷史</w:t>
        </w:r>
        <w:r>
          <w:rPr>
            <w:noProof/>
            <w:webHidden/>
          </w:rPr>
          <w:tab/>
        </w:r>
        <w:r>
          <w:rPr>
            <w:noProof/>
            <w:webHidden/>
          </w:rPr>
          <w:fldChar w:fldCharType="begin"/>
        </w:r>
        <w:r>
          <w:rPr>
            <w:noProof/>
            <w:webHidden/>
          </w:rPr>
          <w:instrText xml:space="preserve"> PAGEREF _Toc211785258 \h </w:instrText>
        </w:r>
        <w:r>
          <w:rPr>
            <w:noProof/>
            <w:webHidden/>
          </w:rPr>
        </w:r>
        <w:r>
          <w:rPr>
            <w:noProof/>
            <w:webHidden/>
          </w:rPr>
          <w:fldChar w:fldCharType="separate"/>
        </w:r>
        <w:r>
          <w:rPr>
            <w:noProof/>
            <w:webHidden/>
          </w:rPr>
          <w:t>6</w:t>
        </w:r>
        <w:r>
          <w:rPr>
            <w:noProof/>
            <w:webHidden/>
          </w:rPr>
          <w:fldChar w:fldCharType="end"/>
        </w:r>
      </w:hyperlink>
    </w:p>
    <w:p w:rsidR="00833731" w:rsidRDefault="00833731">
      <w:pPr>
        <w:pStyle w:val="31"/>
        <w:tabs>
          <w:tab w:val="right" w:leader="dot" w:pos="8630"/>
        </w:tabs>
        <w:ind w:left="800"/>
        <w:rPr>
          <w:noProof/>
        </w:rPr>
      </w:pPr>
      <w:hyperlink w:anchor="_Toc211785259" w:history="1">
        <w:r w:rsidRPr="00514825">
          <w:rPr>
            <w:rStyle w:val="af"/>
            <w:rFonts w:hint="eastAsia"/>
            <w:noProof/>
          </w:rPr>
          <w:t>民法上特種贈與</w:t>
        </w:r>
        <w:r>
          <w:rPr>
            <w:noProof/>
            <w:webHidden/>
          </w:rPr>
          <w:tab/>
        </w:r>
        <w:r>
          <w:rPr>
            <w:noProof/>
            <w:webHidden/>
          </w:rPr>
          <w:fldChar w:fldCharType="begin"/>
        </w:r>
        <w:r>
          <w:rPr>
            <w:noProof/>
            <w:webHidden/>
          </w:rPr>
          <w:instrText xml:space="preserve"> PAGEREF _Toc211785259 \h </w:instrText>
        </w:r>
        <w:r>
          <w:rPr>
            <w:noProof/>
            <w:webHidden/>
          </w:rPr>
        </w:r>
        <w:r>
          <w:rPr>
            <w:noProof/>
            <w:webHidden/>
          </w:rPr>
          <w:fldChar w:fldCharType="separate"/>
        </w:r>
        <w:r>
          <w:rPr>
            <w:noProof/>
            <w:webHidden/>
          </w:rPr>
          <w:t>7</w:t>
        </w:r>
        <w:r>
          <w:rPr>
            <w:noProof/>
            <w:webHidden/>
          </w:rPr>
          <w:fldChar w:fldCharType="end"/>
        </w:r>
      </w:hyperlink>
    </w:p>
    <w:p w:rsidR="00833731" w:rsidRDefault="00833731">
      <w:pPr>
        <w:pStyle w:val="21"/>
        <w:tabs>
          <w:tab w:val="right" w:leader="dot" w:pos="8630"/>
        </w:tabs>
        <w:ind w:left="400"/>
        <w:rPr>
          <w:noProof/>
        </w:rPr>
      </w:pPr>
      <w:hyperlink w:anchor="_Toc211785260" w:history="1">
        <w:r w:rsidRPr="00514825">
          <w:rPr>
            <w:rStyle w:val="af"/>
            <w:rFonts w:hint="eastAsia"/>
            <w:noProof/>
          </w:rPr>
          <w:t>判決的緣起</w:t>
        </w:r>
        <w:r>
          <w:rPr>
            <w:noProof/>
            <w:webHidden/>
          </w:rPr>
          <w:tab/>
        </w:r>
        <w:r>
          <w:rPr>
            <w:noProof/>
            <w:webHidden/>
          </w:rPr>
          <w:fldChar w:fldCharType="begin"/>
        </w:r>
        <w:r>
          <w:rPr>
            <w:noProof/>
            <w:webHidden/>
          </w:rPr>
          <w:instrText xml:space="preserve"> PAGEREF _Toc211785260 \h </w:instrText>
        </w:r>
        <w:r>
          <w:rPr>
            <w:noProof/>
            <w:webHidden/>
          </w:rPr>
        </w:r>
        <w:r>
          <w:rPr>
            <w:noProof/>
            <w:webHidden/>
          </w:rPr>
          <w:fldChar w:fldCharType="separate"/>
        </w:r>
        <w:r>
          <w:rPr>
            <w:noProof/>
            <w:webHidden/>
          </w:rPr>
          <w:t>9</w:t>
        </w:r>
        <w:r>
          <w:rPr>
            <w:noProof/>
            <w:webHidden/>
          </w:rPr>
          <w:fldChar w:fldCharType="end"/>
        </w:r>
      </w:hyperlink>
    </w:p>
    <w:p w:rsidR="00833731" w:rsidRDefault="00833731">
      <w:pPr>
        <w:pStyle w:val="31"/>
        <w:tabs>
          <w:tab w:val="right" w:leader="dot" w:pos="8630"/>
        </w:tabs>
        <w:ind w:left="800"/>
        <w:rPr>
          <w:noProof/>
        </w:rPr>
      </w:pPr>
      <w:hyperlink w:anchor="_Toc211785261" w:history="1">
        <w:r w:rsidRPr="00514825">
          <w:rPr>
            <w:rStyle w:val="af"/>
            <w:rFonts w:hint="eastAsia"/>
            <w:noProof/>
          </w:rPr>
          <w:t>法位階法規範的憲法審查聲請</w:t>
        </w:r>
        <w:r>
          <w:rPr>
            <w:noProof/>
            <w:webHidden/>
          </w:rPr>
          <w:tab/>
        </w:r>
        <w:r>
          <w:rPr>
            <w:noProof/>
            <w:webHidden/>
          </w:rPr>
          <w:fldChar w:fldCharType="begin"/>
        </w:r>
        <w:r>
          <w:rPr>
            <w:noProof/>
            <w:webHidden/>
          </w:rPr>
          <w:instrText xml:space="preserve"> PAGEREF _Toc211785261 \h </w:instrText>
        </w:r>
        <w:r>
          <w:rPr>
            <w:noProof/>
            <w:webHidden/>
          </w:rPr>
        </w:r>
        <w:r>
          <w:rPr>
            <w:noProof/>
            <w:webHidden/>
          </w:rPr>
          <w:fldChar w:fldCharType="separate"/>
        </w:r>
        <w:r>
          <w:rPr>
            <w:noProof/>
            <w:webHidden/>
          </w:rPr>
          <w:t>9</w:t>
        </w:r>
        <w:r>
          <w:rPr>
            <w:noProof/>
            <w:webHidden/>
          </w:rPr>
          <w:fldChar w:fldCharType="end"/>
        </w:r>
      </w:hyperlink>
    </w:p>
    <w:p w:rsidR="00833731" w:rsidRDefault="00833731">
      <w:pPr>
        <w:pStyle w:val="31"/>
        <w:tabs>
          <w:tab w:val="right" w:leader="dot" w:pos="8630"/>
        </w:tabs>
        <w:ind w:left="800"/>
        <w:rPr>
          <w:noProof/>
        </w:rPr>
      </w:pPr>
      <w:hyperlink w:anchor="_Toc211785262" w:history="1">
        <w:r w:rsidRPr="00514825">
          <w:rPr>
            <w:rStyle w:val="af"/>
            <w:rFonts w:hint="eastAsia"/>
            <w:noProof/>
          </w:rPr>
          <w:t>實體判決的憲法審查聲請</w:t>
        </w:r>
        <w:r>
          <w:rPr>
            <w:noProof/>
            <w:webHidden/>
          </w:rPr>
          <w:tab/>
        </w:r>
        <w:r>
          <w:rPr>
            <w:noProof/>
            <w:webHidden/>
          </w:rPr>
          <w:fldChar w:fldCharType="begin"/>
        </w:r>
        <w:r>
          <w:rPr>
            <w:noProof/>
            <w:webHidden/>
          </w:rPr>
          <w:instrText xml:space="preserve"> PAGEREF _Toc211785262 \h </w:instrText>
        </w:r>
        <w:r>
          <w:rPr>
            <w:noProof/>
            <w:webHidden/>
          </w:rPr>
        </w:r>
        <w:r>
          <w:rPr>
            <w:noProof/>
            <w:webHidden/>
          </w:rPr>
          <w:fldChar w:fldCharType="separate"/>
        </w:r>
        <w:r>
          <w:rPr>
            <w:noProof/>
            <w:webHidden/>
          </w:rPr>
          <w:t>10</w:t>
        </w:r>
        <w:r>
          <w:rPr>
            <w:noProof/>
            <w:webHidden/>
          </w:rPr>
          <w:fldChar w:fldCharType="end"/>
        </w:r>
      </w:hyperlink>
    </w:p>
    <w:p w:rsidR="00833731" w:rsidRDefault="00833731">
      <w:pPr>
        <w:pStyle w:val="21"/>
        <w:tabs>
          <w:tab w:val="right" w:leader="dot" w:pos="8630"/>
        </w:tabs>
        <w:ind w:left="400"/>
        <w:rPr>
          <w:noProof/>
        </w:rPr>
      </w:pPr>
      <w:hyperlink w:anchor="_Toc211785263" w:history="1">
        <w:r w:rsidRPr="00514825">
          <w:rPr>
            <w:rStyle w:val="af"/>
            <w:rFonts w:hint="eastAsia"/>
            <w:noProof/>
          </w:rPr>
          <w:t>判決主文解析</w:t>
        </w:r>
        <w:r>
          <w:rPr>
            <w:noProof/>
            <w:webHidden/>
          </w:rPr>
          <w:tab/>
        </w:r>
        <w:r>
          <w:rPr>
            <w:noProof/>
            <w:webHidden/>
          </w:rPr>
          <w:fldChar w:fldCharType="begin"/>
        </w:r>
        <w:r>
          <w:rPr>
            <w:noProof/>
            <w:webHidden/>
          </w:rPr>
          <w:instrText xml:space="preserve"> PAGEREF _Toc211785263 \h </w:instrText>
        </w:r>
        <w:r>
          <w:rPr>
            <w:noProof/>
            <w:webHidden/>
          </w:rPr>
        </w:r>
        <w:r>
          <w:rPr>
            <w:noProof/>
            <w:webHidden/>
          </w:rPr>
          <w:fldChar w:fldCharType="separate"/>
        </w:r>
        <w:r>
          <w:rPr>
            <w:noProof/>
            <w:webHidden/>
          </w:rPr>
          <w:t>12</w:t>
        </w:r>
        <w:r>
          <w:rPr>
            <w:noProof/>
            <w:webHidden/>
          </w:rPr>
          <w:fldChar w:fldCharType="end"/>
        </w:r>
      </w:hyperlink>
    </w:p>
    <w:p w:rsidR="00833731" w:rsidRDefault="00833731">
      <w:pPr>
        <w:pStyle w:val="31"/>
        <w:tabs>
          <w:tab w:val="right" w:leader="dot" w:pos="8630"/>
        </w:tabs>
        <w:ind w:left="800"/>
        <w:rPr>
          <w:noProof/>
        </w:rPr>
      </w:pPr>
      <w:hyperlink w:anchor="_Toc211785264" w:history="1">
        <w:r w:rsidRPr="00514825">
          <w:rPr>
            <w:rStyle w:val="af"/>
            <w:rFonts w:hint="eastAsia"/>
            <w:noProof/>
          </w:rPr>
          <w:t>主文重點</w:t>
        </w:r>
        <w:r>
          <w:rPr>
            <w:noProof/>
            <w:webHidden/>
          </w:rPr>
          <w:tab/>
        </w:r>
        <w:r>
          <w:rPr>
            <w:noProof/>
            <w:webHidden/>
          </w:rPr>
          <w:fldChar w:fldCharType="begin"/>
        </w:r>
        <w:r>
          <w:rPr>
            <w:noProof/>
            <w:webHidden/>
          </w:rPr>
          <w:instrText xml:space="preserve"> PAGEREF _Toc211785264 \h </w:instrText>
        </w:r>
        <w:r>
          <w:rPr>
            <w:noProof/>
            <w:webHidden/>
          </w:rPr>
        </w:r>
        <w:r>
          <w:rPr>
            <w:noProof/>
            <w:webHidden/>
          </w:rPr>
          <w:fldChar w:fldCharType="separate"/>
        </w:r>
        <w:r>
          <w:rPr>
            <w:noProof/>
            <w:webHidden/>
          </w:rPr>
          <w:t>12</w:t>
        </w:r>
        <w:r>
          <w:rPr>
            <w:noProof/>
            <w:webHidden/>
          </w:rPr>
          <w:fldChar w:fldCharType="end"/>
        </w:r>
      </w:hyperlink>
    </w:p>
    <w:p w:rsidR="00833731" w:rsidRDefault="00833731">
      <w:pPr>
        <w:pStyle w:val="31"/>
        <w:tabs>
          <w:tab w:val="right" w:leader="dot" w:pos="8630"/>
        </w:tabs>
        <w:ind w:left="800"/>
        <w:rPr>
          <w:noProof/>
        </w:rPr>
      </w:pPr>
      <w:hyperlink w:anchor="_Toc211785265" w:history="1">
        <w:r w:rsidRPr="00514825">
          <w:rPr>
            <w:rStyle w:val="af"/>
            <w:rFonts w:hint="eastAsia"/>
            <w:noProof/>
          </w:rPr>
          <w:t>主文一與主文二</w:t>
        </w:r>
        <w:r>
          <w:rPr>
            <w:noProof/>
            <w:webHidden/>
          </w:rPr>
          <w:tab/>
        </w:r>
        <w:r>
          <w:rPr>
            <w:noProof/>
            <w:webHidden/>
          </w:rPr>
          <w:fldChar w:fldCharType="begin"/>
        </w:r>
        <w:r>
          <w:rPr>
            <w:noProof/>
            <w:webHidden/>
          </w:rPr>
          <w:instrText xml:space="preserve"> PAGEREF _Toc211785265 \h </w:instrText>
        </w:r>
        <w:r>
          <w:rPr>
            <w:noProof/>
            <w:webHidden/>
          </w:rPr>
        </w:r>
        <w:r>
          <w:rPr>
            <w:noProof/>
            <w:webHidden/>
          </w:rPr>
          <w:fldChar w:fldCharType="separate"/>
        </w:r>
        <w:r>
          <w:rPr>
            <w:noProof/>
            <w:webHidden/>
          </w:rPr>
          <w:t>12</w:t>
        </w:r>
        <w:r>
          <w:rPr>
            <w:noProof/>
            <w:webHidden/>
          </w:rPr>
          <w:fldChar w:fldCharType="end"/>
        </w:r>
      </w:hyperlink>
    </w:p>
    <w:p w:rsidR="00833731" w:rsidRDefault="00833731">
      <w:pPr>
        <w:pStyle w:val="31"/>
        <w:tabs>
          <w:tab w:val="right" w:leader="dot" w:pos="8630"/>
        </w:tabs>
        <w:ind w:left="800"/>
        <w:rPr>
          <w:noProof/>
        </w:rPr>
      </w:pPr>
      <w:hyperlink w:anchor="_Toc211785266" w:history="1">
        <w:r w:rsidRPr="00514825">
          <w:rPr>
            <w:rStyle w:val="af"/>
            <w:rFonts w:hint="eastAsia"/>
            <w:noProof/>
          </w:rPr>
          <w:t>主文三與主文四</w:t>
        </w:r>
        <w:r>
          <w:rPr>
            <w:noProof/>
            <w:webHidden/>
          </w:rPr>
          <w:tab/>
        </w:r>
        <w:r>
          <w:rPr>
            <w:noProof/>
            <w:webHidden/>
          </w:rPr>
          <w:fldChar w:fldCharType="begin"/>
        </w:r>
        <w:r>
          <w:rPr>
            <w:noProof/>
            <w:webHidden/>
          </w:rPr>
          <w:instrText xml:space="preserve"> PAGEREF _Toc211785266 \h </w:instrText>
        </w:r>
        <w:r>
          <w:rPr>
            <w:noProof/>
            <w:webHidden/>
          </w:rPr>
        </w:r>
        <w:r>
          <w:rPr>
            <w:noProof/>
            <w:webHidden/>
          </w:rPr>
          <w:fldChar w:fldCharType="separate"/>
        </w:r>
        <w:r>
          <w:rPr>
            <w:noProof/>
            <w:webHidden/>
          </w:rPr>
          <w:t>13</w:t>
        </w:r>
        <w:r>
          <w:rPr>
            <w:noProof/>
            <w:webHidden/>
          </w:rPr>
          <w:fldChar w:fldCharType="end"/>
        </w:r>
      </w:hyperlink>
    </w:p>
    <w:p w:rsidR="00833731" w:rsidRDefault="00833731">
      <w:pPr>
        <w:pStyle w:val="31"/>
        <w:tabs>
          <w:tab w:val="right" w:leader="dot" w:pos="8630"/>
        </w:tabs>
        <w:ind w:left="800"/>
        <w:rPr>
          <w:noProof/>
        </w:rPr>
      </w:pPr>
      <w:hyperlink w:anchor="_Toc211785267" w:history="1">
        <w:r w:rsidRPr="00514825">
          <w:rPr>
            <w:rStyle w:val="af"/>
            <w:rFonts w:hint="eastAsia"/>
            <w:noProof/>
          </w:rPr>
          <w:t>三個核心問題整理</w:t>
        </w:r>
        <w:r>
          <w:rPr>
            <w:noProof/>
            <w:webHidden/>
          </w:rPr>
          <w:tab/>
        </w:r>
        <w:r>
          <w:rPr>
            <w:noProof/>
            <w:webHidden/>
          </w:rPr>
          <w:fldChar w:fldCharType="begin"/>
        </w:r>
        <w:r>
          <w:rPr>
            <w:noProof/>
            <w:webHidden/>
          </w:rPr>
          <w:instrText xml:space="preserve"> PAGEREF _Toc211785267 \h </w:instrText>
        </w:r>
        <w:r>
          <w:rPr>
            <w:noProof/>
            <w:webHidden/>
          </w:rPr>
        </w:r>
        <w:r>
          <w:rPr>
            <w:noProof/>
            <w:webHidden/>
          </w:rPr>
          <w:fldChar w:fldCharType="separate"/>
        </w:r>
        <w:r>
          <w:rPr>
            <w:noProof/>
            <w:webHidden/>
          </w:rPr>
          <w:t>13</w:t>
        </w:r>
        <w:r>
          <w:rPr>
            <w:noProof/>
            <w:webHidden/>
          </w:rPr>
          <w:fldChar w:fldCharType="end"/>
        </w:r>
      </w:hyperlink>
    </w:p>
    <w:p w:rsidR="00833731" w:rsidRDefault="00833731">
      <w:pPr>
        <w:pStyle w:val="21"/>
        <w:tabs>
          <w:tab w:val="right" w:leader="dot" w:pos="8630"/>
        </w:tabs>
        <w:ind w:left="400"/>
        <w:rPr>
          <w:noProof/>
        </w:rPr>
      </w:pPr>
      <w:hyperlink w:anchor="_Toc211785268" w:history="1">
        <w:r w:rsidRPr="00514825">
          <w:rPr>
            <w:rStyle w:val="af"/>
            <w:rFonts w:hint="eastAsia"/>
            <w:noProof/>
          </w:rPr>
          <w:t>第一、二個問題：基本權的性質與審查</w:t>
        </w:r>
        <w:r>
          <w:rPr>
            <w:noProof/>
            <w:webHidden/>
          </w:rPr>
          <w:tab/>
        </w:r>
        <w:r>
          <w:rPr>
            <w:noProof/>
            <w:webHidden/>
          </w:rPr>
          <w:fldChar w:fldCharType="begin"/>
        </w:r>
        <w:r>
          <w:rPr>
            <w:noProof/>
            <w:webHidden/>
          </w:rPr>
          <w:instrText xml:space="preserve"> PAGEREF _Toc211785268 \h </w:instrText>
        </w:r>
        <w:r>
          <w:rPr>
            <w:noProof/>
            <w:webHidden/>
          </w:rPr>
        </w:r>
        <w:r>
          <w:rPr>
            <w:noProof/>
            <w:webHidden/>
          </w:rPr>
          <w:fldChar w:fldCharType="separate"/>
        </w:r>
        <w:r>
          <w:rPr>
            <w:noProof/>
            <w:webHidden/>
          </w:rPr>
          <w:t>14</w:t>
        </w:r>
        <w:r>
          <w:rPr>
            <w:noProof/>
            <w:webHidden/>
          </w:rPr>
          <w:fldChar w:fldCharType="end"/>
        </w:r>
      </w:hyperlink>
    </w:p>
    <w:p w:rsidR="00833731" w:rsidRDefault="00833731">
      <w:pPr>
        <w:pStyle w:val="31"/>
        <w:tabs>
          <w:tab w:val="right" w:leader="dot" w:pos="8630"/>
        </w:tabs>
        <w:ind w:left="800"/>
        <w:rPr>
          <w:noProof/>
        </w:rPr>
      </w:pPr>
      <w:hyperlink w:anchor="_Toc211785269" w:history="1">
        <w:r w:rsidRPr="00514825">
          <w:rPr>
            <w:rStyle w:val="af"/>
            <w:rFonts w:hint="eastAsia"/>
            <w:noProof/>
          </w:rPr>
          <w:t>平等權的基本觀念</w:t>
        </w:r>
        <w:r>
          <w:rPr>
            <w:noProof/>
            <w:webHidden/>
          </w:rPr>
          <w:tab/>
        </w:r>
        <w:r>
          <w:rPr>
            <w:noProof/>
            <w:webHidden/>
          </w:rPr>
          <w:fldChar w:fldCharType="begin"/>
        </w:r>
        <w:r>
          <w:rPr>
            <w:noProof/>
            <w:webHidden/>
          </w:rPr>
          <w:instrText xml:space="preserve"> PAGEREF _Toc211785269 \h </w:instrText>
        </w:r>
        <w:r>
          <w:rPr>
            <w:noProof/>
            <w:webHidden/>
          </w:rPr>
        </w:r>
        <w:r>
          <w:rPr>
            <w:noProof/>
            <w:webHidden/>
          </w:rPr>
          <w:fldChar w:fldCharType="separate"/>
        </w:r>
        <w:r>
          <w:rPr>
            <w:noProof/>
            <w:webHidden/>
          </w:rPr>
          <w:t>14</w:t>
        </w:r>
        <w:r>
          <w:rPr>
            <w:noProof/>
            <w:webHidden/>
          </w:rPr>
          <w:fldChar w:fldCharType="end"/>
        </w:r>
      </w:hyperlink>
    </w:p>
    <w:p w:rsidR="00833731" w:rsidRDefault="00833731">
      <w:pPr>
        <w:pStyle w:val="31"/>
        <w:tabs>
          <w:tab w:val="right" w:leader="dot" w:pos="8630"/>
        </w:tabs>
        <w:ind w:left="800"/>
        <w:rPr>
          <w:noProof/>
        </w:rPr>
      </w:pPr>
      <w:hyperlink w:anchor="_Toc211785270" w:history="1">
        <w:r w:rsidRPr="00514825">
          <w:rPr>
            <w:rStyle w:val="af"/>
            <w:rFonts w:hint="eastAsia"/>
            <w:noProof/>
          </w:rPr>
          <w:t>平等權「可比較性」課堂示例</w:t>
        </w:r>
        <w:r>
          <w:rPr>
            <w:noProof/>
            <w:webHidden/>
          </w:rPr>
          <w:tab/>
        </w:r>
        <w:r>
          <w:rPr>
            <w:noProof/>
            <w:webHidden/>
          </w:rPr>
          <w:fldChar w:fldCharType="begin"/>
        </w:r>
        <w:r>
          <w:rPr>
            <w:noProof/>
            <w:webHidden/>
          </w:rPr>
          <w:instrText xml:space="preserve"> PAGEREF _Toc211785270 \h </w:instrText>
        </w:r>
        <w:r>
          <w:rPr>
            <w:noProof/>
            <w:webHidden/>
          </w:rPr>
        </w:r>
        <w:r>
          <w:rPr>
            <w:noProof/>
            <w:webHidden/>
          </w:rPr>
          <w:fldChar w:fldCharType="separate"/>
        </w:r>
        <w:r>
          <w:rPr>
            <w:noProof/>
            <w:webHidden/>
          </w:rPr>
          <w:t>14</w:t>
        </w:r>
        <w:r>
          <w:rPr>
            <w:noProof/>
            <w:webHidden/>
          </w:rPr>
          <w:fldChar w:fldCharType="end"/>
        </w:r>
      </w:hyperlink>
    </w:p>
    <w:p w:rsidR="00833731" w:rsidRDefault="00833731">
      <w:pPr>
        <w:pStyle w:val="31"/>
        <w:tabs>
          <w:tab w:val="right" w:leader="dot" w:pos="8630"/>
        </w:tabs>
        <w:ind w:left="800"/>
        <w:rPr>
          <w:noProof/>
        </w:rPr>
      </w:pPr>
      <w:hyperlink w:anchor="_Toc211785271" w:history="1">
        <w:r w:rsidRPr="00514825">
          <w:rPr>
            <w:rStyle w:val="af"/>
            <w:rFonts w:hint="eastAsia"/>
            <w:noProof/>
          </w:rPr>
          <w:t>平等權的三階段審查程序</w:t>
        </w:r>
        <w:r>
          <w:rPr>
            <w:noProof/>
            <w:webHidden/>
          </w:rPr>
          <w:tab/>
        </w:r>
        <w:r>
          <w:rPr>
            <w:noProof/>
            <w:webHidden/>
          </w:rPr>
          <w:fldChar w:fldCharType="begin"/>
        </w:r>
        <w:r>
          <w:rPr>
            <w:noProof/>
            <w:webHidden/>
          </w:rPr>
          <w:instrText xml:space="preserve"> PAGEREF _Toc211785271 \h </w:instrText>
        </w:r>
        <w:r>
          <w:rPr>
            <w:noProof/>
            <w:webHidden/>
          </w:rPr>
        </w:r>
        <w:r>
          <w:rPr>
            <w:noProof/>
            <w:webHidden/>
          </w:rPr>
          <w:fldChar w:fldCharType="separate"/>
        </w:r>
        <w:r>
          <w:rPr>
            <w:noProof/>
            <w:webHidden/>
          </w:rPr>
          <w:t>15</w:t>
        </w:r>
        <w:r>
          <w:rPr>
            <w:noProof/>
            <w:webHidden/>
          </w:rPr>
          <w:fldChar w:fldCharType="end"/>
        </w:r>
      </w:hyperlink>
    </w:p>
    <w:p w:rsidR="00833731" w:rsidRDefault="00833731">
      <w:pPr>
        <w:pStyle w:val="41"/>
        <w:tabs>
          <w:tab w:val="right" w:leader="dot" w:pos="8630"/>
        </w:tabs>
        <w:ind w:left="1200"/>
        <w:rPr>
          <w:noProof/>
        </w:rPr>
      </w:pPr>
      <w:hyperlink w:anchor="_Toc211785272" w:history="1">
        <w:r w:rsidRPr="00514825">
          <w:rPr>
            <w:rStyle w:val="af"/>
            <w:rFonts w:hint="eastAsia"/>
            <w:noProof/>
          </w:rPr>
          <w:t>第一階：建構可比較群體</w:t>
        </w:r>
        <w:r>
          <w:rPr>
            <w:noProof/>
            <w:webHidden/>
          </w:rPr>
          <w:tab/>
        </w:r>
        <w:r>
          <w:rPr>
            <w:noProof/>
            <w:webHidden/>
          </w:rPr>
          <w:fldChar w:fldCharType="begin"/>
        </w:r>
        <w:r>
          <w:rPr>
            <w:noProof/>
            <w:webHidden/>
          </w:rPr>
          <w:instrText xml:space="preserve"> PAGEREF _Toc211785272 \h </w:instrText>
        </w:r>
        <w:r>
          <w:rPr>
            <w:noProof/>
            <w:webHidden/>
          </w:rPr>
        </w:r>
        <w:r>
          <w:rPr>
            <w:noProof/>
            <w:webHidden/>
          </w:rPr>
          <w:fldChar w:fldCharType="separate"/>
        </w:r>
        <w:r>
          <w:rPr>
            <w:noProof/>
            <w:webHidden/>
          </w:rPr>
          <w:t>15</w:t>
        </w:r>
        <w:r>
          <w:rPr>
            <w:noProof/>
            <w:webHidden/>
          </w:rPr>
          <w:fldChar w:fldCharType="end"/>
        </w:r>
      </w:hyperlink>
    </w:p>
    <w:p w:rsidR="00833731" w:rsidRDefault="00833731">
      <w:pPr>
        <w:pStyle w:val="41"/>
        <w:tabs>
          <w:tab w:val="right" w:leader="dot" w:pos="8630"/>
        </w:tabs>
        <w:ind w:left="1200"/>
        <w:rPr>
          <w:noProof/>
        </w:rPr>
      </w:pPr>
      <w:hyperlink w:anchor="_Toc211785273" w:history="1">
        <w:r w:rsidRPr="00514825">
          <w:rPr>
            <w:rStyle w:val="af"/>
            <w:rFonts w:hint="eastAsia"/>
            <w:noProof/>
          </w:rPr>
          <w:t>第二階：確認差別對待的存在</w:t>
        </w:r>
        <w:r>
          <w:rPr>
            <w:noProof/>
            <w:webHidden/>
          </w:rPr>
          <w:tab/>
        </w:r>
        <w:r>
          <w:rPr>
            <w:noProof/>
            <w:webHidden/>
          </w:rPr>
          <w:fldChar w:fldCharType="begin"/>
        </w:r>
        <w:r>
          <w:rPr>
            <w:noProof/>
            <w:webHidden/>
          </w:rPr>
          <w:instrText xml:space="preserve"> PAGEREF _Toc211785273 \h </w:instrText>
        </w:r>
        <w:r>
          <w:rPr>
            <w:noProof/>
            <w:webHidden/>
          </w:rPr>
        </w:r>
        <w:r>
          <w:rPr>
            <w:noProof/>
            <w:webHidden/>
          </w:rPr>
          <w:fldChar w:fldCharType="separate"/>
        </w:r>
        <w:r>
          <w:rPr>
            <w:noProof/>
            <w:webHidden/>
          </w:rPr>
          <w:t>15</w:t>
        </w:r>
        <w:r>
          <w:rPr>
            <w:noProof/>
            <w:webHidden/>
          </w:rPr>
          <w:fldChar w:fldCharType="end"/>
        </w:r>
      </w:hyperlink>
    </w:p>
    <w:p w:rsidR="00833731" w:rsidRDefault="00833731">
      <w:pPr>
        <w:pStyle w:val="41"/>
        <w:tabs>
          <w:tab w:val="right" w:leader="dot" w:pos="8630"/>
        </w:tabs>
        <w:ind w:left="1200"/>
        <w:rPr>
          <w:noProof/>
        </w:rPr>
      </w:pPr>
      <w:hyperlink w:anchor="_Toc211785274" w:history="1">
        <w:r w:rsidRPr="00514825">
          <w:rPr>
            <w:rStyle w:val="af"/>
            <w:rFonts w:hint="eastAsia"/>
            <w:noProof/>
          </w:rPr>
          <w:t>第三階：差別對待的正當性審查</w:t>
        </w:r>
        <w:r>
          <w:rPr>
            <w:noProof/>
            <w:webHidden/>
          </w:rPr>
          <w:tab/>
        </w:r>
        <w:r>
          <w:rPr>
            <w:noProof/>
            <w:webHidden/>
          </w:rPr>
          <w:fldChar w:fldCharType="begin"/>
        </w:r>
        <w:r>
          <w:rPr>
            <w:noProof/>
            <w:webHidden/>
          </w:rPr>
          <w:instrText xml:space="preserve"> PAGEREF _Toc211785274 \h </w:instrText>
        </w:r>
        <w:r>
          <w:rPr>
            <w:noProof/>
            <w:webHidden/>
          </w:rPr>
        </w:r>
        <w:r>
          <w:rPr>
            <w:noProof/>
            <w:webHidden/>
          </w:rPr>
          <w:fldChar w:fldCharType="separate"/>
        </w:r>
        <w:r>
          <w:rPr>
            <w:noProof/>
            <w:webHidden/>
          </w:rPr>
          <w:t>16</w:t>
        </w:r>
        <w:r>
          <w:rPr>
            <w:noProof/>
            <w:webHidden/>
          </w:rPr>
          <w:fldChar w:fldCharType="end"/>
        </w:r>
      </w:hyperlink>
    </w:p>
    <w:p w:rsidR="00833731" w:rsidRDefault="00833731">
      <w:pPr>
        <w:pStyle w:val="31"/>
        <w:tabs>
          <w:tab w:val="right" w:leader="dot" w:pos="8630"/>
        </w:tabs>
        <w:ind w:left="800"/>
        <w:rPr>
          <w:noProof/>
        </w:rPr>
      </w:pPr>
      <w:hyperlink w:anchor="_Toc211785275" w:history="1">
        <w:r w:rsidRPr="00514825">
          <w:rPr>
            <w:rStyle w:val="af"/>
            <w:rFonts w:hint="eastAsia"/>
            <w:noProof/>
          </w:rPr>
          <w:t>平等原則的兩種違反類型</w:t>
        </w:r>
        <w:r>
          <w:rPr>
            <w:noProof/>
            <w:webHidden/>
          </w:rPr>
          <w:tab/>
        </w:r>
        <w:r>
          <w:rPr>
            <w:noProof/>
            <w:webHidden/>
          </w:rPr>
          <w:fldChar w:fldCharType="begin"/>
        </w:r>
        <w:r>
          <w:rPr>
            <w:noProof/>
            <w:webHidden/>
          </w:rPr>
          <w:instrText xml:space="preserve"> PAGEREF _Toc211785275 \h </w:instrText>
        </w:r>
        <w:r>
          <w:rPr>
            <w:noProof/>
            <w:webHidden/>
          </w:rPr>
        </w:r>
        <w:r>
          <w:rPr>
            <w:noProof/>
            <w:webHidden/>
          </w:rPr>
          <w:fldChar w:fldCharType="separate"/>
        </w:r>
        <w:r>
          <w:rPr>
            <w:noProof/>
            <w:webHidden/>
          </w:rPr>
          <w:t>16</w:t>
        </w:r>
        <w:r>
          <w:rPr>
            <w:noProof/>
            <w:webHidden/>
          </w:rPr>
          <w:fldChar w:fldCharType="end"/>
        </w:r>
      </w:hyperlink>
    </w:p>
    <w:p w:rsidR="00833731" w:rsidRDefault="00833731">
      <w:pPr>
        <w:pStyle w:val="31"/>
        <w:tabs>
          <w:tab w:val="right" w:leader="dot" w:pos="8630"/>
        </w:tabs>
        <w:ind w:left="800"/>
        <w:rPr>
          <w:noProof/>
        </w:rPr>
      </w:pPr>
      <w:hyperlink w:anchor="_Toc211785276" w:history="1">
        <w:r w:rsidRPr="00514825">
          <w:rPr>
            <w:rStyle w:val="af"/>
            <w:rFonts w:hint="eastAsia"/>
            <w:noProof/>
          </w:rPr>
          <w:t>「違反平等原則」課堂示例</w:t>
        </w:r>
        <w:r>
          <w:rPr>
            <w:noProof/>
            <w:webHidden/>
          </w:rPr>
          <w:tab/>
        </w:r>
        <w:r>
          <w:rPr>
            <w:noProof/>
            <w:webHidden/>
          </w:rPr>
          <w:fldChar w:fldCharType="begin"/>
        </w:r>
        <w:r>
          <w:rPr>
            <w:noProof/>
            <w:webHidden/>
          </w:rPr>
          <w:instrText xml:space="preserve"> PAGEREF _Toc211785276 \h </w:instrText>
        </w:r>
        <w:r>
          <w:rPr>
            <w:noProof/>
            <w:webHidden/>
          </w:rPr>
        </w:r>
        <w:r>
          <w:rPr>
            <w:noProof/>
            <w:webHidden/>
          </w:rPr>
          <w:fldChar w:fldCharType="separate"/>
        </w:r>
        <w:r>
          <w:rPr>
            <w:noProof/>
            <w:webHidden/>
          </w:rPr>
          <w:t>16</w:t>
        </w:r>
        <w:r>
          <w:rPr>
            <w:noProof/>
            <w:webHidden/>
          </w:rPr>
          <w:fldChar w:fldCharType="end"/>
        </w:r>
      </w:hyperlink>
    </w:p>
    <w:p w:rsidR="00833731" w:rsidRDefault="00833731">
      <w:pPr>
        <w:pStyle w:val="31"/>
        <w:tabs>
          <w:tab w:val="right" w:leader="dot" w:pos="8630"/>
        </w:tabs>
        <w:ind w:left="800"/>
        <w:rPr>
          <w:noProof/>
        </w:rPr>
      </w:pPr>
      <w:hyperlink w:anchor="_Toc211785277" w:history="1">
        <w:r w:rsidRPr="00514825">
          <w:rPr>
            <w:rStyle w:val="af"/>
            <w:rFonts w:hint="eastAsia"/>
            <w:noProof/>
          </w:rPr>
          <w:t>平等原則「審查密度」與分類</w:t>
        </w:r>
        <w:r>
          <w:rPr>
            <w:noProof/>
            <w:webHidden/>
          </w:rPr>
          <w:tab/>
        </w:r>
        <w:r>
          <w:rPr>
            <w:noProof/>
            <w:webHidden/>
          </w:rPr>
          <w:fldChar w:fldCharType="begin"/>
        </w:r>
        <w:r>
          <w:rPr>
            <w:noProof/>
            <w:webHidden/>
          </w:rPr>
          <w:instrText xml:space="preserve"> PAGEREF _Toc211785277 \h </w:instrText>
        </w:r>
        <w:r>
          <w:rPr>
            <w:noProof/>
            <w:webHidden/>
          </w:rPr>
        </w:r>
        <w:r>
          <w:rPr>
            <w:noProof/>
            <w:webHidden/>
          </w:rPr>
          <w:fldChar w:fldCharType="separate"/>
        </w:r>
        <w:r>
          <w:rPr>
            <w:noProof/>
            <w:webHidden/>
          </w:rPr>
          <w:t>17</w:t>
        </w:r>
        <w:r>
          <w:rPr>
            <w:noProof/>
            <w:webHidden/>
          </w:rPr>
          <w:fldChar w:fldCharType="end"/>
        </w:r>
      </w:hyperlink>
    </w:p>
    <w:p w:rsidR="00833731" w:rsidRDefault="00833731">
      <w:pPr>
        <w:pStyle w:val="31"/>
        <w:tabs>
          <w:tab w:val="right" w:leader="dot" w:pos="8630"/>
        </w:tabs>
        <w:ind w:left="800"/>
        <w:rPr>
          <w:noProof/>
        </w:rPr>
      </w:pPr>
      <w:hyperlink w:anchor="_Toc211785278" w:history="1">
        <w:r w:rsidRPr="00514825">
          <w:rPr>
            <w:rStyle w:val="af"/>
            <w:rFonts w:hint="eastAsia"/>
            <w:noProof/>
          </w:rPr>
          <w:t>談財產權之前先談自由權</w:t>
        </w:r>
        <w:r>
          <w:rPr>
            <w:noProof/>
            <w:webHidden/>
          </w:rPr>
          <w:tab/>
        </w:r>
        <w:r>
          <w:rPr>
            <w:noProof/>
            <w:webHidden/>
          </w:rPr>
          <w:fldChar w:fldCharType="begin"/>
        </w:r>
        <w:r>
          <w:rPr>
            <w:noProof/>
            <w:webHidden/>
          </w:rPr>
          <w:instrText xml:space="preserve"> PAGEREF _Toc211785278 \h </w:instrText>
        </w:r>
        <w:r>
          <w:rPr>
            <w:noProof/>
            <w:webHidden/>
          </w:rPr>
        </w:r>
        <w:r>
          <w:rPr>
            <w:noProof/>
            <w:webHidden/>
          </w:rPr>
          <w:fldChar w:fldCharType="separate"/>
        </w:r>
        <w:r>
          <w:rPr>
            <w:noProof/>
            <w:webHidden/>
          </w:rPr>
          <w:t>18</w:t>
        </w:r>
        <w:r>
          <w:rPr>
            <w:noProof/>
            <w:webHidden/>
          </w:rPr>
          <w:fldChar w:fldCharType="end"/>
        </w:r>
      </w:hyperlink>
    </w:p>
    <w:p w:rsidR="00833731" w:rsidRDefault="00833731">
      <w:pPr>
        <w:pStyle w:val="31"/>
        <w:tabs>
          <w:tab w:val="right" w:leader="dot" w:pos="8630"/>
        </w:tabs>
        <w:ind w:left="800"/>
        <w:rPr>
          <w:noProof/>
        </w:rPr>
      </w:pPr>
      <w:hyperlink w:anchor="_Toc211785279" w:history="1">
        <w:r w:rsidRPr="00514825">
          <w:rPr>
            <w:rStyle w:val="af"/>
            <w:rFonts w:hint="eastAsia"/>
            <w:noProof/>
          </w:rPr>
          <w:t>自由權的三階段審查程序</w:t>
        </w:r>
        <w:r>
          <w:rPr>
            <w:noProof/>
            <w:webHidden/>
          </w:rPr>
          <w:tab/>
        </w:r>
        <w:r>
          <w:rPr>
            <w:noProof/>
            <w:webHidden/>
          </w:rPr>
          <w:fldChar w:fldCharType="begin"/>
        </w:r>
        <w:r>
          <w:rPr>
            <w:noProof/>
            <w:webHidden/>
          </w:rPr>
          <w:instrText xml:space="preserve"> PAGEREF _Toc211785279 \h </w:instrText>
        </w:r>
        <w:r>
          <w:rPr>
            <w:noProof/>
            <w:webHidden/>
          </w:rPr>
        </w:r>
        <w:r>
          <w:rPr>
            <w:noProof/>
            <w:webHidden/>
          </w:rPr>
          <w:fldChar w:fldCharType="separate"/>
        </w:r>
        <w:r>
          <w:rPr>
            <w:noProof/>
            <w:webHidden/>
          </w:rPr>
          <w:t>19</w:t>
        </w:r>
        <w:r>
          <w:rPr>
            <w:noProof/>
            <w:webHidden/>
          </w:rPr>
          <w:fldChar w:fldCharType="end"/>
        </w:r>
      </w:hyperlink>
    </w:p>
    <w:p w:rsidR="00833731" w:rsidRDefault="00833731">
      <w:pPr>
        <w:pStyle w:val="41"/>
        <w:tabs>
          <w:tab w:val="right" w:leader="dot" w:pos="8630"/>
        </w:tabs>
        <w:ind w:left="1200"/>
        <w:rPr>
          <w:noProof/>
        </w:rPr>
      </w:pPr>
      <w:hyperlink w:anchor="_Toc211785280" w:history="1">
        <w:r w:rsidRPr="00514825">
          <w:rPr>
            <w:rStyle w:val="af"/>
            <w:rFonts w:hint="eastAsia"/>
            <w:noProof/>
          </w:rPr>
          <w:t>第一階：確認受影響之生活領域</w:t>
        </w:r>
        <w:r>
          <w:rPr>
            <w:noProof/>
            <w:webHidden/>
          </w:rPr>
          <w:tab/>
        </w:r>
        <w:r>
          <w:rPr>
            <w:noProof/>
            <w:webHidden/>
          </w:rPr>
          <w:fldChar w:fldCharType="begin"/>
        </w:r>
        <w:r>
          <w:rPr>
            <w:noProof/>
            <w:webHidden/>
          </w:rPr>
          <w:instrText xml:space="preserve"> PAGEREF _Toc211785280 \h </w:instrText>
        </w:r>
        <w:r>
          <w:rPr>
            <w:noProof/>
            <w:webHidden/>
          </w:rPr>
        </w:r>
        <w:r>
          <w:rPr>
            <w:noProof/>
            <w:webHidden/>
          </w:rPr>
          <w:fldChar w:fldCharType="separate"/>
        </w:r>
        <w:r>
          <w:rPr>
            <w:noProof/>
            <w:webHidden/>
          </w:rPr>
          <w:t>19</w:t>
        </w:r>
        <w:r>
          <w:rPr>
            <w:noProof/>
            <w:webHidden/>
          </w:rPr>
          <w:fldChar w:fldCharType="end"/>
        </w:r>
      </w:hyperlink>
    </w:p>
    <w:p w:rsidR="00833731" w:rsidRDefault="00833731">
      <w:pPr>
        <w:pStyle w:val="41"/>
        <w:tabs>
          <w:tab w:val="right" w:leader="dot" w:pos="8630"/>
        </w:tabs>
        <w:ind w:left="1200"/>
        <w:rPr>
          <w:noProof/>
        </w:rPr>
      </w:pPr>
      <w:hyperlink w:anchor="_Toc211785281" w:history="1">
        <w:r w:rsidRPr="00514825">
          <w:rPr>
            <w:rStyle w:val="af"/>
            <w:rFonts w:hint="eastAsia"/>
            <w:noProof/>
          </w:rPr>
          <w:t>第二階：確認國家干預行為之存在</w:t>
        </w:r>
        <w:r>
          <w:rPr>
            <w:noProof/>
            <w:webHidden/>
          </w:rPr>
          <w:tab/>
        </w:r>
        <w:r>
          <w:rPr>
            <w:noProof/>
            <w:webHidden/>
          </w:rPr>
          <w:fldChar w:fldCharType="begin"/>
        </w:r>
        <w:r>
          <w:rPr>
            <w:noProof/>
            <w:webHidden/>
          </w:rPr>
          <w:instrText xml:space="preserve"> PAGEREF _Toc211785281 \h </w:instrText>
        </w:r>
        <w:r>
          <w:rPr>
            <w:noProof/>
            <w:webHidden/>
          </w:rPr>
        </w:r>
        <w:r>
          <w:rPr>
            <w:noProof/>
            <w:webHidden/>
          </w:rPr>
          <w:fldChar w:fldCharType="separate"/>
        </w:r>
        <w:r>
          <w:rPr>
            <w:noProof/>
            <w:webHidden/>
          </w:rPr>
          <w:t>20</w:t>
        </w:r>
        <w:r>
          <w:rPr>
            <w:noProof/>
            <w:webHidden/>
          </w:rPr>
          <w:fldChar w:fldCharType="end"/>
        </w:r>
      </w:hyperlink>
    </w:p>
    <w:p w:rsidR="00833731" w:rsidRDefault="00833731">
      <w:pPr>
        <w:pStyle w:val="41"/>
        <w:tabs>
          <w:tab w:val="right" w:leader="dot" w:pos="8630"/>
        </w:tabs>
        <w:ind w:left="1200"/>
        <w:rPr>
          <w:noProof/>
        </w:rPr>
      </w:pPr>
      <w:hyperlink w:anchor="_Toc211785282" w:history="1">
        <w:r w:rsidRPr="00514825">
          <w:rPr>
            <w:rStyle w:val="af"/>
            <w:rFonts w:hint="eastAsia"/>
            <w:noProof/>
          </w:rPr>
          <w:t>第三階：自由權干預之合憲性審查</w:t>
        </w:r>
        <w:r>
          <w:rPr>
            <w:noProof/>
            <w:webHidden/>
          </w:rPr>
          <w:tab/>
        </w:r>
        <w:r>
          <w:rPr>
            <w:noProof/>
            <w:webHidden/>
          </w:rPr>
          <w:fldChar w:fldCharType="begin"/>
        </w:r>
        <w:r>
          <w:rPr>
            <w:noProof/>
            <w:webHidden/>
          </w:rPr>
          <w:instrText xml:space="preserve"> PAGEREF _Toc211785282 \h </w:instrText>
        </w:r>
        <w:r>
          <w:rPr>
            <w:noProof/>
            <w:webHidden/>
          </w:rPr>
        </w:r>
        <w:r>
          <w:rPr>
            <w:noProof/>
            <w:webHidden/>
          </w:rPr>
          <w:fldChar w:fldCharType="separate"/>
        </w:r>
        <w:r>
          <w:rPr>
            <w:noProof/>
            <w:webHidden/>
          </w:rPr>
          <w:t>20</w:t>
        </w:r>
        <w:r>
          <w:rPr>
            <w:noProof/>
            <w:webHidden/>
          </w:rPr>
          <w:fldChar w:fldCharType="end"/>
        </w:r>
      </w:hyperlink>
    </w:p>
    <w:p w:rsidR="00833731" w:rsidRDefault="00833731">
      <w:pPr>
        <w:pStyle w:val="31"/>
        <w:tabs>
          <w:tab w:val="right" w:leader="dot" w:pos="8630"/>
        </w:tabs>
        <w:ind w:left="800"/>
        <w:rPr>
          <w:noProof/>
        </w:rPr>
      </w:pPr>
      <w:hyperlink w:anchor="_Toc211785283" w:history="1">
        <w:r w:rsidRPr="00514825">
          <w:rPr>
            <w:rStyle w:val="af"/>
            <w:rFonts w:hint="eastAsia"/>
            <w:noProof/>
          </w:rPr>
          <w:t>「自由權審查」與「平等權審查」的三階段對照</w:t>
        </w:r>
        <w:r>
          <w:rPr>
            <w:noProof/>
            <w:webHidden/>
          </w:rPr>
          <w:tab/>
        </w:r>
        <w:r>
          <w:rPr>
            <w:noProof/>
            <w:webHidden/>
          </w:rPr>
          <w:fldChar w:fldCharType="begin"/>
        </w:r>
        <w:r>
          <w:rPr>
            <w:noProof/>
            <w:webHidden/>
          </w:rPr>
          <w:instrText xml:space="preserve"> PAGEREF _Toc211785283 \h </w:instrText>
        </w:r>
        <w:r>
          <w:rPr>
            <w:noProof/>
            <w:webHidden/>
          </w:rPr>
        </w:r>
        <w:r>
          <w:rPr>
            <w:noProof/>
            <w:webHidden/>
          </w:rPr>
          <w:fldChar w:fldCharType="separate"/>
        </w:r>
        <w:r>
          <w:rPr>
            <w:noProof/>
            <w:webHidden/>
          </w:rPr>
          <w:t>20</w:t>
        </w:r>
        <w:r>
          <w:rPr>
            <w:noProof/>
            <w:webHidden/>
          </w:rPr>
          <w:fldChar w:fldCharType="end"/>
        </w:r>
      </w:hyperlink>
    </w:p>
    <w:p w:rsidR="00833731" w:rsidRDefault="00833731">
      <w:pPr>
        <w:pStyle w:val="31"/>
        <w:tabs>
          <w:tab w:val="right" w:leader="dot" w:pos="8630"/>
        </w:tabs>
        <w:ind w:left="800"/>
        <w:rPr>
          <w:noProof/>
        </w:rPr>
      </w:pPr>
      <w:hyperlink w:anchor="_Toc211785284" w:history="1">
        <w:r w:rsidRPr="00514825">
          <w:rPr>
            <w:rStyle w:val="af"/>
            <w:rFonts w:hint="eastAsia"/>
            <w:noProof/>
          </w:rPr>
          <w:t>講了自由權再講財產權</w:t>
        </w:r>
        <w:r>
          <w:rPr>
            <w:noProof/>
            <w:webHidden/>
          </w:rPr>
          <w:tab/>
        </w:r>
        <w:r>
          <w:rPr>
            <w:noProof/>
            <w:webHidden/>
          </w:rPr>
          <w:fldChar w:fldCharType="begin"/>
        </w:r>
        <w:r>
          <w:rPr>
            <w:noProof/>
            <w:webHidden/>
          </w:rPr>
          <w:instrText xml:space="preserve"> PAGEREF _Toc211785284 \h </w:instrText>
        </w:r>
        <w:r>
          <w:rPr>
            <w:noProof/>
            <w:webHidden/>
          </w:rPr>
        </w:r>
        <w:r>
          <w:rPr>
            <w:noProof/>
            <w:webHidden/>
          </w:rPr>
          <w:fldChar w:fldCharType="separate"/>
        </w:r>
        <w:r>
          <w:rPr>
            <w:noProof/>
            <w:webHidden/>
          </w:rPr>
          <w:t>20</w:t>
        </w:r>
        <w:r>
          <w:rPr>
            <w:noProof/>
            <w:webHidden/>
          </w:rPr>
          <w:fldChar w:fldCharType="end"/>
        </w:r>
      </w:hyperlink>
    </w:p>
    <w:p w:rsidR="00833731" w:rsidRDefault="00833731">
      <w:pPr>
        <w:pStyle w:val="31"/>
        <w:tabs>
          <w:tab w:val="right" w:leader="dot" w:pos="8630"/>
        </w:tabs>
        <w:ind w:left="800"/>
        <w:rPr>
          <w:noProof/>
        </w:rPr>
      </w:pPr>
      <w:hyperlink w:anchor="_Toc211785285" w:history="1">
        <w:r w:rsidRPr="00514825">
          <w:rPr>
            <w:rStyle w:val="af"/>
            <w:rFonts w:hint="eastAsia"/>
            <w:noProof/>
          </w:rPr>
          <w:t>繼承權與財產權的關聯</w:t>
        </w:r>
        <w:r>
          <w:rPr>
            <w:noProof/>
            <w:webHidden/>
          </w:rPr>
          <w:tab/>
        </w:r>
        <w:r>
          <w:rPr>
            <w:noProof/>
            <w:webHidden/>
          </w:rPr>
          <w:fldChar w:fldCharType="begin"/>
        </w:r>
        <w:r>
          <w:rPr>
            <w:noProof/>
            <w:webHidden/>
          </w:rPr>
          <w:instrText xml:space="preserve"> PAGEREF _Toc211785285 \h </w:instrText>
        </w:r>
        <w:r>
          <w:rPr>
            <w:noProof/>
            <w:webHidden/>
          </w:rPr>
        </w:r>
        <w:r>
          <w:rPr>
            <w:noProof/>
            <w:webHidden/>
          </w:rPr>
          <w:fldChar w:fldCharType="separate"/>
        </w:r>
        <w:r>
          <w:rPr>
            <w:noProof/>
            <w:webHidden/>
          </w:rPr>
          <w:t>22</w:t>
        </w:r>
        <w:r>
          <w:rPr>
            <w:noProof/>
            <w:webHidden/>
          </w:rPr>
          <w:fldChar w:fldCharType="end"/>
        </w:r>
      </w:hyperlink>
    </w:p>
    <w:p w:rsidR="00833731" w:rsidRDefault="00833731">
      <w:pPr>
        <w:pStyle w:val="31"/>
        <w:tabs>
          <w:tab w:val="right" w:leader="dot" w:pos="8630"/>
        </w:tabs>
        <w:ind w:left="800"/>
        <w:rPr>
          <w:noProof/>
        </w:rPr>
      </w:pPr>
      <w:hyperlink w:anchor="_Toc211785286" w:history="1">
        <w:r w:rsidRPr="00514825">
          <w:rPr>
            <w:rStyle w:val="af"/>
            <w:rFonts w:hint="eastAsia"/>
            <w:noProof/>
          </w:rPr>
          <w:t>稅法憲法審查</w:t>
        </w:r>
        <w:r>
          <w:rPr>
            <w:noProof/>
            <w:webHidden/>
          </w:rPr>
          <w:tab/>
        </w:r>
        <w:r>
          <w:rPr>
            <w:noProof/>
            <w:webHidden/>
          </w:rPr>
          <w:fldChar w:fldCharType="begin"/>
        </w:r>
        <w:r>
          <w:rPr>
            <w:noProof/>
            <w:webHidden/>
          </w:rPr>
          <w:instrText xml:space="preserve"> PAGEREF _Toc211785286 \h </w:instrText>
        </w:r>
        <w:r>
          <w:rPr>
            <w:noProof/>
            <w:webHidden/>
          </w:rPr>
        </w:r>
        <w:r>
          <w:rPr>
            <w:noProof/>
            <w:webHidden/>
          </w:rPr>
          <w:fldChar w:fldCharType="separate"/>
        </w:r>
        <w:r>
          <w:rPr>
            <w:noProof/>
            <w:webHidden/>
          </w:rPr>
          <w:t>24</w:t>
        </w:r>
        <w:r>
          <w:rPr>
            <w:noProof/>
            <w:webHidden/>
          </w:rPr>
          <w:fldChar w:fldCharType="end"/>
        </w:r>
      </w:hyperlink>
    </w:p>
    <w:p w:rsidR="00833731" w:rsidRDefault="00833731">
      <w:pPr>
        <w:pStyle w:val="41"/>
        <w:tabs>
          <w:tab w:val="right" w:leader="dot" w:pos="8630"/>
        </w:tabs>
        <w:ind w:left="1200"/>
        <w:rPr>
          <w:noProof/>
        </w:rPr>
      </w:pPr>
      <w:hyperlink w:anchor="_Toc211785287" w:history="1">
        <w:r w:rsidRPr="00514825">
          <w:rPr>
            <w:rStyle w:val="af"/>
            <w:rFonts w:hint="eastAsia"/>
            <w:noProof/>
          </w:rPr>
          <w:t>平等原則的優先性</w:t>
        </w:r>
        <w:r>
          <w:rPr>
            <w:noProof/>
            <w:webHidden/>
          </w:rPr>
          <w:tab/>
        </w:r>
        <w:r>
          <w:rPr>
            <w:noProof/>
            <w:webHidden/>
          </w:rPr>
          <w:fldChar w:fldCharType="begin"/>
        </w:r>
        <w:r>
          <w:rPr>
            <w:noProof/>
            <w:webHidden/>
          </w:rPr>
          <w:instrText xml:space="preserve"> PAGEREF _Toc211785287 \h </w:instrText>
        </w:r>
        <w:r>
          <w:rPr>
            <w:noProof/>
            <w:webHidden/>
          </w:rPr>
        </w:r>
        <w:r>
          <w:rPr>
            <w:noProof/>
            <w:webHidden/>
          </w:rPr>
          <w:fldChar w:fldCharType="separate"/>
        </w:r>
        <w:r>
          <w:rPr>
            <w:noProof/>
            <w:webHidden/>
          </w:rPr>
          <w:t>24</w:t>
        </w:r>
        <w:r>
          <w:rPr>
            <w:noProof/>
            <w:webHidden/>
          </w:rPr>
          <w:fldChar w:fldCharType="end"/>
        </w:r>
      </w:hyperlink>
    </w:p>
    <w:p w:rsidR="00833731" w:rsidRDefault="00833731">
      <w:pPr>
        <w:pStyle w:val="21"/>
        <w:tabs>
          <w:tab w:val="right" w:leader="dot" w:pos="8630"/>
        </w:tabs>
        <w:ind w:left="400"/>
        <w:rPr>
          <w:noProof/>
        </w:rPr>
      </w:pPr>
      <w:hyperlink w:anchor="_Toc211785288" w:history="1">
        <w:r w:rsidRPr="00514825">
          <w:rPr>
            <w:rStyle w:val="af"/>
            <w:rFonts w:hint="eastAsia"/>
            <w:noProof/>
          </w:rPr>
          <w:t>本案：從美式平等原則轉入德國式的量能課稅原則</w:t>
        </w:r>
        <w:r>
          <w:rPr>
            <w:noProof/>
            <w:webHidden/>
          </w:rPr>
          <w:tab/>
        </w:r>
        <w:r>
          <w:rPr>
            <w:noProof/>
            <w:webHidden/>
          </w:rPr>
          <w:fldChar w:fldCharType="begin"/>
        </w:r>
        <w:r>
          <w:rPr>
            <w:noProof/>
            <w:webHidden/>
          </w:rPr>
          <w:instrText xml:space="preserve"> PAGEREF _Toc211785288 \h </w:instrText>
        </w:r>
        <w:r>
          <w:rPr>
            <w:noProof/>
            <w:webHidden/>
          </w:rPr>
        </w:r>
        <w:r>
          <w:rPr>
            <w:noProof/>
            <w:webHidden/>
          </w:rPr>
          <w:fldChar w:fldCharType="separate"/>
        </w:r>
        <w:r>
          <w:rPr>
            <w:noProof/>
            <w:webHidden/>
          </w:rPr>
          <w:t>26</w:t>
        </w:r>
        <w:r>
          <w:rPr>
            <w:noProof/>
            <w:webHidden/>
          </w:rPr>
          <w:fldChar w:fldCharType="end"/>
        </w:r>
      </w:hyperlink>
    </w:p>
    <w:p w:rsidR="00833731" w:rsidRDefault="00833731">
      <w:pPr>
        <w:pStyle w:val="31"/>
        <w:tabs>
          <w:tab w:val="right" w:leader="dot" w:pos="8630"/>
        </w:tabs>
        <w:ind w:left="800"/>
        <w:rPr>
          <w:noProof/>
        </w:rPr>
      </w:pPr>
      <w:hyperlink w:anchor="_Toc211785289" w:history="1">
        <w:r w:rsidRPr="00514825">
          <w:rPr>
            <w:rStyle w:val="af"/>
            <w:rFonts w:hint="eastAsia"/>
            <w:noProof/>
          </w:rPr>
          <w:t>本案量能課稅的適用：主文一的啟示</w:t>
        </w:r>
        <w:r>
          <w:rPr>
            <w:noProof/>
            <w:webHidden/>
          </w:rPr>
          <w:tab/>
        </w:r>
        <w:r>
          <w:rPr>
            <w:noProof/>
            <w:webHidden/>
          </w:rPr>
          <w:fldChar w:fldCharType="begin"/>
        </w:r>
        <w:r>
          <w:rPr>
            <w:noProof/>
            <w:webHidden/>
          </w:rPr>
          <w:instrText xml:space="preserve"> PAGEREF _Toc211785289 \h </w:instrText>
        </w:r>
        <w:r>
          <w:rPr>
            <w:noProof/>
            <w:webHidden/>
          </w:rPr>
        </w:r>
        <w:r>
          <w:rPr>
            <w:noProof/>
            <w:webHidden/>
          </w:rPr>
          <w:fldChar w:fldCharType="separate"/>
        </w:r>
        <w:r>
          <w:rPr>
            <w:noProof/>
            <w:webHidden/>
          </w:rPr>
          <w:t>26</w:t>
        </w:r>
        <w:r>
          <w:rPr>
            <w:noProof/>
            <w:webHidden/>
          </w:rPr>
          <w:fldChar w:fldCharType="end"/>
        </w:r>
      </w:hyperlink>
    </w:p>
    <w:p w:rsidR="00833731" w:rsidRDefault="00833731">
      <w:pPr>
        <w:pStyle w:val="31"/>
        <w:tabs>
          <w:tab w:val="right" w:leader="dot" w:pos="8630"/>
        </w:tabs>
        <w:ind w:left="800"/>
        <w:rPr>
          <w:noProof/>
        </w:rPr>
      </w:pPr>
      <w:hyperlink w:anchor="_Toc211785290" w:history="1">
        <w:r w:rsidRPr="00514825">
          <w:rPr>
            <w:rStyle w:val="af"/>
            <w:rFonts w:hint="eastAsia"/>
            <w:noProof/>
          </w:rPr>
          <w:t>主文一：平等權與量能課稅</w:t>
        </w:r>
        <w:r>
          <w:rPr>
            <w:noProof/>
            <w:webHidden/>
          </w:rPr>
          <w:tab/>
        </w:r>
        <w:r>
          <w:rPr>
            <w:noProof/>
            <w:webHidden/>
          </w:rPr>
          <w:fldChar w:fldCharType="begin"/>
        </w:r>
        <w:r>
          <w:rPr>
            <w:noProof/>
            <w:webHidden/>
          </w:rPr>
          <w:instrText xml:space="preserve"> PAGEREF _Toc211785290 \h </w:instrText>
        </w:r>
        <w:r>
          <w:rPr>
            <w:noProof/>
            <w:webHidden/>
          </w:rPr>
        </w:r>
        <w:r>
          <w:rPr>
            <w:noProof/>
            <w:webHidden/>
          </w:rPr>
          <w:fldChar w:fldCharType="separate"/>
        </w:r>
        <w:r>
          <w:rPr>
            <w:noProof/>
            <w:webHidden/>
          </w:rPr>
          <w:t>27</w:t>
        </w:r>
        <w:r>
          <w:rPr>
            <w:noProof/>
            <w:webHidden/>
          </w:rPr>
          <w:fldChar w:fldCharType="end"/>
        </w:r>
      </w:hyperlink>
    </w:p>
    <w:p w:rsidR="00833731" w:rsidRDefault="00833731">
      <w:pPr>
        <w:pStyle w:val="31"/>
        <w:tabs>
          <w:tab w:val="right" w:leader="dot" w:pos="8630"/>
        </w:tabs>
        <w:ind w:left="800"/>
        <w:rPr>
          <w:noProof/>
        </w:rPr>
      </w:pPr>
      <w:hyperlink w:anchor="_Toc211785291" w:history="1">
        <w:r w:rsidRPr="00514825">
          <w:rPr>
            <w:rStyle w:val="af"/>
            <w:rFonts w:hint="eastAsia"/>
            <w:noProof/>
          </w:rPr>
          <w:t>絞殺稅與比例原則</w:t>
        </w:r>
        <w:r>
          <w:rPr>
            <w:noProof/>
            <w:webHidden/>
          </w:rPr>
          <w:tab/>
        </w:r>
        <w:r>
          <w:rPr>
            <w:noProof/>
            <w:webHidden/>
          </w:rPr>
          <w:fldChar w:fldCharType="begin"/>
        </w:r>
        <w:r>
          <w:rPr>
            <w:noProof/>
            <w:webHidden/>
          </w:rPr>
          <w:instrText xml:space="preserve"> PAGEREF _Toc211785291 \h </w:instrText>
        </w:r>
        <w:r>
          <w:rPr>
            <w:noProof/>
            <w:webHidden/>
          </w:rPr>
        </w:r>
        <w:r>
          <w:rPr>
            <w:noProof/>
            <w:webHidden/>
          </w:rPr>
          <w:fldChar w:fldCharType="separate"/>
        </w:r>
        <w:r>
          <w:rPr>
            <w:noProof/>
            <w:webHidden/>
          </w:rPr>
          <w:t>27</w:t>
        </w:r>
        <w:r>
          <w:rPr>
            <w:noProof/>
            <w:webHidden/>
          </w:rPr>
          <w:fldChar w:fldCharType="end"/>
        </w:r>
      </w:hyperlink>
    </w:p>
    <w:p w:rsidR="00833731" w:rsidRDefault="00833731">
      <w:pPr>
        <w:pStyle w:val="31"/>
        <w:tabs>
          <w:tab w:val="right" w:leader="dot" w:pos="8630"/>
        </w:tabs>
        <w:ind w:left="800"/>
        <w:rPr>
          <w:noProof/>
        </w:rPr>
      </w:pPr>
      <w:hyperlink w:anchor="_Toc211785292" w:history="1">
        <w:r w:rsidRPr="00514825">
          <w:rPr>
            <w:rStyle w:val="af"/>
            <w:rFonts w:hint="eastAsia"/>
            <w:noProof/>
          </w:rPr>
          <w:t>立法補正與實務挑戰</w:t>
        </w:r>
        <w:r>
          <w:rPr>
            <w:noProof/>
            <w:webHidden/>
          </w:rPr>
          <w:tab/>
        </w:r>
        <w:r>
          <w:rPr>
            <w:noProof/>
            <w:webHidden/>
          </w:rPr>
          <w:fldChar w:fldCharType="begin"/>
        </w:r>
        <w:r>
          <w:rPr>
            <w:noProof/>
            <w:webHidden/>
          </w:rPr>
          <w:instrText xml:space="preserve"> PAGEREF _Toc211785292 \h </w:instrText>
        </w:r>
        <w:r>
          <w:rPr>
            <w:noProof/>
            <w:webHidden/>
          </w:rPr>
        </w:r>
        <w:r>
          <w:rPr>
            <w:noProof/>
            <w:webHidden/>
          </w:rPr>
          <w:fldChar w:fldCharType="separate"/>
        </w:r>
        <w:r>
          <w:rPr>
            <w:noProof/>
            <w:webHidden/>
          </w:rPr>
          <w:t>28</w:t>
        </w:r>
        <w:r>
          <w:rPr>
            <w:noProof/>
            <w:webHidden/>
          </w:rPr>
          <w:fldChar w:fldCharType="end"/>
        </w:r>
      </w:hyperlink>
    </w:p>
    <w:p w:rsidR="00833731" w:rsidRDefault="00833731">
      <w:pPr>
        <w:pStyle w:val="31"/>
        <w:tabs>
          <w:tab w:val="right" w:leader="dot" w:pos="8630"/>
        </w:tabs>
        <w:ind w:left="800"/>
        <w:rPr>
          <w:noProof/>
        </w:rPr>
      </w:pPr>
      <w:hyperlink w:anchor="_Toc211785293" w:history="1">
        <w:r w:rsidRPr="00514825">
          <w:rPr>
            <w:rStyle w:val="af"/>
            <w:rFonts w:hint="eastAsia"/>
            <w:noProof/>
          </w:rPr>
          <w:t>憲審評價與案例意義</w:t>
        </w:r>
        <w:r>
          <w:rPr>
            <w:noProof/>
            <w:webHidden/>
          </w:rPr>
          <w:tab/>
        </w:r>
        <w:r>
          <w:rPr>
            <w:noProof/>
            <w:webHidden/>
          </w:rPr>
          <w:fldChar w:fldCharType="begin"/>
        </w:r>
        <w:r>
          <w:rPr>
            <w:noProof/>
            <w:webHidden/>
          </w:rPr>
          <w:instrText xml:space="preserve"> PAGEREF _Toc211785293 \h </w:instrText>
        </w:r>
        <w:r>
          <w:rPr>
            <w:noProof/>
            <w:webHidden/>
          </w:rPr>
        </w:r>
        <w:r>
          <w:rPr>
            <w:noProof/>
            <w:webHidden/>
          </w:rPr>
          <w:fldChar w:fldCharType="separate"/>
        </w:r>
        <w:r>
          <w:rPr>
            <w:noProof/>
            <w:webHidden/>
          </w:rPr>
          <w:t>28</w:t>
        </w:r>
        <w:r>
          <w:rPr>
            <w:noProof/>
            <w:webHidden/>
          </w:rPr>
          <w:fldChar w:fldCharType="end"/>
        </w:r>
      </w:hyperlink>
    </w:p>
    <w:p w:rsidR="00833731" w:rsidRDefault="00833731">
      <w:pPr>
        <w:pStyle w:val="31"/>
        <w:tabs>
          <w:tab w:val="right" w:leader="dot" w:pos="8630"/>
        </w:tabs>
        <w:ind w:left="800"/>
        <w:rPr>
          <w:noProof/>
        </w:rPr>
      </w:pPr>
      <w:hyperlink w:anchor="_Toc211785294" w:history="1">
        <w:r w:rsidRPr="00514825">
          <w:rPr>
            <w:rStyle w:val="af"/>
            <w:rFonts w:hint="eastAsia"/>
            <w:noProof/>
          </w:rPr>
          <w:t>主文二：聲請人二與第</w:t>
        </w:r>
        <w:r w:rsidRPr="00514825">
          <w:rPr>
            <w:rStyle w:val="af"/>
            <w:noProof/>
          </w:rPr>
          <w:t>17-1</w:t>
        </w:r>
        <w:r w:rsidRPr="00514825">
          <w:rPr>
            <w:rStyle w:val="af"/>
            <w:rFonts w:hint="eastAsia"/>
            <w:noProof/>
          </w:rPr>
          <w:t>條爭點</w:t>
        </w:r>
        <w:r>
          <w:rPr>
            <w:noProof/>
            <w:webHidden/>
          </w:rPr>
          <w:tab/>
        </w:r>
        <w:r>
          <w:rPr>
            <w:noProof/>
            <w:webHidden/>
          </w:rPr>
          <w:fldChar w:fldCharType="begin"/>
        </w:r>
        <w:r>
          <w:rPr>
            <w:noProof/>
            <w:webHidden/>
          </w:rPr>
          <w:instrText xml:space="preserve"> PAGEREF _Toc211785294 \h </w:instrText>
        </w:r>
        <w:r>
          <w:rPr>
            <w:noProof/>
            <w:webHidden/>
          </w:rPr>
        </w:r>
        <w:r>
          <w:rPr>
            <w:noProof/>
            <w:webHidden/>
          </w:rPr>
          <w:fldChar w:fldCharType="separate"/>
        </w:r>
        <w:r>
          <w:rPr>
            <w:noProof/>
            <w:webHidden/>
          </w:rPr>
          <w:t>29</w:t>
        </w:r>
        <w:r>
          <w:rPr>
            <w:noProof/>
            <w:webHidden/>
          </w:rPr>
          <w:fldChar w:fldCharType="end"/>
        </w:r>
      </w:hyperlink>
    </w:p>
    <w:p w:rsidR="00833731" w:rsidRDefault="00833731">
      <w:pPr>
        <w:pStyle w:val="31"/>
        <w:tabs>
          <w:tab w:val="right" w:leader="dot" w:pos="8630"/>
        </w:tabs>
        <w:ind w:left="800"/>
        <w:rPr>
          <w:noProof/>
        </w:rPr>
      </w:pPr>
      <w:hyperlink w:anchor="_Toc211785295" w:history="1">
        <w:r w:rsidRPr="00514825">
          <w:rPr>
            <w:rStyle w:val="af"/>
            <w:rFonts w:hint="eastAsia"/>
            <w:noProof/>
          </w:rPr>
          <w:t>實務觀察與未來問題</w:t>
        </w:r>
        <w:r>
          <w:rPr>
            <w:noProof/>
            <w:webHidden/>
          </w:rPr>
          <w:tab/>
        </w:r>
        <w:r>
          <w:rPr>
            <w:noProof/>
            <w:webHidden/>
          </w:rPr>
          <w:fldChar w:fldCharType="begin"/>
        </w:r>
        <w:r>
          <w:rPr>
            <w:noProof/>
            <w:webHidden/>
          </w:rPr>
          <w:instrText xml:space="preserve"> PAGEREF _Toc211785295 \h </w:instrText>
        </w:r>
        <w:r>
          <w:rPr>
            <w:noProof/>
            <w:webHidden/>
          </w:rPr>
        </w:r>
        <w:r>
          <w:rPr>
            <w:noProof/>
            <w:webHidden/>
          </w:rPr>
          <w:fldChar w:fldCharType="separate"/>
        </w:r>
        <w:r>
          <w:rPr>
            <w:noProof/>
            <w:webHidden/>
          </w:rPr>
          <w:t>29</w:t>
        </w:r>
        <w:r>
          <w:rPr>
            <w:noProof/>
            <w:webHidden/>
          </w:rPr>
          <w:fldChar w:fldCharType="end"/>
        </w:r>
      </w:hyperlink>
    </w:p>
    <w:p w:rsidR="00833731" w:rsidRDefault="00833731">
      <w:pPr>
        <w:pStyle w:val="31"/>
        <w:tabs>
          <w:tab w:val="right" w:leader="dot" w:pos="8630"/>
        </w:tabs>
        <w:ind w:left="800"/>
        <w:rPr>
          <w:noProof/>
        </w:rPr>
      </w:pPr>
      <w:hyperlink w:anchor="_Toc211785296" w:history="1">
        <w:r w:rsidRPr="00514825">
          <w:rPr>
            <w:rStyle w:val="af"/>
            <w:rFonts w:hint="eastAsia"/>
            <w:noProof/>
          </w:rPr>
          <w:t>憲法評析：平等權與財產權的雙重審查</w:t>
        </w:r>
        <w:r>
          <w:rPr>
            <w:noProof/>
            <w:webHidden/>
          </w:rPr>
          <w:tab/>
        </w:r>
        <w:r>
          <w:rPr>
            <w:noProof/>
            <w:webHidden/>
          </w:rPr>
          <w:fldChar w:fldCharType="begin"/>
        </w:r>
        <w:r>
          <w:rPr>
            <w:noProof/>
            <w:webHidden/>
          </w:rPr>
          <w:instrText xml:space="preserve"> PAGEREF _Toc211785296 \h </w:instrText>
        </w:r>
        <w:r>
          <w:rPr>
            <w:noProof/>
            <w:webHidden/>
          </w:rPr>
        </w:r>
        <w:r>
          <w:rPr>
            <w:noProof/>
            <w:webHidden/>
          </w:rPr>
          <w:fldChar w:fldCharType="separate"/>
        </w:r>
        <w:r>
          <w:rPr>
            <w:noProof/>
            <w:webHidden/>
          </w:rPr>
          <w:t>30</w:t>
        </w:r>
        <w:r>
          <w:rPr>
            <w:noProof/>
            <w:webHidden/>
          </w:rPr>
          <w:fldChar w:fldCharType="end"/>
        </w:r>
      </w:hyperlink>
    </w:p>
    <w:p w:rsidR="00833731" w:rsidRDefault="00833731">
      <w:pPr>
        <w:pStyle w:val="21"/>
        <w:tabs>
          <w:tab w:val="right" w:leader="dot" w:pos="8630"/>
        </w:tabs>
        <w:ind w:left="400"/>
        <w:rPr>
          <w:noProof/>
        </w:rPr>
      </w:pPr>
      <w:hyperlink w:anchor="_Toc211785297" w:history="1">
        <w:r w:rsidRPr="00514825">
          <w:rPr>
            <w:rStyle w:val="af"/>
            <w:rFonts w:hint="eastAsia"/>
            <w:noProof/>
          </w:rPr>
          <w:t>第三個問題：違憲宣告的意義與效果</w:t>
        </w:r>
        <w:r>
          <w:rPr>
            <w:noProof/>
            <w:webHidden/>
          </w:rPr>
          <w:tab/>
        </w:r>
        <w:r>
          <w:rPr>
            <w:noProof/>
            <w:webHidden/>
          </w:rPr>
          <w:fldChar w:fldCharType="begin"/>
        </w:r>
        <w:r>
          <w:rPr>
            <w:noProof/>
            <w:webHidden/>
          </w:rPr>
          <w:instrText xml:space="preserve"> PAGEREF _Toc211785297 \h </w:instrText>
        </w:r>
        <w:r>
          <w:rPr>
            <w:noProof/>
            <w:webHidden/>
          </w:rPr>
        </w:r>
        <w:r>
          <w:rPr>
            <w:noProof/>
            <w:webHidden/>
          </w:rPr>
          <w:fldChar w:fldCharType="separate"/>
        </w:r>
        <w:r>
          <w:rPr>
            <w:noProof/>
            <w:webHidden/>
          </w:rPr>
          <w:t>31</w:t>
        </w:r>
        <w:r>
          <w:rPr>
            <w:noProof/>
            <w:webHidden/>
          </w:rPr>
          <w:fldChar w:fldCharType="end"/>
        </w:r>
      </w:hyperlink>
    </w:p>
    <w:p w:rsidR="00833731" w:rsidRDefault="00833731">
      <w:pPr>
        <w:pStyle w:val="21"/>
        <w:tabs>
          <w:tab w:val="right" w:leader="dot" w:pos="8630"/>
        </w:tabs>
        <w:ind w:left="400"/>
        <w:rPr>
          <w:noProof/>
        </w:rPr>
      </w:pPr>
      <w:hyperlink w:anchor="_Toc211785298" w:history="1">
        <w:r w:rsidRPr="00514825">
          <w:rPr>
            <w:rStyle w:val="af"/>
            <w:rFonts w:hint="eastAsia"/>
            <w:noProof/>
          </w:rPr>
          <w:t>修法動向</w:t>
        </w:r>
        <w:r>
          <w:rPr>
            <w:noProof/>
            <w:webHidden/>
          </w:rPr>
          <w:tab/>
        </w:r>
        <w:r>
          <w:rPr>
            <w:noProof/>
            <w:webHidden/>
          </w:rPr>
          <w:fldChar w:fldCharType="begin"/>
        </w:r>
        <w:r>
          <w:rPr>
            <w:noProof/>
            <w:webHidden/>
          </w:rPr>
          <w:instrText xml:space="preserve"> PAGEREF _Toc211785298 \h </w:instrText>
        </w:r>
        <w:r>
          <w:rPr>
            <w:noProof/>
            <w:webHidden/>
          </w:rPr>
        </w:r>
        <w:r>
          <w:rPr>
            <w:noProof/>
            <w:webHidden/>
          </w:rPr>
          <w:fldChar w:fldCharType="separate"/>
        </w:r>
        <w:r>
          <w:rPr>
            <w:noProof/>
            <w:webHidden/>
          </w:rPr>
          <w:t>33</w:t>
        </w:r>
        <w:r>
          <w:rPr>
            <w:noProof/>
            <w:webHidden/>
          </w:rPr>
          <w:fldChar w:fldCharType="end"/>
        </w:r>
      </w:hyperlink>
    </w:p>
    <w:p w:rsidR="00833731" w:rsidRDefault="00833731">
      <w:pPr>
        <w:pStyle w:val="31"/>
        <w:tabs>
          <w:tab w:val="right" w:leader="dot" w:pos="8630"/>
        </w:tabs>
        <w:ind w:left="800"/>
        <w:rPr>
          <w:noProof/>
        </w:rPr>
      </w:pPr>
      <w:hyperlink w:anchor="_Toc211785299" w:history="1">
        <w:r w:rsidRPr="00514825">
          <w:rPr>
            <w:rStyle w:val="af"/>
            <w:rFonts w:hint="eastAsia"/>
            <w:noProof/>
          </w:rPr>
          <w:t>附帶說明的省思</w:t>
        </w:r>
        <w:r>
          <w:rPr>
            <w:noProof/>
            <w:webHidden/>
          </w:rPr>
          <w:tab/>
        </w:r>
        <w:r>
          <w:rPr>
            <w:noProof/>
            <w:webHidden/>
          </w:rPr>
          <w:fldChar w:fldCharType="begin"/>
        </w:r>
        <w:r>
          <w:rPr>
            <w:noProof/>
            <w:webHidden/>
          </w:rPr>
          <w:instrText xml:space="preserve"> PAGEREF _Toc211785299 \h </w:instrText>
        </w:r>
        <w:r>
          <w:rPr>
            <w:noProof/>
            <w:webHidden/>
          </w:rPr>
        </w:r>
        <w:r>
          <w:rPr>
            <w:noProof/>
            <w:webHidden/>
          </w:rPr>
          <w:fldChar w:fldCharType="separate"/>
        </w:r>
        <w:r>
          <w:rPr>
            <w:noProof/>
            <w:webHidden/>
          </w:rPr>
          <w:t>33</w:t>
        </w:r>
        <w:r>
          <w:rPr>
            <w:noProof/>
            <w:webHidden/>
          </w:rPr>
          <w:fldChar w:fldCharType="end"/>
        </w:r>
      </w:hyperlink>
    </w:p>
    <w:p w:rsidR="00833731" w:rsidRDefault="00833731">
      <w:pPr>
        <w:pStyle w:val="31"/>
        <w:tabs>
          <w:tab w:val="right" w:leader="dot" w:pos="8630"/>
        </w:tabs>
        <w:ind w:left="800"/>
        <w:rPr>
          <w:noProof/>
        </w:rPr>
      </w:pPr>
      <w:hyperlink w:anchor="_Toc211785300" w:history="1">
        <w:r w:rsidRPr="00514825">
          <w:rPr>
            <w:rStyle w:val="af"/>
            <w:rFonts w:hint="eastAsia"/>
            <w:noProof/>
          </w:rPr>
          <w:t>總遺產稅制的困境</w:t>
        </w:r>
        <w:r>
          <w:rPr>
            <w:noProof/>
            <w:webHidden/>
          </w:rPr>
          <w:tab/>
        </w:r>
        <w:r>
          <w:rPr>
            <w:noProof/>
            <w:webHidden/>
          </w:rPr>
          <w:fldChar w:fldCharType="begin"/>
        </w:r>
        <w:r>
          <w:rPr>
            <w:noProof/>
            <w:webHidden/>
          </w:rPr>
          <w:instrText xml:space="preserve"> PAGEREF _Toc211785300 \h </w:instrText>
        </w:r>
        <w:r>
          <w:rPr>
            <w:noProof/>
            <w:webHidden/>
          </w:rPr>
        </w:r>
        <w:r>
          <w:rPr>
            <w:noProof/>
            <w:webHidden/>
          </w:rPr>
          <w:fldChar w:fldCharType="separate"/>
        </w:r>
        <w:r>
          <w:rPr>
            <w:noProof/>
            <w:webHidden/>
          </w:rPr>
          <w:t>33</w:t>
        </w:r>
        <w:r>
          <w:rPr>
            <w:noProof/>
            <w:webHidden/>
          </w:rPr>
          <w:fldChar w:fldCharType="end"/>
        </w:r>
      </w:hyperlink>
    </w:p>
    <w:p w:rsidR="00833731" w:rsidRDefault="00833731">
      <w:pPr>
        <w:pStyle w:val="31"/>
        <w:tabs>
          <w:tab w:val="right" w:leader="dot" w:pos="8630"/>
        </w:tabs>
        <w:ind w:left="800"/>
        <w:rPr>
          <w:noProof/>
        </w:rPr>
      </w:pPr>
      <w:hyperlink w:anchor="_Toc211785301" w:history="1">
        <w:r w:rsidRPr="00514825">
          <w:rPr>
            <w:rStyle w:val="af"/>
            <w:rFonts w:hint="eastAsia"/>
            <w:noProof/>
          </w:rPr>
          <w:t>過渡案件的處理</w:t>
        </w:r>
        <w:r>
          <w:rPr>
            <w:noProof/>
            <w:webHidden/>
          </w:rPr>
          <w:tab/>
        </w:r>
        <w:r>
          <w:rPr>
            <w:noProof/>
            <w:webHidden/>
          </w:rPr>
          <w:fldChar w:fldCharType="begin"/>
        </w:r>
        <w:r>
          <w:rPr>
            <w:noProof/>
            <w:webHidden/>
          </w:rPr>
          <w:instrText xml:space="preserve"> PAGEREF _Toc211785301 \h </w:instrText>
        </w:r>
        <w:r>
          <w:rPr>
            <w:noProof/>
            <w:webHidden/>
          </w:rPr>
        </w:r>
        <w:r>
          <w:rPr>
            <w:noProof/>
            <w:webHidden/>
          </w:rPr>
          <w:fldChar w:fldCharType="separate"/>
        </w:r>
        <w:r>
          <w:rPr>
            <w:noProof/>
            <w:webHidden/>
          </w:rPr>
          <w:t>34</w:t>
        </w:r>
        <w:r>
          <w:rPr>
            <w:noProof/>
            <w:webHidden/>
          </w:rPr>
          <w:fldChar w:fldCharType="end"/>
        </w:r>
      </w:hyperlink>
    </w:p>
    <w:p w:rsidR="00833731" w:rsidRDefault="00833731">
      <w:pPr>
        <w:pStyle w:val="31"/>
        <w:tabs>
          <w:tab w:val="right" w:leader="dot" w:pos="8630"/>
        </w:tabs>
        <w:ind w:left="800"/>
        <w:rPr>
          <w:noProof/>
        </w:rPr>
      </w:pPr>
      <w:hyperlink w:anchor="_Toc211785302" w:history="1">
        <w:r w:rsidRPr="00514825">
          <w:rPr>
            <w:rStyle w:val="af"/>
            <w:rFonts w:hint="eastAsia"/>
            <w:noProof/>
          </w:rPr>
          <w:t>立法補正的必要性</w:t>
        </w:r>
        <w:r>
          <w:rPr>
            <w:noProof/>
            <w:webHidden/>
          </w:rPr>
          <w:tab/>
        </w:r>
        <w:r>
          <w:rPr>
            <w:noProof/>
            <w:webHidden/>
          </w:rPr>
          <w:fldChar w:fldCharType="begin"/>
        </w:r>
        <w:r>
          <w:rPr>
            <w:noProof/>
            <w:webHidden/>
          </w:rPr>
          <w:instrText xml:space="preserve"> PAGEREF _Toc211785302 \h </w:instrText>
        </w:r>
        <w:r>
          <w:rPr>
            <w:noProof/>
            <w:webHidden/>
          </w:rPr>
        </w:r>
        <w:r>
          <w:rPr>
            <w:noProof/>
            <w:webHidden/>
          </w:rPr>
          <w:fldChar w:fldCharType="separate"/>
        </w:r>
        <w:r>
          <w:rPr>
            <w:noProof/>
            <w:webHidden/>
          </w:rPr>
          <w:t>34</w:t>
        </w:r>
        <w:r>
          <w:rPr>
            <w:noProof/>
            <w:webHidden/>
          </w:rPr>
          <w:fldChar w:fldCharType="end"/>
        </w:r>
      </w:hyperlink>
    </w:p>
    <w:p w:rsidR="00833731" w:rsidRDefault="00833731">
      <w:pPr>
        <w:pStyle w:val="21"/>
        <w:tabs>
          <w:tab w:val="right" w:leader="dot" w:pos="8630"/>
        </w:tabs>
        <w:ind w:left="400"/>
        <w:rPr>
          <w:noProof/>
        </w:rPr>
      </w:pPr>
      <w:hyperlink w:anchor="_Toc211785303" w:history="1">
        <w:r w:rsidRPr="00514825">
          <w:rPr>
            <w:rStyle w:val="af"/>
            <w:rFonts w:hint="eastAsia"/>
            <w:noProof/>
          </w:rPr>
          <w:t>結語</w:t>
        </w:r>
        <w:r>
          <w:rPr>
            <w:noProof/>
            <w:webHidden/>
          </w:rPr>
          <w:tab/>
        </w:r>
        <w:r>
          <w:rPr>
            <w:noProof/>
            <w:webHidden/>
          </w:rPr>
          <w:fldChar w:fldCharType="begin"/>
        </w:r>
        <w:r>
          <w:rPr>
            <w:noProof/>
            <w:webHidden/>
          </w:rPr>
          <w:instrText xml:space="preserve"> PAGEREF _Toc211785303 \h </w:instrText>
        </w:r>
        <w:r>
          <w:rPr>
            <w:noProof/>
            <w:webHidden/>
          </w:rPr>
        </w:r>
        <w:r>
          <w:rPr>
            <w:noProof/>
            <w:webHidden/>
          </w:rPr>
          <w:fldChar w:fldCharType="separate"/>
        </w:r>
        <w:r>
          <w:rPr>
            <w:noProof/>
            <w:webHidden/>
          </w:rPr>
          <w:t>35</w:t>
        </w:r>
        <w:r>
          <w:rPr>
            <w:noProof/>
            <w:webHidden/>
          </w:rPr>
          <w:fldChar w:fldCharType="end"/>
        </w:r>
      </w:hyperlink>
    </w:p>
    <w:p w:rsidR="005E674B" w:rsidRDefault="00833731">
      <w:r>
        <w:fldChar w:fldCharType="end"/>
      </w:r>
    </w:p>
    <w:p w:rsidR="005E674B" w:rsidRDefault="00833731">
      <w:bookmarkStart w:id="2" w:name="開題"/>
      <w:r>
        <w:br w:type="page"/>
      </w:r>
    </w:p>
    <w:p w:rsidR="005E674B" w:rsidRDefault="00833731">
      <w:pPr>
        <w:pStyle w:val="2"/>
      </w:pPr>
      <w:bookmarkStart w:id="3" w:name="_Toc211785252"/>
      <w:r>
        <w:rPr>
          <w:rFonts w:hint="eastAsia"/>
        </w:rPr>
        <w:lastRenderedPageBreak/>
        <w:t>開題</w:t>
      </w:r>
      <w:bookmarkEnd w:id="3"/>
    </w:p>
    <w:p w:rsidR="005E674B" w:rsidRDefault="00833731">
      <w:pPr>
        <w:pStyle w:val="3"/>
      </w:pPr>
      <w:bookmarkStart w:id="4" w:name="年憲判字第11號"/>
      <w:bookmarkStart w:id="5" w:name="_Toc211785253"/>
      <w:r>
        <w:rPr>
          <w:rFonts w:hint="eastAsia"/>
        </w:rPr>
        <w:t>113</w:t>
      </w:r>
      <w:r>
        <w:rPr>
          <w:rFonts w:hint="eastAsia"/>
        </w:rPr>
        <w:t>年憲判字第</w:t>
      </w:r>
      <w:r>
        <w:rPr>
          <w:rFonts w:hint="eastAsia"/>
        </w:rPr>
        <w:t>11</w:t>
      </w:r>
      <w:r>
        <w:rPr>
          <w:rFonts w:hint="eastAsia"/>
        </w:rPr>
        <w:t>號</w:t>
      </w:r>
      <w:bookmarkEnd w:id="5"/>
    </w:p>
    <w:p w:rsidR="005E674B" w:rsidRDefault="00833731">
      <w:pPr>
        <w:pStyle w:val="FirstParagraph"/>
      </w:pPr>
      <w:r>
        <w:rPr>
          <w:rFonts w:hint="eastAsia"/>
        </w:rPr>
        <w:t>首先謝謝法官學院邀請我來講關於遺產稅的案例。因為這一次主要是針對去年十月憲法法庭所做成的「憲法法庭</w:t>
      </w:r>
      <w:r>
        <w:rPr>
          <w:rFonts w:hint="eastAsia"/>
        </w:rPr>
        <w:t>113</w:t>
      </w:r>
      <w:r>
        <w:rPr>
          <w:rFonts w:hint="eastAsia"/>
        </w:rPr>
        <w:t>年憲判字第</w:t>
      </w:r>
      <w:r>
        <w:rPr>
          <w:rFonts w:hint="eastAsia"/>
        </w:rPr>
        <w:t>11</w:t>
      </w:r>
      <w:r>
        <w:rPr>
          <w:rFonts w:hint="eastAsia"/>
        </w:rPr>
        <w:t>號」判決。我想藉這個機會，跟各位學長姐一起討論關於遺產稅的一些問題。</w:t>
      </w:r>
    </w:p>
    <w:p w:rsidR="005E674B" w:rsidRDefault="00833731">
      <w:pPr>
        <w:pStyle w:val="a3"/>
      </w:pPr>
      <w:r>
        <w:rPr>
          <w:rFonts w:hint="eastAsia"/>
        </w:rPr>
        <w:t>在這號判決裡面，其實提到了很多非常重要的關於遺產稅設計的議題，包含基本權的保障以及憲法審查上所需要使用的審查標準。我想透過這次判決的內容，做一些說明與分析。</w:t>
      </w:r>
    </w:p>
    <w:p w:rsidR="005E674B" w:rsidRDefault="00833731">
      <w:pPr>
        <w:pStyle w:val="a3"/>
      </w:pPr>
      <w:r>
        <w:rPr>
          <w:rFonts w:hint="eastAsia"/>
        </w:rPr>
        <w:t>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p w:rsidR="005E674B" w:rsidRDefault="00833731">
      <w:pPr>
        <w:pStyle w:val="3"/>
      </w:pPr>
      <w:bookmarkStart w:id="6" w:name="講程安排"/>
      <w:bookmarkStart w:id="7" w:name="_Toc211785254"/>
      <w:bookmarkEnd w:id="4"/>
      <w:r>
        <w:rPr>
          <w:rFonts w:hint="eastAsia"/>
        </w:rPr>
        <w:t>講程安排</w:t>
      </w:r>
      <w:bookmarkEnd w:id="7"/>
    </w:p>
    <w:p w:rsidR="005E674B" w:rsidRDefault="00833731">
      <w:pPr>
        <w:pStyle w:val="FirstParagraph"/>
      </w:pPr>
      <w:r>
        <w:rPr>
          <w:rFonts w:hint="eastAsia"/>
        </w:rPr>
        <w:t>今天三個小時的時間，我會根據我的大綱，先談一下我們遺產稅法的規範，以及本件憲法審查案的緣起。</w:t>
      </w:r>
    </w:p>
    <w:p w:rsidR="005E674B" w:rsidRDefault="00833731">
      <w:pPr>
        <w:pStyle w:val="a3"/>
      </w:pPr>
      <w:r>
        <w:rPr>
          <w:rFonts w:hint="eastAsia"/>
        </w:rPr>
        <w:t>第二個小時會跟各位討論判決主文與理由的部分。當然，也會提到剛剛說的基本權與審查標準的問題。</w:t>
      </w:r>
    </w:p>
    <w:p w:rsidR="005E674B" w:rsidRDefault="00833731">
      <w:pPr>
        <w:pStyle w:val="a3"/>
      </w:pPr>
      <w:r>
        <w:rPr>
          <w:rFonts w:hint="eastAsia"/>
        </w:rPr>
        <w:t>第三個小時，我會談到</w:t>
      </w:r>
      <w:r>
        <w:rPr>
          <w:rFonts w:hint="eastAsia"/>
        </w:rPr>
        <w:t>113</w:t>
      </w:r>
      <w:r>
        <w:rPr>
          <w:rFonts w:hint="eastAsia"/>
        </w:rPr>
        <w:t>年憲判字第</w:t>
      </w:r>
      <w:r>
        <w:rPr>
          <w:rFonts w:hint="eastAsia"/>
        </w:rPr>
        <w:t>11</w:t>
      </w:r>
      <w:r>
        <w:rPr>
          <w:rFonts w:hint="eastAsia"/>
        </w:rPr>
        <w:t>號判決所宣示的內容。也就是遺贈稅法第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款被宣告違憲，不符合平等權意旨的部分。那未來財政部在修法時，大概會怎麼動，修法的方向可能會是什麼。因為我自己同時有被徵詢財政部目前修法草案的一些內容，所以會稍微談一下。</w:t>
      </w:r>
    </w:p>
    <w:p w:rsidR="005E674B" w:rsidRDefault="00833731">
      <w:pPr>
        <w:pStyle w:val="a3"/>
      </w:pPr>
      <w:r>
        <w:rPr>
          <w:rFonts w:hint="eastAsia"/>
        </w:rPr>
        <w:t>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rsidR="005E674B" w:rsidRDefault="00833731">
      <w:pPr>
        <w:pStyle w:val="a3"/>
      </w:pPr>
      <w:r>
        <w:rPr>
          <w:rFonts w:hint="eastAsia"/>
        </w:rPr>
        <w:t>所以今天三個小時的時間，會以這三個部分來跟各位做說明。</w:t>
      </w:r>
    </w:p>
    <w:p w:rsidR="005E674B" w:rsidRDefault="00833731">
      <w:r>
        <w:rPr>
          <w:noProof/>
        </w:rPr>
      </w:r>
      <w:r w:rsidR="00833731">
        <w:rPr>
          <w:noProof/>
        </w:rPr>
        <w:pict>
          <v:rect id="_x0000_i1025" alt="" style="width:415.3pt;height:.05pt;mso-width-percent:0;mso-height-percent:0;mso-width-percent:0;mso-height-percent:0" o:hralign="center" o:hrstd="t" o:hr="t"/>
        </w:pict>
      </w:r>
    </w:p>
    <w:p w:rsidR="005E674B" w:rsidRDefault="00833731">
      <w:bookmarkStart w:id="8" w:name="遺贈稅法的立法規範"/>
      <w:bookmarkEnd w:id="6"/>
      <w:bookmarkEnd w:id="2"/>
      <w:r>
        <w:br w:type="page"/>
      </w:r>
    </w:p>
    <w:p w:rsidR="005E674B" w:rsidRDefault="00833731">
      <w:pPr>
        <w:pStyle w:val="2"/>
      </w:pPr>
      <w:bookmarkStart w:id="9" w:name="_Toc211785255"/>
      <w:r>
        <w:rPr>
          <w:rFonts w:hint="eastAsia"/>
        </w:rPr>
        <w:lastRenderedPageBreak/>
        <w:t>遺贈稅法的立法規範</w:t>
      </w:r>
      <w:bookmarkEnd w:id="9"/>
    </w:p>
    <w:p w:rsidR="005E674B" w:rsidRDefault="00833731">
      <w:pPr>
        <w:pStyle w:val="FirstParagraph"/>
      </w:pPr>
      <w:r>
        <w:rPr>
          <w:rFonts w:hint="eastAsia"/>
        </w:rPr>
        <w:t>首先是關於遺贈稅法的立法規範的問題。</w:t>
      </w:r>
      <w:r>
        <w:rPr>
          <w:rFonts w:hint="eastAsia"/>
        </w:rPr>
        <w:t>113</w:t>
      </w:r>
      <w:r>
        <w:rPr>
          <w:rFonts w:hint="eastAsia"/>
        </w:rPr>
        <w:t>年憲判字第</w:t>
      </w:r>
      <w:r>
        <w:rPr>
          <w:rFonts w:hint="eastAsia"/>
        </w:rPr>
        <w:t>11</w:t>
      </w:r>
      <w:r>
        <w:rPr>
          <w:rFonts w:hint="eastAsia"/>
        </w:rPr>
        <w:t>號主要涉及第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款的規定。但這個條文不能單獨來看，必須放在整個遺贈稅法的體系裡一起思考。因此，我把一些其他關聯性的構成要件的規定也一起放進來。</w:t>
      </w:r>
    </w:p>
    <w:p w:rsidR="005E674B" w:rsidRDefault="00833731">
      <w:pPr>
        <w:pStyle w:val="a3"/>
      </w:pPr>
      <w:r>
        <w:rPr>
          <w:rFonts w:hint="eastAsia"/>
        </w:rPr>
        <w:t>我們都知道，在依法課稅原則底下，稅捐債權債務的發生，基本上是直接依據稅法的構成要件。簡單來說，當構成要件滿足的時候，稅捐債權債務就發生了，而行政處分只是去確認依照法律規定所發生的權利義務關係。</w:t>
      </w:r>
    </w:p>
    <w:p w:rsidR="005E674B" w:rsidRDefault="00833731">
      <w:pPr>
        <w:pStyle w:val="3"/>
      </w:pPr>
      <w:bookmarkStart w:id="10" w:name="課稅構成要件與納稅義務人"/>
      <w:bookmarkStart w:id="11" w:name="_Toc211785256"/>
      <w:r>
        <w:rPr>
          <w:rFonts w:hint="eastAsia"/>
        </w:rPr>
        <w:t>課稅構成要件與納稅義務人</w:t>
      </w:r>
      <w:bookmarkEnd w:id="11"/>
    </w:p>
    <w:p w:rsidR="005E674B" w:rsidRDefault="00833731">
      <w:pPr>
        <w:pStyle w:val="FirstParagraph"/>
      </w:pPr>
      <w:r>
        <w:rPr>
          <w:rFonts w:hint="eastAsia"/>
        </w:rPr>
        <w:t>我們來看遺贈稅法的條文，第</w:t>
      </w:r>
      <w:r>
        <w:rPr>
          <w:rFonts w:hint="eastAsia"/>
        </w:rPr>
        <w:t>1</w:t>
      </w:r>
      <w:r>
        <w:rPr>
          <w:rFonts w:hint="eastAsia"/>
        </w:rPr>
        <w:t>條第</w:t>
      </w:r>
      <w:r>
        <w:rPr>
          <w:rFonts w:hint="eastAsia"/>
        </w:rPr>
        <w:t>1</w:t>
      </w:r>
      <w:r>
        <w:rPr>
          <w:rFonts w:hint="eastAsia"/>
        </w:rPr>
        <w:t>項這個就是課稅構成要件的基本規定：</w:t>
      </w:r>
    </w:p>
    <w:p w:rsidR="005E674B" w:rsidRDefault="00833731">
      <w:pPr>
        <w:pStyle w:val="a3"/>
      </w:pPr>
      <w:r>
        <w:rPr>
          <w:rFonts w:hint="eastAsia"/>
        </w:rPr>
        <w:t>凡經常居住中華民國境內之中華民國國民死亡時，遺有財產者，應就其中華民國境內外之全部遺產，依本法規定課徵遺產稅。</w:t>
      </w:r>
    </w:p>
    <w:p w:rsidR="005E674B" w:rsidRDefault="00833731">
      <w:pPr>
        <w:pStyle w:val="a3"/>
      </w:pPr>
      <w:r>
        <w:rPr>
          <w:rFonts w:hint="eastAsia"/>
        </w:rPr>
        <w:t>這條文其實我在上學期學校講「遺產及贈與稅法」的課時也提過。這條雖然是基本的構成要件，但我個人認為它的文字表現並不算好。</w:t>
      </w:r>
    </w:p>
    <w:p w:rsidR="005E674B" w:rsidRDefault="00833731">
      <w:pPr>
        <w:pStyle w:val="a3"/>
      </w:pPr>
      <w:r>
        <w:rPr>
          <w:rFonts w:hint="eastAsia"/>
        </w:rPr>
        <w:t>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rsidR="005E674B" w:rsidRDefault="00833731">
      <w:pPr>
        <w:pStyle w:val="a3"/>
      </w:pPr>
      <w:r>
        <w:rPr>
          <w:rFonts w:hint="eastAsia"/>
        </w:rPr>
        <w:t>不過基本上，只要是我國稅籍居民，也就是被繼承人是中華民國國民且經常居住境內，那麼他死亡時留有財產或遺產，就會對境內外的全部遺產課稅。這就是所謂屬人主義的課稅方式。依第</w:t>
      </w:r>
      <w:r>
        <w:rPr>
          <w:rFonts w:hint="eastAsia"/>
        </w:rPr>
        <w:t>4</w:t>
      </w:r>
      <w:r>
        <w:rPr>
          <w:rFonts w:hint="eastAsia"/>
        </w:rPr>
        <w:t>條第</w:t>
      </w:r>
      <w:r>
        <w:rPr>
          <w:rFonts w:hint="eastAsia"/>
        </w:rPr>
        <w:t>1</w:t>
      </w:r>
      <w:r>
        <w:rPr>
          <w:rFonts w:hint="eastAsia"/>
        </w:rPr>
        <w:t>項的規定，所謂「財產」，是指被繼承人死亡時留下的一切有財產價值的權利，包括動產、不動產及其他財產權利。</w:t>
      </w:r>
    </w:p>
    <w:p w:rsidR="005E674B" w:rsidRDefault="00833731">
      <w:pPr>
        <w:pStyle w:val="a3"/>
      </w:pPr>
      <w:r>
        <w:rPr>
          <w:rFonts w:hint="eastAsia"/>
        </w:rPr>
        <w:t>至於稅捐主體的部分，也就是納稅義務人，是在第</w:t>
      </w:r>
      <w:r>
        <w:rPr>
          <w:rFonts w:hint="eastAsia"/>
        </w:rPr>
        <w:t>6</w:t>
      </w:r>
      <w:r>
        <w:rPr>
          <w:rFonts w:hint="eastAsia"/>
        </w:rPr>
        <w:t>條第</w:t>
      </w:r>
      <w:r>
        <w:rPr>
          <w:rFonts w:hint="eastAsia"/>
        </w:rPr>
        <w:t>1</w:t>
      </w:r>
      <w:r>
        <w:rPr>
          <w:rFonts w:hint="eastAsia"/>
        </w:rPr>
        <w:t>項的規定。</w:t>
      </w:r>
    </w:p>
    <w:p w:rsidR="005E674B" w:rsidRDefault="00833731">
      <w:pPr>
        <w:pStyle w:val="3"/>
      </w:pPr>
      <w:bookmarkStart w:id="12" w:name="稅捐客體"/>
      <w:bookmarkStart w:id="13" w:name="_Toc211785257"/>
      <w:bookmarkEnd w:id="10"/>
      <w:r>
        <w:rPr>
          <w:rFonts w:hint="eastAsia"/>
        </w:rPr>
        <w:t>稅捐客體</w:t>
      </w:r>
      <w:bookmarkEnd w:id="13"/>
    </w:p>
    <w:p w:rsidR="005E674B" w:rsidRDefault="00833731">
      <w:pPr>
        <w:pStyle w:val="FirstParagraph"/>
      </w:pPr>
      <w:r>
        <w:rPr>
          <w:rFonts w:hint="eastAsia"/>
        </w:rPr>
        <w:t>接著是稅捐客體。依第</w:t>
      </w:r>
      <w:r>
        <w:rPr>
          <w:rFonts w:hint="eastAsia"/>
        </w:rPr>
        <w:t>4</w:t>
      </w:r>
      <w:r>
        <w:rPr>
          <w:rFonts w:hint="eastAsia"/>
        </w:rPr>
        <w:t>條第</w:t>
      </w:r>
      <w:r>
        <w:rPr>
          <w:rFonts w:hint="eastAsia"/>
        </w:rPr>
        <w:t>1</w:t>
      </w:r>
      <w:r>
        <w:rPr>
          <w:rFonts w:hint="eastAsia"/>
        </w:rPr>
        <w:t>項的規定，我們可以先把稅捐客體理解為「死亡時留下的現存遺產」。不過還要加上第</w:t>
      </w:r>
      <w:r>
        <w:rPr>
          <w:rFonts w:hint="eastAsia"/>
        </w:rPr>
        <w:t>15</w:t>
      </w:r>
      <w:r>
        <w:rPr>
          <w:rFonts w:hint="eastAsia"/>
        </w:rPr>
        <w:t>條第</w:t>
      </w:r>
      <w:r>
        <w:rPr>
          <w:rFonts w:hint="eastAsia"/>
        </w:rPr>
        <w:t>1</w:t>
      </w:r>
      <w:r>
        <w:rPr>
          <w:rFonts w:hint="eastAsia"/>
        </w:rPr>
        <w:t>項的規定，也就是「生前贈與被視為遺產」的部分。</w:t>
      </w:r>
    </w:p>
    <w:p w:rsidR="005E674B" w:rsidRDefault="00833731">
      <w:pPr>
        <w:pStyle w:val="a3"/>
      </w:pPr>
      <w:r>
        <w:rPr>
          <w:rFonts w:hint="eastAsia"/>
        </w:rPr>
        <w:t>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rsidR="005E674B" w:rsidRDefault="00833731">
      <w:pPr>
        <w:pStyle w:val="a3"/>
      </w:pPr>
      <w:r>
        <w:rPr>
          <w:rFonts w:hint="eastAsia"/>
        </w:rPr>
        <w:t>所以我們稱這個是「稅捐客體範圍的放大」。</w:t>
      </w:r>
    </w:p>
    <w:p w:rsidR="005E674B" w:rsidRDefault="00833731">
      <w:pPr>
        <w:pStyle w:val="a3"/>
      </w:pPr>
      <w:r>
        <w:rPr>
          <w:rFonts w:hint="eastAsia"/>
        </w:rPr>
        <w:t>另外，也有稅捐客體範圍的「縮小」。這就跟本案中聲請人二的案件比較有關，也就是遺產及贈與稅法第</w:t>
      </w:r>
      <w:r>
        <w:rPr>
          <w:rFonts w:hint="eastAsia"/>
        </w:rPr>
        <w:t>17-1</w:t>
      </w:r>
      <w:r>
        <w:rPr>
          <w:rFonts w:hint="eastAsia"/>
        </w:rPr>
        <w:t>條第</w:t>
      </w:r>
      <w:r>
        <w:rPr>
          <w:rFonts w:hint="eastAsia"/>
        </w:rPr>
        <w:t>1</w:t>
      </w:r>
      <w:r>
        <w:rPr>
          <w:rFonts w:hint="eastAsia"/>
        </w:rPr>
        <w:t>項關於「配偶剩餘財產差額分配請求權」的規定。</w:t>
      </w:r>
    </w:p>
    <w:p w:rsidR="005E674B" w:rsidRDefault="00833731">
      <w:pPr>
        <w:pStyle w:val="a3"/>
      </w:pPr>
      <w:r>
        <w:rPr>
          <w:rFonts w:hint="eastAsia"/>
        </w:rPr>
        <w:t>在民法第</w:t>
      </w:r>
      <w:r>
        <w:rPr>
          <w:rFonts w:hint="eastAsia"/>
        </w:rPr>
        <w:t>1030-1</w:t>
      </w:r>
      <w:r>
        <w:rPr>
          <w:rFonts w:hint="eastAsia"/>
        </w:rPr>
        <w:t>條裡面，被繼承人死亡時，如果有配偶，會產生剩餘財產差額分配請求權。這個請求權的計算，是以現存的遺產為基礎。遺產及贈與稅法就配合這個民法條文，增訂了第</w:t>
      </w:r>
      <w:r>
        <w:rPr>
          <w:rFonts w:hint="eastAsia"/>
        </w:rPr>
        <w:t>17-1</w:t>
      </w:r>
      <w:r>
        <w:rPr>
          <w:rFonts w:hint="eastAsia"/>
        </w:rPr>
        <w:t>條的規定，讓配偶在計算遺產總額時，可以把這個差額分配請求權的部分扣除。</w:t>
      </w:r>
    </w:p>
    <w:p w:rsidR="005E674B" w:rsidRDefault="00833731">
      <w:pPr>
        <w:pStyle w:val="a3"/>
      </w:pPr>
      <w:r>
        <w:rPr>
          <w:rFonts w:hint="eastAsia"/>
        </w:rPr>
        <w:lastRenderedPageBreak/>
        <w:t>也就是說，從整體的課稅構成要件來看，我國稅籍居民死亡時，只要他留有遺產，原則上就會依第</w:t>
      </w:r>
      <w:r>
        <w:rPr>
          <w:rFonts w:hint="eastAsia"/>
        </w:rPr>
        <w:t>6</w:t>
      </w:r>
      <w:r>
        <w:rPr>
          <w:rFonts w:hint="eastAsia"/>
        </w:rPr>
        <w:t>條第</w:t>
      </w:r>
      <w:r>
        <w:rPr>
          <w:rFonts w:hint="eastAsia"/>
        </w:rPr>
        <w:t>1</w:t>
      </w:r>
      <w:r>
        <w:rPr>
          <w:rFonts w:hint="eastAsia"/>
        </w:rPr>
        <w:t>項，由納稅義務人（也就是繼承人）依第</w:t>
      </w:r>
      <w:r>
        <w:rPr>
          <w:rFonts w:hint="eastAsia"/>
        </w:rPr>
        <w:t>4</w:t>
      </w:r>
      <w:r>
        <w:rPr>
          <w:rFonts w:hint="eastAsia"/>
        </w:rPr>
        <w:t>條第</w:t>
      </w:r>
      <w:r>
        <w:rPr>
          <w:rFonts w:hint="eastAsia"/>
        </w:rPr>
        <w:t>1</w:t>
      </w:r>
      <w:r>
        <w:rPr>
          <w:rFonts w:hint="eastAsia"/>
        </w:rPr>
        <w:t>項所列的現存遺產，加上第</w:t>
      </w:r>
      <w:r>
        <w:rPr>
          <w:rFonts w:hint="eastAsia"/>
        </w:rPr>
        <w:t>15</w:t>
      </w:r>
      <w:r>
        <w:rPr>
          <w:rFonts w:hint="eastAsia"/>
        </w:rPr>
        <w:t>條第</w:t>
      </w:r>
      <w:r>
        <w:rPr>
          <w:rFonts w:hint="eastAsia"/>
        </w:rPr>
        <w:t>1</w:t>
      </w:r>
      <w:r>
        <w:rPr>
          <w:rFonts w:hint="eastAsia"/>
        </w:rPr>
        <w:t>項的視為遺產部分，然後減掉第</w:t>
      </w:r>
      <w:r>
        <w:rPr>
          <w:rFonts w:hint="eastAsia"/>
        </w:rPr>
        <w:t>17-1</w:t>
      </w:r>
      <w:r>
        <w:rPr>
          <w:rFonts w:hint="eastAsia"/>
        </w:rPr>
        <w:t>條規定的剩餘財產差額分配請求權，去計算應課徵的遺產稅額。</w:t>
      </w:r>
    </w:p>
    <w:p w:rsidR="005E674B" w:rsidRDefault="00833731">
      <w:pPr>
        <w:pStyle w:val="3"/>
      </w:pPr>
      <w:bookmarkStart w:id="14" w:name="遺贈稅法的立法的歷史"/>
      <w:bookmarkStart w:id="15" w:name="_Toc211785258"/>
      <w:bookmarkEnd w:id="12"/>
      <w:r>
        <w:rPr>
          <w:rFonts w:hint="eastAsia"/>
        </w:rPr>
        <w:t>遺贈稅法的立法的歷史</w:t>
      </w:r>
      <w:bookmarkEnd w:id="15"/>
    </w:p>
    <w:p w:rsidR="005E674B" w:rsidRDefault="00833731">
      <w:pPr>
        <w:pStyle w:val="FirstParagraph"/>
      </w:pPr>
      <w:r>
        <w:rPr>
          <w:rFonts w:hint="eastAsia"/>
        </w:rPr>
        <w:t>遺贈稅法的立法歷史，如果在座的學長姐對稅有一些基本認識，應該知道我國是一個多元稅制的國家。意思是說，我國除了課徵遺產稅之外，還有其他與遺產稅性質相近的稅捐，特別是所得稅。</w:t>
      </w:r>
    </w:p>
    <w:p w:rsidR="005E674B" w:rsidRDefault="00833731">
      <w:pPr>
        <w:pStyle w:val="a3"/>
      </w:pPr>
      <w:r>
        <w:rPr>
          <w:rFonts w:hint="eastAsia"/>
        </w:rPr>
        <w:t>那所得和遺產到底有什麼差別呢？簡單來講，所得是一種市場經濟活動的成果，也就是你有勞動的投入、資本的投入，因而獲得報酬，國家對這個經濟成果課稅。這就是所得稅法中所規範的「所得課稅」。</w:t>
      </w:r>
    </w:p>
    <w:p w:rsidR="005E674B" w:rsidRDefault="00833731">
      <w:pPr>
        <w:pStyle w:val="a3"/>
      </w:pPr>
      <w:r>
        <w:rPr>
          <w:rFonts w:hint="eastAsia"/>
        </w:rPr>
        <w:t>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rsidR="005E674B" w:rsidRDefault="00833731">
      <w:pPr>
        <w:pStyle w:val="a3"/>
      </w:pPr>
      <w:r>
        <w:rPr>
          <w:rFonts w:hint="eastAsia"/>
        </w:rPr>
        <w:t>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rsidR="005E674B" w:rsidRDefault="00833731">
      <w:pPr>
        <w:pStyle w:val="a3"/>
      </w:pPr>
      <w:r>
        <w:rPr>
          <w:rFonts w:hint="eastAsia"/>
        </w:rPr>
        <w:t>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rsidR="005E674B" w:rsidRDefault="00833731">
      <w:pPr>
        <w:pStyle w:val="a3"/>
      </w:pPr>
      <w:r>
        <w:rPr>
          <w:rFonts w:hint="eastAsia"/>
        </w:rPr>
        <w:t>因此，可以說，有償的市場經濟活動所取得的財產，要課所得稅；無償的、透過生前贈與或死亡繼承取得的財產，則課遺產稅或贈與稅。這就是遺產及贈與稅法中要課稅的對象，也就是財產上的「增益」。</w:t>
      </w:r>
    </w:p>
    <w:p w:rsidR="005E674B" w:rsidRDefault="00833731">
      <w:pPr>
        <w:pStyle w:val="a3"/>
      </w:pPr>
      <w:r>
        <w:rPr>
          <w:rFonts w:hint="eastAsia"/>
        </w:rPr>
        <w:t>遺贈稅法最早其實只有「遺產稅法」。學長姐可以到立法院法律系統查到歷來立法歷史或舊法條。我國最早在民國</w:t>
      </w:r>
      <w:r>
        <w:rPr>
          <w:rFonts w:hint="eastAsia"/>
        </w:rPr>
        <w:t>35</w:t>
      </w:r>
      <w:r>
        <w:rPr>
          <w:rFonts w:hint="eastAsia"/>
        </w:rPr>
        <w:t>年（</w:t>
      </w:r>
      <w:r>
        <w:rPr>
          <w:rFonts w:hint="eastAsia"/>
        </w:rPr>
        <w:t>1946</w:t>
      </w:r>
      <w:r>
        <w:rPr>
          <w:rFonts w:hint="eastAsia"/>
        </w:rPr>
        <w:t>年）制定時，只有「遺產稅」。也就是說，以前國家只針對被繼承人死亡時所留財產課稅。</w:t>
      </w:r>
    </w:p>
    <w:p w:rsidR="005E674B" w:rsidRDefault="00833731">
      <w:pPr>
        <w:pStyle w:val="a3"/>
      </w:pPr>
      <w:r>
        <w:rPr>
          <w:rFonts w:hint="eastAsia"/>
        </w:rPr>
        <w:t>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rsidR="005E674B" w:rsidRDefault="00833731">
      <w:pPr>
        <w:pStyle w:val="a3"/>
      </w:pPr>
      <w:r>
        <w:rPr>
          <w:rFonts w:hint="eastAsia"/>
        </w:rPr>
        <w:t>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rsidR="005E674B" w:rsidRDefault="00833731">
      <w:pPr>
        <w:pStyle w:val="a3"/>
      </w:pPr>
      <w:r>
        <w:rPr>
          <w:rFonts w:hint="eastAsia"/>
        </w:rPr>
        <w:t>因此到了民國</w:t>
      </w:r>
      <w:r>
        <w:rPr>
          <w:rFonts w:hint="eastAsia"/>
        </w:rPr>
        <w:t>62</w:t>
      </w:r>
      <w:r>
        <w:rPr>
          <w:rFonts w:hint="eastAsia"/>
        </w:rPr>
        <w:t>年，立法者注意到了這個問題，認為只靠死亡時一次課遺產稅是無法有效課稅的。於是，在</w:t>
      </w:r>
      <w:r>
        <w:rPr>
          <w:rFonts w:hint="eastAsia"/>
        </w:rPr>
        <w:t>62</w:t>
      </w:r>
      <w:r>
        <w:rPr>
          <w:rFonts w:hint="eastAsia"/>
        </w:rPr>
        <w:t>年（</w:t>
      </w:r>
      <w:r>
        <w:rPr>
          <w:rFonts w:hint="eastAsia"/>
        </w:rPr>
        <w:t>1973</w:t>
      </w:r>
      <w:r>
        <w:rPr>
          <w:rFonts w:hint="eastAsia"/>
        </w:rPr>
        <w:t>年）修法時，除了遺產稅外，另外增設了「贈與稅」，改稱為「遺產及贈與稅法」。這就是現行法制的起源。</w:t>
      </w:r>
    </w:p>
    <w:p w:rsidR="005E674B" w:rsidRDefault="00833731">
      <w:pPr>
        <w:pStyle w:val="a3"/>
      </w:pPr>
      <w:r>
        <w:rPr>
          <w:rFonts w:hint="eastAsia"/>
        </w:rPr>
        <w:lastRenderedPageBreak/>
        <w:t>其實早在民國</w:t>
      </w:r>
      <w:r>
        <w:rPr>
          <w:rFonts w:hint="eastAsia"/>
        </w:rPr>
        <w:t>35</w:t>
      </w:r>
      <w:r>
        <w:rPr>
          <w:rFonts w:hint="eastAsia"/>
        </w:rPr>
        <w:t>年的「遺產稅法」中，就已經有類似規定。例如當時的第</w:t>
      </w:r>
      <w:r>
        <w:rPr>
          <w:rFonts w:hint="eastAsia"/>
        </w:rPr>
        <w:t>8</w:t>
      </w:r>
      <w:r>
        <w:rPr>
          <w:rFonts w:hint="eastAsia"/>
        </w:rPr>
        <w:t>條規定，被繼承人死亡前五年內的贈與，應視為遺產的一部分。這條規定，就是我們今天在</w:t>
      </w:r>
      <w:r>
        <w:rPr>
          <w:rFonts w:hint="eastAsia"/>
        </w:rPr>
        <w:t>113</w:t>
      </w:r>
      <w:r>
        <w:rPr>
          <w:rFonts w:hint="eastAsia"/>
        </w:rPr>
        <w:t>年憲判字第</w:t>
      </w:r>
      <w:r>
        <w:rPr>
          <w:rFonts w:hint="eastAsia"/>
        </w:rPr>
        <w:t>11</w:t>
      </w:r>
      <w:r>
        <w:rPr>
          <w:rFonts w:hint="eastAsia"/>
        </w:rPr>
        <w:t>號判決中，作為憲法審查標的的法條，早在那個時代就存在了。</w:t>
      </w:r>
    </w:p>
    <w:p w:rsidR="005E674B" w:rsidRDefault="00833731">
      <w:pPr>
        <w:pStyle w:val="a3"/>
      </w:pPr>
      <w:r>
        <w:rPr>
          <w:rFonts w:hint="eastAsia"/>
        </w:rPr>
        <w:t>當時規定的年限不是兩年，而是五年。也就是說，被繼承人死亡前五年內所做的贈與，全部都要算回來。這條文後來一直延續，到了民國</w:t>
      </w:r>
      <w:r>
        <w:rPr>
          <w:rFonts w:hint="eastAsia"/>
        </w:rPr>
        <w:t>62</w:t>
      </w:r>
      <w:r>
        <w:rPr>
          <w:rFonts w:hint="eastAsia"/>
        </w:rPr>
        <w:t>年修訂為「遺產及贈與稅法」時仍保留，只是當時我們已經新增了贈與稅。</w:t>
      </w:r>
    </w:p>
    <w:p w:rsidR="005E674B" w:rsidRDefault="00833731">
      <w:pPr>
        <w:pStyle w:val="a3"/>
      </w:pPr>
      <w:r>
        <w:rPr>
          <w:rFonts w:hint="eastAsia"/>
        </w:rPr>
        <w:t>因為既然有了贈與稅，被繼承人生前贈與財產時，可能已經申報並繳了贈與稅。因此，在</w:t>
      </w:r>
      <w:r>
        <w:rPr>
          <w:rFonts w:hint="eastAsia"/>
        </w:rPr>
        <w:t>62</w:t>
      </w:r>
      <w:r>
        <w:rPr>
          <w:rFonts w:hint="eastAsia"/>
        </w:rPr>
        <w:t>年的修法中，又加上了「贈與稅稅額扣抵」的規定（現行遺產及贈與稅法第</w:t>
      </w:r>
      <w:r>
        <w:rPr>
          <w:rFonts w:hint="eastAsia"/>
        </w:rPr>
        <w:t>11</w:t>
      </w:r>
      <w:r>
        <w:rPr>
          <w:rFonts w:hint="eastAsia"/>
        </w:rPr>
        <w:t>條第</w:t>
      </w:r>
      <w:r>
        <w:rPr>
          <w:rFonts w:hint="eastAsia"/>
        </w:rPr>
        <w:t>2</w:t>
      </w:r>
      <w:r>
        <w:rPr>
          <w:rFonts w:hint="eastAsia"/>
        </w:rPr>
        <w:t>項）。也就是說，如果你生前贈與時繳了贈與稅，那在遺產稅計算時，可以將該贈與稅額抵扣。</w:t>
      </w:r>
    </w:p>
    <w:p w:rsidR="005E674B" w:rsidRDefault="00833731">
      <w:pPr>
        <w:pStyle w:val="a3"/>
      </w:pPr>
      <w:r>
        <w:rPr>
          <w:rFonts w:hint="eastAsia"/>
        </w:rPr>
        <w:t>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rsidR="005E674B" w:rsidRDefault="00833731">
      <w:pPr>
        <w:pStyle w:val="a3"/>
      </w:pPr>
      <w:r>
        <w:rPr>
          <w:rFonts w:hint="eastAsia"/>
        </w:rPr>
        <w:t>到了民國</w:t>
      </w:r>
      <w:r>
        <w:rPr>
          <w:rFonts w:hint="eastAsia"/>
        </w:rPr>
        <w:t>62</w:t>
      </w:r>
      <w:r>
        <w:rPr>
          <w:rFonts w:hint="eastAsia"/>
        </w:rPr>
        <w:t>年修法時，我們把贈與稅加入，同時也將「死亡前五年」縮短為「三年」。再到民國</w:t>
      </w:r>
      <w:r>
        <w:rPr>
          <w:rFonts w:hint="eastAsia"/>
        </w:rPr>
        <w:t>88</w:t>
      </w:r>
      <w:r>
        <w:rPr>
          <w:rFonts w:hint="eastAsia"/>
        </w:rPr>
        <w:t>年（</w:t>
      </w:r>
      <w:r>
        <w:rPr>
          <w:rFonts w:hint="eastAsia"/>
        </w:rPr>
        <w:t>1999</w:t>
      </w:r>
      <w:r>
        <w:rPr>
          <w:rFonts w:hint="eastAsia"/>
        </w:rPr>
        <w:t>年），又改為現行的「死亡前兩年」。所以我們現在看到的兩年內贈與視為遺產的規定，其實是歷經多次修正的結果，從五年、三年一路縮短成現在的兩年。</w:t>
      </w:r>
    </w:p>
    <w:p w:rsidR="005E674B" w:rsidRDefault="00833731">
      <w:pPr>
        <w:pStyle w:val="3"/>
      </w:pPr>
      <w:bookmarkStart w:id="16" w:name="民法上特種贈與"/>
      <w:bookmarkStart w:id="17" w:name="_Toc211785259"/>
      <w:bookmarkEnd w:id="14"/>
      <w:r>
        <w:rPr>
          <w:rFonts w:hint="eastAsia"/>
        </w:rPr>
        <w:t>民法上特種贈與</w:t>
      </w:r>
      <w:bookmarkEnd w:id="17"/>
    </w:p>
    <w:p w:rsidR="005E674B" w:rsidRDefault="00833731">
      <w:pPr>
        <w:pStyle w:val="FirstParagraph"/>
      </w:pPr>
      <w:r>
        <w:rPr>
          <w:rFonts w:hint="eastAsia"/>
        </w:rPr>
        <w:t>我這個地方稍微提供一個民法上「特種贈與」的概念。我個人認為，這個概念跟我們剛剛講的「生前贈與」其實非常接近。</w:t>
      </w:r>
    </w:p>
    <w:p w:rsidR="005E674B" w:rsidRDefault="00833731">
      <w:pPr>
        <w:pStyle w:val="a3"/>
      </w:pPr>
      <w:r>
        <w:rPr>
          <w:rFonts w:hint="eastAsia"/>
        </w:rPr>
        <w:t>各位學長姐在學民法的時候，應該都記得有一條民法第</w:t>
      </w:r>
      <w:r>
        <w:rPr>
          <w:rFonts w:hint="eastAsia"/>
        </w:rPr>
        <w:t>1173</w:t>
      </w:r>
      <w:r>
        <w:rPr>
          <w:rFonts w:hint="eastAsia"/>
        </w:rPr>
        <w:t>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rsidR="005E674B" w:rsidRDefault="00833731">
      <w:pPr>
        <w:pStyle w:val="a3"/>
      </w:pPr>
      <w:r>
        <w:rPr>
          <w:rFonts w:hint="eastAsia"/>
        </w:rPr>
        <w:t>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rsidR="005E674B" w:rsidRDefault="00833731">
      <w:pPr>
        <w:pStyle w:val="a3"/>
      </w:pPr>
      <w:r>
        <w:rPr>
          <w:rFonts w:hint="eastAsia"/>
        </w:rPr>
        <w:t>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rsidR="005E674B" w:rsidRDefault="00833731">
      <w:pPr>
        <w:pStyle w:val="a3"/>
      </w:pPr>
      <w:r>
        <w:rPr>
          <w:rFonts w:hint="eastAsia"/>
        </w:rPr>
        <w:t>簡單講，德國的制度是：你在被繼承人死亡時所繼承到的遺產，加上你分家時所分到的那部分，通通要算進來。這在稅法上也是一樣。被繼承人死亡時留給你的遺產，加上你以前分家時拿到的部分，統統要列入課稅範圍。</w:t>
      </w:r>
    </w:p>
    <w:p w:rsidR="005E674B" w:rsidRDefault="00833731">
      <w:pPr>
        <w:pStyle w:val="a3"/>
      </w:pPr>
      <w:r>
        <w:rPr>
          <w:rFonts w:hint="eastAsia"/>
        </w:rPr>
        <w:t>所以各位可以注意到，這個條文的設計，其實和我們遺產及贈與稅法第</w:t>
      </w:r>
      <w:r>
        <w:rPr>
          <w:rFonts w:hint="eastAsia"/>
        </w:rPr>
        <w:t>15</w:t>
      </w:r>
      <w:r>
        <w:rPr>
          <w:rFonts w:hint="eastAsia"/>
        </w:rPr>
        <w:t>條中「死亡前贈與視為遺產」的條文，其立法意旨是相同的。差別只是在於，稅法是決定國家課稅權限行使的範圍；而民法的規定，則是在繼承人之間的應繼分分配上，追求公平。</w:t>
      </w:r>
    </w:p>
    <w:p w:rsidR="005E674B" w:rsidRDefault="00833731">
      <w:pPr>
        <w:pStyle w:val="a3"/>
      </w:pPr>
      <w:r>
        <w:rPr>
          <w:rFonts w:hint="eastAsia"/>
        </w:rPr>
        <w:t>兄弟姐妹之間在分財產時應該公平，民法透過特種贈與的規定，確保分配的平衡；國家在課稅時，從相同的角度出發，要求將這些生前贈與的部分一併納入課稅。</w:t>
      </w:r>
    </w:p>
    <w:p w:rsidR="005E674B" w:rsidRDefault="00833731">
      <w:pPr>
        <w:pStyle w:val="a3"/>
      </w:pPr>
      <w:r>
        <w:rPr>
          <w:rFonts w:hint="eastAsia"/>
        </w:rPr>
        <w:lastRenderedPageBreak/>
        <w:t>理論上，我一直覺得這種特種贈與的情況，若配合我們遺產及贈與稅法的規定，應該也是以五年為限。不過在民法的操作實務上，如果被繼承人在贈與時有「反對視為特種贈與」的意思表示，就不適用這個條文。</w:t>
      </w:r>
    </w:p>
    <w:p w:rsidR="005E674B" w:rsidRDefault="00833731">
      <w:pPr>
        <w:pStyle w:val="a3"/>
      </w:pPr>
      <w:r>
        <w:rPr>
          <w:rFonts w:hint="eastAsia"/>
        </w:rPr>
        <w:t>依照民法第</w:t>
      </w:r>
      <w:r>
        <w:rPr>
          <w:rFonts w:hint="eastAsia"/>
        </w:rPr>
        <w:t>1173</w:t>
      </w:r>
      <w:r>
        <w:rPr>
          <w:rFonts w:hint="eastAsia"/>
        </w:rPr>
        <w:t>條第</w:t>
      </w:r>
      <w:r>
        <w:rPr>
          <w:rFonts w:hint="eastAsia"/>
        </w:rPr>
        <w:t>1</w:t>
      </w:r>
      <w:r>
        <w:rPr>
          <w:rFonts w:hint="eastAsia"/>
        </w:rPr>
        <w:t>項但書的規定，如果被繼承人在贈與時明確表示「反對視為特種贈與」，那就代表他單純是送給繼承人，將來在分遺產時仍可分一份。換句話說，做了反對意思表示的情況下，特種贈與就變成一般贈與。</w:t>
      </w:r>
    </w:p>
    <w:p w:rsidR="005E674B" w:rsidRDefault="00833731">
      <w:pPr>
        <w:pStyle w:val="a3"/>
      </w:pPr>
      <w:r>
        <w:rPr>
          <w:rFonts w:hint="eastAsia"/>
        </w:rPr>
        <w:t>因此，特種贈與的適用主要是針對繼承人彼此之間分配遺產時的公平問題。</w:t>
      </w:r>
    </w:p>
    <w:p w:rsidR="005E674B" w:rsidRDefault="00833731">
      <w:pPr>
        <w:pStyle w:val="a3"/>
      </w:pPr>
      <w:r>
        <w:rPr>
          <w:rFonts w:hint="eastAsia"/>
        </w:rPr>
        <w:t>回到遺產及贈與稅法的發展，我們在</w:t>
      </w:r>
      <w:r>
        <w:rPr>
          <w:rFonts w:hint="eastAsia"/>
        </w:rPr>
        <w:t>2008</w:t>
      </w:r>
      <w:r>
        <w:rPr>
          <w:rFonts w:hint="eastAsia"/>
        </w:rPr>
        <w:t>年也新增了相關條文。民法第</w:t>
      </w:r>
      <w:r>
        <w:rPr>
          <w:rFonts w:hint="eastAsia"/>
        </w:rPr>
        <w:t>1148-1</w:t>
      </w:r>
      <w:r>
        <w:rPr>
          <w:rFonts w:hint="eastAsia"/>
        </w:rPr>
        <w:t>條的規定，明定繼承人於繼承開始前兩年內，從被繼承人處受有財產之贈與者，該財產視為其所得遺產。換言之，只要是在被繼承人死亡前兩年內所受贈的財產，一律要算回來，視為遺產的一部分，影響其應繼分。</w:t>
      </w:r>
    </w:p>
    <w:p w:rsidR="005E674B" w:rsidRDefault="00833731">
      <w:pPr>
        <w:pStyle w:val="a3"/>
      </w:pPr>
      <w:r>
        <w:rPr>
          <w:rFonts w:hint="eastAsia"/>
        </w:rPr>
        <w:t>這條文基本上延續了特種贈與的概念，只是立法意旨轉向更嚴格。它認為，若距離被繼承人死亡的時間太近，法律不再允許被繼承人以「反對意思」排除特種贈與的效果，而是直接將該贈與視為遺產。</w:t>
      </w:r>
    </w:p>
    <w:p w:rsidR="005E674B" w:rsidRDefault="00833731">
      <w:pPr>
        <w:pStyle w:val="a3"/>
      </w:pPr>
      <w:r>
        <w:rPr>
          <w:rFonts w:hint="eastAsia"/>
        </w:rPr>
        <w:t>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sidR="005E674B" w:rsidRDefault="00833731">
      <w:r>
        <w:rPr>
          <w:noProof/>
        </w:rPr>
      </w:r>
      <w:r w:rsidR="00833731">
        <w:rPr>
          <w:noProof/>
        </w:rPr>
        <w:pict>
          <v:rect id="_x0000_i1026" alt="" style="width:415.3pt;height:.05pt;mso-width-percent:0;mso-height-percent:0;mso-width-percent:0;mso-height-percent:0" o:hralign="center" o:hrstd="t" o:hr="t"/>
        </w:pict>
      </w:r>
    </w:p>
    <w:p w:rsidR="005E674B" w:rsidRDefault="00833731">
      <w:pPr>
        <w:pStyle w:val="FirstParagraph"/>
      </w:pPr>
      <w:r>
        <w:rPr>
          <w:rFonts w:hint="eastAsia"/>
        </w:rPr>
        <w:t>這就是我們對於遺產及贈與稅法規範背景的一個簡要介紹。</w:t>
      </w:r>
    </w:p>
    <w:p w:rsidR="005E674B" w:rsidRDefault="00833731">
      <w:bookmarkStart w:id="18" w:name="判決的緣起"/>
      <w:bookmarkEnd w:id="16"/>
      <w:bookmarkEnd w:id="8"/>
      <w:r>
        <w:br w:type="page"/>
      </w:r>
    </w:p>
    <w:p w:rsidR="005E674B" w:rsidRDefault="00833731">
      <w:pPr>
        <w:pStyle w:val="2"/>
      </w:pPr>
      <w:bookmarkStart w:id="19" w:name="_Toc211785260"/>
      <w:r>
        <w:rPr>
          <w:rFonts w:hint="eastAsia"/>
        </w:rPr>
        <w:lastRenderedPageBreak/>
        <w:t>判決的緣起</w:t>
      </w:r>
      <w:bookmarkEnd w:id="19"/>
    </w:p>
    <w:p w:rsidR="005E674B" w:rsidRDefault="00833731">
      <w:pPr>
        <w:pStyle w:val="FirstParagraph"/>
      </w:pPr>
      <w:r>
        <w:rPr>
          <w:rFonts w:hint="eastAsia"/>
        </w:rPr>
        <w:t>然後我們來到了</w:t>
      </w:r>
      <w:r>
        <w:rPr>
          <w:rFonts w:hint="eastAsia"/>
        </w:rPr>
        <w:t>113</w:t>
      </w:r>
      <w:r>
        <w:rPr>
          <w:rFonts w:hint="eastAsia"/>
        </w:rPr>
        <w:t>年憲判字第</w:t>
      </w:r>
      <w:r>
        <w:rPr>
          <w:rFonts w:hint="eastAsia"/>
        </w:rPr>
        <w:t>11</w:t>
      </w:r>
      <w:r>
        <w:rPr>
          <w:rFonts w:hint="eastAsia"/>
        </w:rPr>
        <w:t>號判決，本件判決的緣起。</w:t>
      </w:r>
    </w:p>
    <w:p w:rsidR="005E674B" w:rsidRDefault="00833731">
      <w:pPr>
        <w:pStyle w:val="a3"/>
      </w:pPr>
      <w:r>
        <w:rPr>
          <w:rFonts w:hint="eastAsia"/>
        </w:rPr>
        <w:t>這個憲法聲請案其實是由兩個聲請人所提出的。</w:t>
      </w:r>
    </w:p>
    <w:p w:rsidR="005E674B" w:rsidRDefault="00833731">
      <w:r>
        <w:rPr>
          <w:noProof/>
        </w:rPr>
      </w:r>
      <w:r w:rsidR="00833731">
        <w:rPr>
          <w:noProof/>
        </w:rPr>
        <w:pict>
          <v:rect id="_x0000_i1027" alt="" style="width:415.3pt;height:.05pt;mso-width-percent:0;mso-height-percent:0;mso-width-percent:0;mso-height-percent:0" o:hralign="center" o:hrstd="t" o:hr="t"/>
        </w:pict>
      </w:r>
    </w:p>
    <w:p w:rsidR="005E674B" w:rsidRDefault="00833731">
      <w:pPr>
        <w:pStyle w:val="3"/>
      </w:pPr>
      <w:bookmarkStart w:id="20" w:name="法位階法規範的憲法審查聲請"/>
      <w:bookmarkStart w:id="21" w:name="_Toc211785261"/>
      <w:r>
        <w:rPr>
          <w:rFonts w:hint="eastAsia"/>
        </w:rPr>
        <w:t>法位階法規範的憲法審查聲請</w:t>
      </w:r>
      <w:bookmarkEnd w:id="21"/>
    </w:p>
    <w:p w:rsidR="005E674B" w:rsidRDefault="00833731">
      <w:pPr>
        <w:pStyle w:val="FirstParagraph"/>
      </w:pPr>
      <w:r>
        <w:rPr>
          <w:rFonts w:hint="eastAsia"/>
        </w:rPr>
        <w:t>第一件是我們北高行的學長姐在審理個案時，發現有一個案件的情況相當特殊，於是依照憲法訴訟法第</w:t>
      </w:r>
      <w:r>
        <w:rPr>
          <w:rFonts w:hint="eastAsia"/>
        </w:rPr>
        <w:t>55</w:t>
      </w:r>
      <w:r>
        <w:rPr>
          <w:rFonts w:hint="eastAsia"/>
        </w:rPr>
        <w:t>條提出了法位階法規範的憲法審查聲請。</w:t>
      </w:r>
    </w:p>
    <w:p w:rsidR="005E674B" w:rsidRDefault="00833731">
      <w:pPr>
        <w:pStyle w:val="a3"/>
      </w:pPr>
      <w:r>
        <w:rPr>
          <w:rFonts w:hint="eastAsia"/>
        </w:rPr>
        <w:t>事實大致如下：</w:t>
      </w:r>
    </w:p>
    <w:p w:rsidR="005E674B" w:rsidRDefault="00833731">
      <w:pPr>
        <w:pStyle w:val="a3"/>
      </w:pPr>
      <w:r>
        <w:rPr>
          <w:rFonts w:hint="eastAsia"/>
        </w:rPr>
        <w:t>被繼承人乙在死亡（</w:t>
      </w:r>
      <w:r>
        <w:rPr>
          <w:rFonts w:hint="eastAsia"/>
        </w:rPr>
        <w:t>106</w:t>
      </w:r>
      <w:r>
        <w:rPr>
          <w:rFonts w:hint="eastAsia"/>
        </w:rPr>
        <w:t>年</w:t>
      </w:r>
      <w:r>
        <w:rPr>
          <w:rFonts w:hint="eastAsia"/>
        </w:rPr>
        <w:t>12</w:t>
      </w:r>
      <w:r>
        <w:rPr>
          <w:rFonts w:hint="eastAsia"/>
        </w:rPr>
        <w:t>月</w:t>
      </w:r>
      <w:r>
        <w:rPr>
          <w:rFonts w:hint="eastAsia"/>
        </w:rPr>
        <w:t>3</w:t>
      </w:r>
      <w:r>
        <w:rPr>
          <w:rFonts w:hint="eastAsia"/>
        </w:rPr>
        <w:t>日）前兩年內（</w:t>
      </w:r>
      <w:r>
        <w:rPr>
          <w:rFonts w:hint="eastAsia"/>
        </w:rPr>
        <w:t>105</w:t>
      </w:r>
      <w:r>
        <w:rPr>
          <w:rFonts w:hint="eastAsia"/>
        </w:rPr>
        <w:t>年</w:t>
      </w:r>
      <w:r>
        <w:rPr>
          <w:rFonts w:hint="eastAsia"/>
        </w:rPr>
        <w:t>6</w:t>
      </w:r>
      <w:r>
        <w:rPr>
          <w:rFonts w:hint="eastAsia"/>
        </w:rPr>
        <w:t>月），贈與了大量財產，具體是</w:t>
      </w:r>
      <w:r>
        <w:rPr>
          <w:rFonts w:hint="eastAsia"/>
        </w:rPr>
        <w:t>114</w:t>
      </w:r>
      <w:r>
        <w:rPr>
          <w:rFonts w:hint="eastAsia"/>
        </w:rPr>
        <w:t>張股票（</w:t>
      </w:r>
      <w:r>
        <w:rPr>
          <w:rFonts w:hint="eastAsia"/>
        </w:rPr>
        <w:t>114,800</w:t>
      </w:r>
      <w:r>
        <w:rPr>
          <w:rFonts w:hint="eastAsia"/>
        </w:rPr>
        <w:t>股），贈與對象是他的配偶丙。由於被繼承人與受贈人是配偶關係，根據遺產及贈與稅法的規定，配偶間的財產移轉不計入贈與總額，因此即使申報贈與，也不需繳贈與稅。</w:t>
      </w:r>
    </w:p>
    <w:p w:rsidR="005E674B" w:rsidRDefault="00833731">
      <w:pPr>
        <w:pStyle w:val="a3"/>
      </w:pPr>
      <w:r>
        <w:rPr>
          <w:rFonts w:hint="eastAsia"/>
        </w:rPr>
        <w:t>後來，被繼承人乙死亡後，這位配偶丙可能認為自己已經在生前取得了足夠的財產，和婚生子女，丁、戊、己一同拋棄了繼承權。結果，留下來的唯一繼承人是被繼承人在外的非婚生子女甲（民國</w:t>
      </w:r>
      <w:r>
        <w:rPr>
          <w:rFonts w:hint="eastAsia"/>
        </w:rPr>
        <w:t>100</w:t>
      </w:r>
      <w:r>
        <w:rPr>
          <w:rFonts w:hint="eastAsia"/>
        </w:rPr>
        <w:t>年次，未成年）。</w:t>
      </w:r>
    </w:p>
    <w:p w:rsidR="005E674B" w:rsidRDefault="00833731">
      <w:pPr>
        <w:pStyle w:val="a3"/>
      </w:pPr>
      <w:r>
        <w:rPr>
          <w:rFonts w:hint="eastAsia"/>
        </w:rPr>
        <w:t>換句話說，大老婆與她所生的三個孩子全部拋棄繼承，只剩下小三所生的孩子成為唯一繼承人。當然，這位小三的孩子甲（未成年）可能並不清楚整個財產結構，也沒有拋棄繼承。</w:t>
      </w:r>
    </w:p>
    <w:p w:rsidR="005E674B" w:rsidRDefault="00833731">
      <w:pPr>
        <w:pStyle w:val="a3"/>
      </w:pPr>
      <w:r>
        <w:rPr>
          <w:rFonts w:hint="eastAsia"/>
        </w:rPr>
        <w:t>國稅局查核後發現，被繼承人生前贈與配偶的</w:t>
      </w:r>
      <w:r>
        <w:rPr>
          <w:rFonts w:hint="eastAsia"/>
        </w:rPr>
        <w:t>114</w:t>
      </w:r>
      <w:r>
        <w:rPr>
          <w:rFonts w:hint="eastAsia"/>
        </w:rPr>
        <w:t>張股票，其價值（股票淨值估價）高達</w:t>
      </w:r>
      <w:r>
        <w:rPr>
          <w:rFonts w:hint="eastAsia"/>
        </w:rPr>
        <w:t>3</w:t>
      </w:r>
      <w:r>
        <w:rPr>
          <w:rFonts w:hint="eastAsia"/>
        </w:rPr>
        <w:t>億</w:t>
      </w:r>
      <w:r>
        <w:rPr>
          <w:rFonts w:hint="eastAsia"/>
        </w:rPr>
        <w:t>868</w:t>
      </w:r>
      <w:r>
        <w:rPr>
          <w:rFonts w:hint="eastAsia"/>
        </w:rPr>
        <w:t>萬元（</w:t>
      </w:r>
      <w:r>
        <w:rPr>
          <w:rFonts w:hint="eastAsia"/>
        </w:rPr>
        <w:t>308,682,069</w:t>
      </w:r>
      <w:r>
        <w:rPr>
          <w:rFonts w:hint="eastAsia"/>
        </w:rPr>
        <w:t>元）。這些被視為遺產的金額加回來之後，再加上被繼承人死亡時實際留下的財產，遺產總額</w:t>
      </w:r>
      <w:r>
        <w:rPr>
          <w:rFonts w:hint="eastAsia"/>
        </w:rPr>
        <w:t>3</w:t>
      </w:r>
      <w:r>
        <w:rPr>
          <w:rFonts w:hint="eastAsia"/>
        </w:rPr>
        <w:t>億</w:t>
      </w:r>
      <w:r>
        <w:rPr>
          <w:rFonts w:hint="eastAsia"/>
        </w:rPr>
        <w:t>4612</w:t>
      </w:r>
      <w:r>
        <w:rPr>
          <w:rFonts w:hint="eastAsia"/>
        </w:rPr>
        <w:t>萬元（</w:t>
      </w:r>
      <w:r>
        <w:rPr>
          <w:rFonts w:hint="eastAsia"/>
        </w:rPr>
        <w:t>346,124,368</w:t>
      </w:r>
      <w:r>
        <w:rPr>
          <w:rFonts w:hint="eastAsia"/>
        </w:rPr>
        <w:t>元）、遺產淨額</w:t>
      </w:r>
      <w:r>
        <w:rPr>
          <w:rFonts w:hint="eastAsia"/>
        </w:rPr>
        <w:t>3</w:t>
      </w:r>
      <w:r>
        <w:rPr>
          <w:rFonts w:hint="eastAsia"/>
        </w:rPr>
        <w:t>億</w:t>
      </w:r>
      <w:r>
        <w:rPr>
          <w:rFonts w:hint="eastAsia"/>
        </w:rPr>
        <w:t>2435</w:t>
      </w:r>
      <w:r>
        <w:rPr>
          <w:rFonts w:hint="eastAsia"/>
        </w:rPr>
        <w:t>萬元（</w:t>
      </w:r>
      <w:r>
        <w:rPr>
          <w:rFonts w:hint="eastAsia"/>
        </w:rPr>
        <w:t>324,351,907</w:t>
      </w:r>
      <w:r>
        <w:rPr>
          <w:rFonts w:hint="eastAsia"/>
        </w:rPr>
        <w:t>元）</w:t>
      </w:r>
    </w:p>
    <w:p w:rsidR="005E674B" w:rsidRDefault="00833731">
      <w:pPr>
        <w:pStyle w:val="Compact"/>
        <w:numPr>
          <w:ilvl w:val="0"/>
          <w:numId w:val="46"/>
        </w:numPr>
      </w:pPr>
      <w:r>
        <w:rPr>
          <w:rFonts w:hint="eastAsia"/>
        </w:rPr>
        <w:t>課稅遺產淨額</w:t>
      </w:r>
      <w:r>
        <w:rPr>
          <w:rFonts w:hint="eastAsia"/>
        </w:rPr>
        <w:t>=</w:t>
      </w:r>
      <w:r>
        <w:rPr>
          <w:rFonts w:hint="eastAsia"/>
        </w:rPr>
        <w:t>遺產總額</w:t>
      </w:r>
      <w:r>
        <w:rPr>
          <w:rFonts w:hint="eastAsia"/>
        </w:rPr>
        <w:t>-</w:t>
      </w:r>
      <w:r>
        <w:rPr>
          <w:rFonts w:hint="eastAsia"/>
        </w:rPr>
        <w:t>免稅額</w:t>
      </w:r>
      <w:r>
        <w:rPr>
          <w:rFonts w:hint="eastAsia"/>
        </w:rPr>
        <w:t>-</w:t>
      </w:r>
      <w:r>
        <w:rPr>
          <w:rFonts w:hint="eastAsia"/>
        </w:rPr>
        <w:t>扣除額。</w:t>
      </w:r>
    </w:p>
    <w:p w:rsidR="005E674B" w:rsidRDefault="00833731">
      <w:pPr>
        <w:pStyle w:val="Compact"/>
        <w:numPr>
          <w:ilvl w:val="0"/>
          <w:numId w:val="46"/>
        </w:numPr>
      </w:pPr>
      <w:r>
        <w:rPr>
          <w:rFonts w:hint="eastAsia"/>
        </w:rPr>
        <w:t>應納遺產稅額</w:t>
      </w:r>
      <w:r>
        <w:rPr>
          <w:rFonts w:hint="eastAsia"/>
        </w:rPr>
        <w:t>=</w:t>
      </w:r>
      <w:r>
        <w:rPr>
          <w:rFonts w:hint="eastAsia"/>
        </w:rPr>
        <w:t>課稅遺產淨額×稅率</w:t>
      </w:r>
      <w:r>
        <w:rPr>
          <w:rFonts w:hint="eastAsia"/>
        </w:rPr>
        <w:t>-</w:t>
      </w:r>
      <w:r>
        <w:rPr>
          <w:rFonts w:hint="eastAsia"/>
        </w:rPr>
        <w:t>累進差額</w:t>
      </w:r>
      <w:r>
        <w:rPr>
          <w:rFonts w:hint="eastAsia"/>
        </w:rPr>
        <w:t>-</w:t>
      </w:r>
      <w:r>
        <w:rPr>
          <w:rFonts w:hint="eastAsia"/>
        </w:rPr>
        <w:t>扣抵稅額及利息。</w:t>
      </w:r>
    </w:p>
    <w:p w:rsidR="005E674B" w:rsidRDefault="00833731">
      <w:pPr>
        <w:pStyle w:val="FirstParagraph"/>
      </w:pPr>
      <w:r>
        <w:rPr>
          <w:rFonts w:hint="eastAsia"/>
        </w:rPr>
        <w:t>核定本案繼承人甲應納遺產稅額</w:t>
      </w:r>
      <w:r>
        <w:rPr>
          <w:rFonts w:hint="eastAsia"/>
        </w:rPr>
        <w:t>5735</w:t>
      </w:r>
      <w:r>
        <w:rPr>
          <w:rFonts w:hint="eastAsia"/>
        </w:rPr>
        <w:t>萬元（</w:t>
      </w:r>
      <w:r>
        <w:rPr>
          <w:rFonts w:hint="eastAsia"/>
        </w:rPr>
        <w:t>57,354,847</w:t>
      </w:r>
      <w:r>
        <w:rPr>
          <w:rFonts w:hint="eastAsia"/>
        </w:rPr>
        <w:t>元）。</w:t>
      </w:r>
    </w:p>
    <w:p w:rsidR="005E674B" w:rsidRDefault="00833731">
      <w:pPr>
        <w:pStyle w:val="a3"/>
      </w:pPr>
      <w:r>
        <w:rPr>
          <w:rFonts w:hint="eastAsia"/>
        </w:rPr>
        <w:t>反推繼承人甲所獲遺產部分</w:t>
      </w:r>
      <w:r>
        <w:rPr>
          <w:rFonts w:hint="eastAsia"/>
          <w:b/>
          <w:bCs/>
        </w:rPr>
        <w:t>3744</w:t>
      </w:r>
      <w:r>
        <w:rPr>
          <w:rFonts w:hint="eastAsia"/>
          <w:b/>
          <w:bCs/>
        </w:rPr>
        <w:t>萬元</w:t>
      </w:r>
      <w:r>
        <w:rPr>
          <w:rFonts w:hint="eastAsia"/>
        </w:rPr>
        <w:t>（遺產總額</w:t>
      </w:r>
      <w:r>
        <w:rPr>
          <w:rFonts w:hint="eastAsia"/>
        </w:rPr>
        <w:t>3</w:t>
      </w:r>
      <w:r>
        <w:rPr>
          <w:rFonts w:hint="eastAsia"/>
        </w:rPr>
        <w:t>億</w:t>
      </w:r>
      <w:r>
        <w:rPr>
          <w:rFonts w:hint="eastAsia"/>
        </w:rPr>
        <w:t>4612</w:t>
      </w:r>
      <w:r>
        <w:rPr>
          <w:rFonts w:hint="eastAsia"/>
        </w:rPr>
        <w:t>萬元</w:t>
      </w:r>
      <w:r>
        <w:rPr>
          <w:rFonts w:hint="eastAsia"/>
        </w:rPr>
        <w:t>-</w:t>
      </w:r>
      <w:r>
        <w:rPr>
          <w:rFonts w:hint="eastAsia"/>
        </w:rPr>
        <w:t>視為遺產之</w:t>
      </w:r>
      <w:r>
        <w:rPr>
          <w:rFonts w:hint="eastAsia"/>
        </w:rPr>
        <w:t>3</w:t>
      </w:r>
      <w:r>
        <w:rPr>
          <w:rFonts w:hint="eastAsia"/>
        </w:rPr>
        <w:t>億</w:t>
      </w:r>
      <w:r>
        <w:rPr>
          <w:rFonts w:hint="eastAsia"/>
        </w:rPr>
        <w:t>868</w:t>
      </w:r>
      <w:r>
        <w:rPr>
          <w:rFonts w:hint="eastAsia"/>
        </w:rPr>
        <w:t>萬元）：</w:t>
      </w:r>
      <w:r>
        <w:rPr>
          <w:rFonts w:hint="eastAsia"/>
        </w:rPr>
        <w:t>346,124,368</w:t>
      </w:r>
      <w:r>
        <w:rPr>
          <w:rFonts w:hint="eastAsia"/>
        </w:rPr>
        <w:t>元</w:t>
      </w:r>
      <w:r>
        <w:rPr>
          <w:rFonts w:hint="eastAsia"/>
        </w:rPr>
        <w:t>-308,682,069</w:t>
      </w:r>
      <w:r>
        <w:rPr>
          <w:rFonts w:hint="eastAsia"/>
        </w:rPr>
        <w:t>元</w:t>
      </w:r>
      <w:r>
        <w:t xml:space="preserve"> = </w:t>
      </w:r>
      <w:r>
        <w:rPr>
          <w:rFonts w:hint="eastAsia"/>
        </w:rPr>
        <w:t>37,442,299</w:t>
      </w:r>
      <w:r>
        <w:rPr>
          <w:rFonts w:hint="eastAsia"/>
        </w:rPr>
        <w:t>元</w:t>
      </w:r>
    </w:p>
    <w:p w:rsidR="005E674B" w:rsidRDefault="00833731">
      <w:pPr>
        <w:pStyle w:val="a3"/>
      </w:pPr>
      <w:r>
        <w:rPr>
          <w:rFonts w:hint="eastAsia"/>
        </w:rPr>
        <w:t>也就是說，被繼承人實際上留給唯一繼承人的（也就是小三的孩子）遺產大概只有</w:t>
      </w:r>
      <w:r>
        <w:rPr>
          <w:rFonts w:hint="eastAsia"/>
          <w:b/>
          <w:bCs/>
        </w:rPr>
        <w:t>四千多萬</w:t>
      </w:r>
      <w:r>
        <w:rPr>
          <w:rFonts w:hint="eastAsia"/>
        </w:rPr>
        <w:t>【不到</w:t>
      </w:r>
      <w:r>
        <w:rPr>
          <w:rFonts w:hint="eastAsia"/>
        </w:rPr>
        <w:t>4000</w:t>
      </w:r>
      <w:r>
        <w:rPr>
          <w:rFonts w:hint="eastAsia"/>
        </w:rPr>
        <w:t>萬？】；但生前贈與配偶的金額高達三億多。把這些生前贈與加計回來後，整個遺產總額成為</w:t>
      </w:r>
      <w:r>
        <w:rPr>
          <w:rFonts w:hint="eastAsia"/>
        </w:rPr>
        <w:t>3</w:t>
      </w:r>
      <w:r>
        <w:rPr>
          <w:rFonts w:hint="eastAsia"/>
        </w:rPr>
        <w:t>億</w:t>
      </w:r>
      <w:r>
        <w:rPr>
          <w:rFonts w:hint="eastAsia"/>
        </w:rPr>
        <w:t>4612</w:t>
      </w:r>
      <w:r>
        <w:rPr>
          <w:rFonts w:hint="eastAsia"/>
        </w:rPr>
        <w:t>萬元，扣除免稅額與扣除額後，課稅基礎是</w:t>
      </w:r>
      <w:r>
        <w:rPr>
          <w:rFonts w:hint="eastAsia"/>
        </w:rPr>
        <w:t>3</w:t>
      </w:r>
      <w:r>
        <w:rPr>
          <w:rFonts w:hint="eastAsia"/>
        </w:rPr>
        <w:t>億</w:t>
      </w:r>
      <w:r>
        <w:rPr>
          <w:rFonts w:hint="eastAsia"/>
        </w:rPr>
        <w:t>2435</w:t>
      </w:r>
      <w:r>
        <w:rPr>
          <w:rFonts w:hint="eastAsia"/>
        </w:rPr>
        <w:t>萬元，計算出的應納稅額高達</w:t>
      </w:r>
      <w:r>
        <w:rPr>
          <w:rFonts w:hint="eastAsia"/>
        </w:rPr>
        <w:t>5735</w:t>
      </w:r>
      <w:r>
        <w:rPr>
          <w:rFonts w:hint="eastAsia"/>
        </w:rPr>
        <w:t>萬元。</w:t>
      </w:r>
    </w:p>
    <w:p w:rsidR="005E674B" w:rsidRDefault="00833731">
      <w:pPr>
        <w:pStyle w:val="a3"/>
      </w:pPr>
      <w:r>
        <w:rPr>
          <w:rFonts w:hint="eastAsia"/>
        </w:rPr>
        <w:t>為什麼這件事情重要？因為這位繼承人實際繼承的財產只有約四千多萬，但他卻被課了</w:t>
      </w:r>
      <w:r>
        <w:rPr>
          <w:rFonts w:hint="eastAsia"/>
        </w:rPr>
        <w:t>5735</w:t>
      </w:r>
      <w:r>
        <w:rPr>
          <w:rFonts w:hint="eastAsia"/>
        </w:rPr>
        <w:t>萬元的遺產稅。換句話說，他實際上連繳稅的錢都不夠。這樣的課稅結果，形同把他所繼承的遺產全部「徵收」掉。</w:t>
      </w:r>
    </w:p>
    <w:p w:rsidR="005E674B" w:rsidRDefault="00833731">
      <w:pPr>
        <w:pStyle w:val="a3"/>
      </w:pPr>
      <w:r>
        <w:rPr>
          <w:rFonts w:hint="eastAsia"/>
        </w:rPr>
        <w:lastRenderedPageBreak/>
        <w:t>因此，我形容這個情況是「大老婆藉由國稅局之手，把小三的孩子能拿到的遺產全都徵走了」。整體的稅收範圍幾乎超過他實際所取得的遺產金額。</w:t>
      </w:r>
    </w:p>
    <w:p w:rsidR="005E674B" w:rsidRDefault="00833731">
      <w:pPr>
        <w:pStyle w:val="a3"/>
      </w:pPr>
      <w:r>
        <w:rPr>
          <w:rFonts w:hint="eastAsia"/>
        </w:rPr>
        <w:t>這樣的結果引發疑慮。北高行的法官們認為，依現行法律規定，依照遺產及贈與稅法第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款的「視為遺產」條款，被繼承人生前贈與的財產必須算回來，而第</w:t>
      </w:r>
      <w:r>
        <w:rPr>
          <w:rFonts w:hint="eastAsia"/>
        </w:rPr>
        <w:t>6</w:t>
      </w:r>
      <w:r>
        <w:rPr>
          <w:rFonts w:hint="eastAsia"/>
        </w:rPr>
        <w:t>條第</w:t>
      </w:r>
      <w:r>
        <w:rPr>
          <w:rFonts w:hint="eastAsia"/>
        </w:rPr>
        <w:t>1</w:t>
      </w:r>
      <w:r>
        <w:rPr>
          <w:rFonts w:hint="eastAsia"/>
        </w:rPr>
        <w:t>項第</w:t>
      </w:r>
      <w:r>
        <w:rPr>
          <w:rFonts w:hint="eastAsia"/>
        </w:rPr>
        <w:t>2</w:t>
      </w:r>
      <w:r>
        <w:rPr>
          <w:rFonts w:hint="eastAsia"/>
        </w:rPr>
        <w:t>款規定繼承人是納稅義務人。因此，唯一繼承人（也就是小三的孩子）必須負責繳納這</w:t>
      </w:r>
      <w:r>
        <w:rPr>
          <w:rFonts w:hint="eastAsia"/>
        </w:rPr>
        <w:t>5735</w:t>
      </w:r>
      <w:r>
        <w:rPr>
          <w:rFonts w:hint="eastAsia"/>
        </w:rPr>
        <w:t>萬元的遺產稅。</w:t>
      </w:r>
    </w:p>
    <w:p w:rsidR="005E674B" w:rsidRDefault="00833731">
      <w:pPr>
        <w:pStyle w:val="a3"/>
      </w:pPr>
      <w:r>
        <w:rPr>
          <w:rFonts w:hint="eastAsia"/>
        </w:rPr>
        <w:t>然而，他實際上只繼承了約四千萬元的財產。這樣的稅額計算結果，等於讓繼承人承擔超出其實際所得的稅負。</w:t>
      </w:r>
    </w:p>
    <w:p w:rsidR="005E674B" w:rsidRDefault="00833731">
      <w:pPr>
        <w:pStyle w:val="a3"/>
      </w:pPr>
      <w:r>
        <w:rPr>
          <w:rFonts w:hint="eastAsia"/>
        </w:rPr>
        <w:t>因此，北高行的學長姐認為，這樣的法律規範是否已經導致繼承人的財產權受到侵害？或者是否違反了平等權與量能課稅原則？為釐清這個問題，他們依照憲法訴訟法第</w:t>
      </w:r>
      <w:r>
        <w:rPr>
          <w:rFonts w:hint="eastAsia"/>
        </w:rPr>
        <w:t>55</w:t>
      </w:r>
      <w:r>
        <w:rPr>
          <w:rFonts w:hint="eastAsia"/>
        </w:rPr>
        <w:t>條提出了法位階法規範的憲法審查聲請。</w:t>
      </w:r>
    </w:p>
    <w:p w:rsidR="005E674B" w:rsidRDefault="00833731">
      <w:pPr>
        <w:pStyle w:val="a3"/>
      </w:pPr>
      <w:r>
        <w:rPr>
          <w:rFonts w:hint="eastAsia"/>
        </w:rPr>
        <w:t>這就是本件第一個憲法聲請案的事實背景。</w:t>
      </w:r>
    </w:p>
    <w:p w:rsidR="005E674B" w:rsidRDefault="00833731">
      <w:pPr>
        <w:pStyle w:val="3"/>
      </w:pPr>
      <w:bookmarkStart w:id="22" w:name="實體判決的憲法審查聲請"/>
      <w:bookmarkStart w:id="23" w:name="_Toc211785262"/>
      <w:bookmarkEnd w:id="20"/>
      <w:r>
        <w:rPr>
          <w:rFonts w:hint="eastAsia"/>
        </w:rPr>
        <w:t>實體判決的憲法審查聲請</w:t>
      </w:r>
      <w:bookmarkEnd w:id="23"/>
    </w:p>
    <w:p w:rsidR="005E674B" w:rsidRDefault="00833731">
      <w:pPr>
        <w:pStyle w:val="FirstParagraph"/>
      </w:pPr>
      <w:r>
        <w:rPr>
          <w:rFonts w:hint="eastAsia"/>
        </w:rPr>
        <w:t>第二個聲請案的背景與第一件非常相似，只有一個主要差別——在這個案子裡，配偶並沒有拋棄繼承權。</w:t>
      </w:r>
    </w:p>
    <w:p w:rsidR="005E674B" w:rsidRDefault="00833731">
      <w:pPr>
        <w:pStyle w:val="a3"/>
      </w:pPr>
      <w:r>
        <w:rPr>
          <w:rFonts w:hint="eastAsia"/>
        </w:rPr>
        <w:t>具體來說，這位配偶在被繼承人生前，受贈了價值約</w:t>
      </w:r>
      <w:r>
        <w:rPr>
          <w:rFonts w:hint="eastAsia"/>
        </w:rPr>
        <w:t>1</w:t>
      </w:r>
      <w:r>
        <w:rPr>
          <w:rFonts w:hint="eastAsia"/>
        </w:rPr>
        <w:t>億</w:t>
      </w:r>
      <w:r>
        <w:rPr>
          <w:rFonts w:hint="eastAsia"/>
        </w:rPr>
        <w:t>3</w:t>
      </w:r>
      <w:r>
        <w:rPr>
          <w:rFonts w:hint="eastAsia"/>
        </w:rPr>
        <w:t>千多萬元的土地。被繼承人死亡後，這筆生前贈與依遺產及贈與稅法第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款的規定，被算回遺產課稅。加總後，遺產總額約</w:t>
      </w:r>
      <w:r>
        <w:rPr>
          <w:rFonts w:hint="eastAsia"/>
        </w:rPr>
        <w:t>2</w:t>
      </w:r>
      <w:r>
        <w:rPr>
          <w:rFonts w:hint="eastAsia"/>
        </w:rPr>
        <w:t>億</w:t>
      </w:r>
      <w:r>
        <w:rPr>
          <w:rFonts w:hint="eastAsia"/>
        </w:rPr>
        <w:t>2</w:t>
      </w:r>
      <w:r>
        <w:rPr>
          <w:rFonts w:hint="eastAsia"/>
        </w:rPr>
        <w:t>千多萬，扣除後的遺產淨額是</w:t>
      </w:r>
      <w:r>
        <w:rPr>
          <w:rFonts w:hint="eastAsia"/>
        </w:rPr>
        <w:t>1</w:t>
      </w:r>
      <w:r>
        <w:rPr>
          <w:rFonts w:hint="eastAsia"/>
        </w:rPr>
        <w:t>億</w:t>
      </w:r>
      <w:r>
        <w:rPr>
          <w:rFonts w:hint="eastAsia"/>
        </w:rPr>
        <w:t>4600</w:t>
      </w:r>
      <w:r>
        <w:rPr>
          <w:rFonts w:hint="eastAsia"/>
        </w:rPr>
        <w:t>多萬，應納稅額為</w:t>
      </w:r>
      <w:r>
        <w:rPr>
          <w:rFonts w:hint="eastAsia"/>
        </w:rPr>
        <w:t>1462</w:t>
      </w:r>
      <w:r>
        <w:rPr>
          <w:rFonts w:hint="eastAsia"/>
        </w:rPr>
        <w:t>萬。</w:t>
      </w:r>
    </w:p>
    <w:p w:rsidR="005E674B" w:rsidRDefault="00833731">
      <w:pPr>
        <w:pStyle w:val="a3"/>
      </w:pPr>
      <w:r>
        <w:rPr>
          <w:rFonts w:hint="eastAsia"/>
        </w:rPr>
        <w:t>這個案例與前案不同，聲請人並沒有出現「繼承的財產被稅額吃掉」的問題，但他的爭執重點在於另一個層面。</w:t>
      </w:r>
    </w:p>
    <w:p w:rsidR="005E674B" w:rsidRDefault="00833731">
      <w:pPr>
        <w:pStyle w:val="a3"/>
      </w:pPr>
      <w:r>
        <w:rPr>
          <w:rFonts w:hint="eastAsia"/>
        </w:rPr>
        <w:t>聲請人主張，既然被算回來的「生前贈與」部分要併入遺產課稅，那麼在計算遺產稅時，也應適用遺產及贈與稅法第</w:t>
      </w:r>
      <w:r>
        <w:rPr>
          <w:rFonts w:hint="eastAsia"/>
        </w:rPr>
        <w:t>17-1</w:t>
      </w:r>
      <w:r>
        <w:rPr>
          <w:rFonts w:hint="eastAsia"/>
        </w:rPr>
        <w:t>條的規定——也就是配偶「剩餘財產差額分配請求權」可以減半不計入課稅。然而，財政部於</w:t>
      </w:r>
      <w:r>
        <w:rPr>
          <w:rFonts w:hint="eastAsia"/>
        </w:rPr>
        <w:t>97</w:t>
      </w:r>
      <w:r>
        <w:rPr>
          <w:rFonts w:hint="eastAsia"/>
        </w:rPr>
        <w:t>年</w:t>
      </w:r>
      <w:r>
        <w:rPr>
          <w:rFonts w:hint="eastAsia"/>
        </w:rPr>
        <w:t>1</w:t>
      </w:r>
      <w:r>
        <w:rPr>
          <w:rFonts w:hint="eastAsia"/>
        </w:rPr>
        <w:t>月</w:t>
      </w:r>
      <w:r>
        <w:rPr>
          <w:rFonts w:hint="eastAsia"/>
        </w:rPr>
        <w:t>14</w:t>
      </w:r>
      <w:r>
        <w:rPr>
          <w:rFonts w:hint="eastAsia"/>
        </w:rPr>
        <w:t>日發布的解釋令卻認為，生前贈與並非「現存遺產」，因此不能適用第</w:t>
      </w:r>
      <w:r>
        <w:rPr>
          <w:rFonts w:hint="eastAsia"/>
        </w:rPr>
        <w:t>17-1</w:t>
      </w:r>
      <w:r>
        <w:rPr>
          <w:rFonts w:hint="eastAsia"/>
        </w:rPr>
        <w:t>條的減免規定。</w:t>
      </w:r>
    </w:p>
    <w:p w:rsidR="005E674B" w:rsidRDefault="00833731">
      <w:pPr>
        <w:pStyle w:val="a3"/>
      </w:pPr>
      <w:r>
        <w:rPr>
          <w:rFonts w:hint="eastAsia"/>
        </w:rPr>
        <w:t>北高行在</w:t>
      </w:r>
      <w:r>
        <w:rPr>
          <w:rFonts w:hint="eastAsia"/>
        </w:rPr>
        <w:t>109</w:t>
      </w:r>
      <w:r>
        <w:rPr>
          <w:rFonts w:hint="eastAsia"/>
        </w:rPr>
        <w:t>年度訴字第</w:t>
      </w:r>
      <w:r>
        <w:rPr>
          <w:rFonts w:hint="eastAsia"/>
        </w:rPr>
        <w:t>386</w:t>
      </w:r>
      <w:r>
        <w:rPr>
          <w:rFonts w:hint="eastAsia"/>
        </w:rPr>
        <w:t>號判決中採納了財政部的見解，認為此種情形不具差額分配請求權的適用。於是，在實體審理時駁回了聲請人主張。</w:t>
      </w:r>
    </w:p>
    <w:p w:rsidR="005E674B" w:rsidRDefault="00833731">
      <w:pPr>
        <w:pStyle w:val="a3"/>
      </w:pPr>
      <w:r>
        <w:rPr>
          <w:rFonts w:hint="eastAsia"/>
        </w:rPr>
        <w:t>聲請人二認為，因為無法適用第</w:t>
      </w:r>
      <w:r>
        <w:rPr>
          <w:rFonts w:hint="eastAsia"/>
        </w:rPr>
        <w:t>17-1</w:t>
      </w:r>
      <w:r>
        <w:rPr>
          <w:rFonts w:hint="eastAsia"/>
        </w:rPr>
        <w:t>條規定，導致他所負擔的遺產稅增加，稅負明顯加重，因而提起訴訟。然而，案件在上訴到最高行政法院後，被以「上訴不合法」為由駁回，未進入實體審查。也就是說，整個案件僅止於程序駁回，沒有獲得實體判決。</w:t>
      </w:r>
    </w:p>
    <w:p w:rsidR="005E674B" w:rsidRDefault="00833731">
      <w:pPr>
        <w:pStyle w:val="a3"/>
      </w:pPr>
      <w:r>
        <w:rPr>
          <w:rFonts w:hint="eastAsia"/>
        </w:rPr>
        <w:t>在窮盡一切救濟程序後，聲請人二提出了憲法訴訟。他的憲法聲請有三個審查標的：</w:t>
      </w:r>
    </w:p>
    <w:p w:rsidR="005E674B" w:rsidRDefault="00833731">
      <w:pPr>
        <w:pStyle w:val="Compact"/>
        <w:numPr>
          <w:ilvl w:val="0"/>
          <w:numId w:val="47"/>
        </w:numPr>
      </w:pPr>
      <w:r>
        <w:rPr>
          <w:rFonts w:hint="eastAsia"/>
        </w:rPr>
        <w:t>最高行政法院的裁定（上訴不合法駁回）。</w:t>
      </w:r>
    </w:p>
    <w:p w:rsidR="005E674B" w:rsidRDefault="00833731">
      <w:pPr>
        <w:pStyle w:val="Compact"/>
        <w:numPr>
          <w:ilvl w:val="0"/>
          <w:numId w:val="47"/>
        </w:numPr>
      </w:pPr>
      <w:r>
        <w:rPr>
          <w:rFonts w:hint="eastAsia"/>
        </w:rPr>
        <w:t>財政部的解釋函令（</w:t>
      </w:r>
      <w:r>
        <w:rPr>
          <w:rFonts w:hint="eastAsia"/>
        </w:rPr>
        <w:t>97</w:t>
      </w:r>
      <w:r>
        <w:rPr>
          <w:rFonts w:hint="eastAsia"/>
        </w:rPr>
        <w:t>年</w:t>
      </w:r>
      <w:r>
        <w:rPr>
          <w:rFonts w:hint="eastAsia"/>
        </w:rPr>
        <w:t>1</w:t>
      </w:r>
      <w:r>
        <w:rPr>
          <w:rFonts w:hint="eastAsia"/>
        </w:rPr>
        <w:t>月</w:t>
      </w:r>
      <w:r>
        <w:rPr>
          <w:rFonts w:hint="eastAsia"/>
        </w:rPr>
        <w:t>14</w:t>
      </w:r>
      <w:r>
        <w:rPr>
          <w:rFonts w:hint="eastAsia"/>
        </w:rPr>
        <w:t>日）。</w:t>
      </w:r>
    </w:p>
    <w:p w:rsidR="005E674B" w:rsidRDefault="00833731">
      <w:pPr>
        <w:pStyle w:val="Compact"/>
        <w:numPr>
          <w:ilvl w:val="0"/>
          <w:numId w:val="47"/>
        </w:numPr>
      </w:pPr>
      <w:r>
        <w:rPr>
          <w:rFonts w:hint="eastAsia"/>
        </w:rPr>
        <w:t>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款（與聲請人一相同）。</w:t>
      </w:r>
    </w:p>
    <w:p w:rsidR="005E674B" w:rsidRDefault="00833731">
      <w:pPr>
        <w:pStyle w:val="FirstParagraph"/>
      </w:pPr>
      <w:r>
        <w:rPr>
          <w:rFonts w:hint="eastAsia"/>
        </w:rPr>
        <w:lastRenderedPageBreak/>
        <w:t>其中，第</w:t>
      </w:r>
      <w:r>
        <w:rPr>
          <w:rFonts w:hint="eastAsia"/>
        </w:rPr>
        <w:t>3</w:t>
      </w:r>
      <w:r>
        <w:rPr>
          <w:rFonts w:hint="eastAsia"/>
        </w:rPr>
        <w:t>項——也就是遺贈稅法第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款——與聲請人一的聲請標的一致，這也是本案兩案合併審理的理由之一。</w:t>
      </w:r>
    </w:p>
    <w:p w:rsidR="005E674B" w:rsidRDefault="00833731">
      <w:r>
        <w:rPr>
          <w:noProof/>
        </w:rPr>
      </w:r>
      <w:r w:rsidR="00833731">
        <w:rPr>
          <w:noProof/>
        </w:rPr>
        <w:pict>
          <v:rect id="_x0000_i1028" alt="" style="width:415.3pt;height:.05pt;mso-width-percent:0;mso-height-percent:0;mso-width-percent:0;mso-height-percent:0" o:hralign="center" o:hrstd="t" o:hr="t"/>
        </w:pict>
      </w:r>
    </w:p>
    <w:p w:rsidR="005E674B" w:rsidRDefault="00833731">
      <w:pPr>
        <w:pStyle w:val="FirstParagraph"/>
      </w:pPr>
      <w:r>
        <w:rPr>
          <w:rFonts w:hint="eastAsia"/>
        </w:rPr>
        <w:t>至於前兩個標的，憲法法庭在審查過程中指出，聲請人二的程序標的選擇錯誤。</w:t>
      </w:r>
    </w:p>
    <w:p w:rsidR="005E674B" w:rsidRDefault="00833731">
      <w:pPr>
        <w:pStyle w:val="a3"/>
      </w:pPr>
      <w:r>
        <w:rPr>
          <w:rFonts w:hint="eastAsia"/>
        </w:rPr>
        <w:t>首先，最高行政法院的「上訴不合法駁回」只是程序裁定，不屬於可作為憲法審查標的的「實體裁判」。因此，憲法法庭「友善地」幫他調整，將應審查的標的改為北高行</w:t>
      </w:r>
      <w:r>
        <w:rPr>
          <w:rFonts w:hint="eastAsia"/>
        </w:rPr>
        <w:t>109</w:t>
      </w:r>
      <w:r>
        <w:rPr>
          <w:rFonts w:hint="eastAsia"/>
        </w:rPr>
        <w:t>年度訴字第</w:t>
      </w:r>
      <w:r>
        <w:rPr>
          <w:rFonts w:hint="eastAsia"/>
        </w:rPr>
        <w:t>386</w:t>
      </w:r>
      <w:r>
        <w:rPr>
          <w:rFonts w:hint="eastAsia"/>
        </w:rPr>
        <w:t>號「實體判決」，也就是最終有認定爭點的司法裁判，才能作為「裁判憲法訴願」的對象。</w:t>
      </w:r>
    </w:p>
    <w:p w:rsidR="005E674B" w:rsidRDefault="00833731">
      <w:pPr>
        <w:pStyle w:val="a3"/>
      </w:pPr>
      <w:r>
        <w:rPr>
          <w:rFonts w:hint="eastAsia"/>
        </w:rPr>
        <w:t>其次，關於財政部的解釋函令，憲法法庭也指出，依據</w:t>
      </w:r>
      <w:r>
        <w:rPr>
          <w:rFonts w:hint="eastAsia"/>
        </w:rPr>
        <w:t>110</w:t>
      </w:r>
      <w:r>
        <w:rPr>
          <w:rFonts w:hint="eastAsia"/>
        </w:rPr>
        <w:t>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rsidR="005E674B" w:rsidRDefault="00833731">
      <w:pPr>
        <w:pStyle w:val="a3"/>
      </w:pPr>
      <w:r>
        <w:rPr>
          <w:rFonts w:hint="eastAsia"/>
        </w:rPr>
        <w:t>簡單來說，修法之後，行政機關的解釋函令若被司法裁判採用，那麼憲法審查的標的就轉變為「司法裁判」本身，而不再是那份行政解釋。這就是我們現在所說的「裁判憲法訴願」（德文概念：</w:t>
      </w:r>
      <w:r>
        <w:rPr>
          <w:rFonts w:hint="eastAsia"/>
        </w:rPr>
        <w:t>Verfassungsbeschwerde</w:t>
      </w:r>
      <w:r>
        <w:t xml:space="preserve"> gegen gerichtliche </w:t>
      </w:r>
      <w:r>
        <w:rPr>
          <w:rFonts w:hint="eastAsia"/>
        </w:rPr>
        <w:t>Entscheidung</w:t>
      </w:r>
      <w:r>
        <w:rPr>
          <w:rFonts w:hint="eastAsia"/>
        </w:rPr>
        <w:t>），中文可理解為「裁判的憲法審查」。</w:t>
      </w:r>
    </w:p>
    <w:p w:rsidR="005E674B" w:rsidRDefault="00833731">
      <w:r>
        <w:rPr>
          <w:noProof/>
        </w:rPr>
      </w:r>
      <w:r w:rsidR="00833731">
        <w:rPr>
          <w:noProof/>
        </w:rPr>
        <w:pict>
          <v:rect id="_x0000_i1029" alt="" style="width:415.3pt;height:.05pt;mso-width-percent:0;mso-height-percent:0;mso-width-percent:0;mso-height-percent:0" o:hralign="center" o:hrstd="t" o:hr="t"/>
        </w:pict>
      </w:r>
    </w:p>
    <w:p w:rsidR="005E674B" w:rsidRDefault="00833731">
      <w:pPr>
        <w:pStyle w:val="FirstParagraph"/>
      </w:pPr>
      <w:r>
        <w:rPr>
          <w:rFonts w:hint="eastAsia"/>
        </w:rPr>
        <w:t>因此，</w:t>
      </w:r>
      <w:r>
        <w:rPr>
          <w:rFonts w:hint="eastAsia"/>
        </w:rPr>
        <w:t>113</w:t>
      </w:r>
      <w:r>
        <w:rPr>
          <w:rFonts w:hint="eastAsia"/>
        </w:rPr>
        <w:t>年憲判字第</w:t>
      </w:r>
      <w:r>
        <w:rPr>
          <w:rFonts w:hint="eastAsia"/>
        </w:rPr>
        <w:t>11</w:t>
      </w:r>
      <w:r>
        <w:rPr>
          <w:rFonts w:hint="eastAsia"/>
        </w:rPr>
        <w:t>號判決在處理聲請人二的部分時，憲法法庭相當友善地「幫他調整」了程序標的：</w:t>
      </w:r>
    </w:p>
    <w:p w:rsidR="005E674B" w:rsidRDefault="00833731">
      <w:pPr>
        <w:pStyle w:val="Compact"/>
        <w:numPr>
          <w:ilvl w:val="0"/>
          <w:numId w:val="48"/>
        </w:numPr>
      </w:pPr>
      <w:r>
        <w:rPr>
          <w:rFonts w:hint="eastAsia"/>
        </w:rPr>
        <w:t>指出最高行政法院的裁定不能作為憲法審查標的，應改以北高行的實體判決作為審查對象。</w:t>
      </w:r>
    </w:p>
    <w:p w:rsidR="005E674B" w:rsidRDefault="00833731">
      <w:pPr>
        <w:pStyle w:val="Compact"/>
        <w:numPr>
          <w:ilvl w:val="0"/>
          <w:numId w:val="48"/>
        </w:numPr>
      </w:pPr>
      <w:r>
        <w:rPr>
          <w:rFonts w:hint="eastAsia"/>
        </w:rPr>
        <w:t>指出行政機關的解釋函令不再單獨作為審查標的，應視為司法裁判內容之一併審查。</w:t>
      </w:r>
    </w:p>
    <w:p w:rsidR="005E674B" w:rsidRDefault="00833731">
      <w:pPr>
        <w:pStyle w:val="FirstParagraph"/>
      </w:pPr>
      <w:r>
        <w:rPr>
          <w:rFonts w:hint="eastAsia"/>
        </w:rPr>
        <w:t>如果不是因為本案同時存在「法位階法規範」的憲法審查聲請（也就是聲請人一的部分），那麼聲請人二的聲請其實可能會因程序標的錯誤而被不受理。</w:t>
      </w:r>
    </w:p>
    <w:p w:rsidR="005E674B" w:rsidRDefault="00833731">
      <w:pPr>
        <w:pStyle w:val="a3"/>
      </w:pPr>
      <w:r>
        <w:rPr>
          <w:rFonts w:hint="eastAsia"/>
        </w:rPr>
        <w:t>這件事也提醒我們，現在的律師必須強化憲法訴訟的教育與訓練。因為若程序標的選擇錯誤，即使案件有憲法爭點，也可能因程序瑕疵而被駁回，失去進入實體審查的機會。這樣對當事人而言，確實非常可惜。</w:t>
      </w:r>
    </w:p>
    <w:p w:rsidR="005E674B" w:rsidRDefault="00833731">
      <w:r>
        <w:rPr>
          <w:noProof/>
        </w:rPr>
      </w:r>
      <w:r w:rsidR="00833731">
        <w:rPr>
          <w:noProof/>
        </w:rPr>
        <w:pict>
          <v:rect id="_x0000_i1030" alt="" style="width:415.3pt;height:.05pt;mso-width-percent:0;mso-height-percent:0;mso-width-percent:0;mso-height-percent:0" o:hralign="center" o:hrstd="t" o:hr="t"/>
        </w:pict>
      </w:r>
    </w:p>
    <w:p w:rsidR="005E674B" w:rsidRDefault="00833731">
      <w:pPr>
        <w:pStyle w:val="FirstParagraph"/>
      </w:pPr>
      <w:r>
        <w:rPr>
          <w:rFonts w:hint="eastAsia"/>
        </w:rPr>
        <w:t>在本件個案裡，由於聲請人一與聲請人二都涉及遺產及贈與稅法第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款，也就是「贈與配偶視為遺產」的規定，兩案的程序標的一致，因此被合併審理。</w:t>
      </w:r>
    </w:p>
    <w:p w:rsidR="005E674B" w:rsidRDefault="00833731">
      <w:pPr>
        <w:pStyle w:val="a3"/>
      </w:pPr>
      <w:r>
        <w:rPr>
          <w:rFonts w:hint="eastAsia"/>
        </w:rPr>
        <w:t>最終，憲法法庭進入實體審理，並且經多數大法官認為，該規定確有違憲之處。</w:t>
      </w:r>
    </w:p>
    <w:p w:rsidR="005E674B" w:rsidRDefault="00833731">
      <w:bookmarkStart w:id="24" w:name="判決主文解析"/>
      <w:bookmarkEnd w:id="22"/>
      <w:bookmarkEnd w:id="18"/>
      <w:r>
        <w:br w:type="page"/>
      </w:r>
    </w:p>
    <w:p w:rsidR="005E674B" w:rsidRDefault="00833731">
      <w:pPr>
        <w:pStyle w:val="2"/>
      </w:pPr>
      <w:bookmarkStart w:id="25" w:name="_Toc211785263"/>
      <w:r>
        <w:rPr>
          <w:rFonts w:hint="eastAsia"/>
        </w:rPr>
        <w:lastRenderedPageBreak/>
        <w:t>判決主文解析</w:t>
      </w:r>
      <w:bookmarkEnd w:id="25"/>
    </w:p>
    <w:p w:rsidR="005E674B" w:rsidRDefault="00833731">
      <w:pPr>
        <w:pStyle w:val="FirstParagraph"/>
      </w:pPr>
      <w:r>
        <w:rPr>
          <w:rFonts w:hint="eastAsia"/>
        </w:rPr>
        <w:t>接下來我們來看這號判決的主文部分。</w:t>
      </w:r>
    </w:p>
    <w:p w:rsidR="005E674B" w:rsidRDefault="00833731">
      <w:r>
        <w:rPr>
          <w:noProof/>
        </w:rPr>
      </w:r>
      <w:r w:rsidR="00833731">
        <w:rPr>
          <w:noProof/>
        </w:rPr>
        <w:pict>
          <v:rect id="_x0000_i1031" alt="" style="width:415.3pt;height:.05pt;mso-width-percent:0;mso-height-percent:0;mso-width-percent:0;mso-height-percent:0" o:hralign="center" o:hrstd="t" o:hr="t"/>
        </w:pict>
      </w:r>
    </w:p>
    <w:p w:rsidR="005E674B" w:rsidRDefault="00833731">
      <w:pPr>
        <w:pStyle w:val="3"/>
      </w:pPr>
      <w:bookmarkStart w:id="26" w:name="主文重點"/>
      <w:bookmarkStart w:id="27" w:name="_Toc211785264"/>
      <w:r>
        <w:rPr>
          <w:rFonts w:hint="eastAsia"/>
        </w:rPr>
        <w:t>主文重點</w:t>
      </w:r>
      <w:bookmarkEnd w:id="27"/>
    </w:p>
    <w:p w:rsidR="005E674B" w:rsidRDefault="00833731">
      <w:pPr>
        <w:pStyle w:val="FirstParagraph"/>
      </w:pPr>
      <w:r>
        <w:rPr>
          <w:rFonts w:hint="eastAsia"/>
        </w:rPr>
        <w:t>聲請人一與聲請人二所提起的救濟標的，都是針對遺產及贈與稅法第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款的規定。</w:t>
      </w:r>
    </w:p>
    <w:p w:rsidR="005E674B" w:rsidRDefault="00833731">
      <w:pPr>
        <w:pStyle w:val="a3"/>
      </w:pPr>
      <w:r>
        <w:rPr>
          <w:rFonts w:hint="eastAsia"/>
        </w:rPr>
        <w:t>該條文因欠缺明確規範，導致「配偶以外之其他繼承人」必須以其所繼承之遺產，為被繼承人配偶所受贈之財產負擔遺產稅。此結果在該範圍內，被認為不符合憲法第</w:t>
      </w:r>
      <w:r>
        <w:rPr>
          <w:rFonts w:hint="eastAsia"/>
        </w:rPr>
        <w:t>7</w:t>
      </w:r>
      <w:r>
        <w:rPr>
          <w:rFonts w:hint="eastAsia"/>
        </w:rPr>
        <w:t>條所保障的平等權意旨；且對繼承權之經濟價值造成嚴重減損，進而侵害憲法第</w:t>
      </w:r>
      <w:r>
        <w:rPr>
          <w:rFonts w:hint="eastAsia"/>
        </w:rPr>
        <w:t>15</w:t>
      </w:r>
      <w:r>
        <w:rPr>
          <w:rFonts w:hint="eastAsia"/>
        </w:rPr>
        <w:t>條所保障之財產權。</w:t>
      </w:r>
    </w:p>
    <w:p w:rsidR="005E674B" w:rsidRDefault="00833731">
      <w:pPr>
        <w:pStyle w:val="a3"/>
      </w:pPr>
      <w:r>
        <w:rPr>
          <w:rFonts w:hint="eastAsia"/>
        </w:rPr>
        <w:t>本案的主文共有四項。</w:t>
      </w:r>
    </w:p>
    <w:p w:rsidR="005E674B" w:rsidRDefault="00833731">
      <w:r>
        <w:rPr>
          <w:noProof/>
        </w:rPr>
      </w:r>
      <w:r w:rsidR="00833731">
        <w:rPr>
          <w:noProof/>
        </w:rPr>
        <w:pict>
          <v:rect id="_x0000_i1032" alt="" style="width:415.3pt;height:.05pt;mso-width-percent:0;mso-height-percent:0;mso-width-percent:0;mso-height-percent:0" o:hralign="center" o:hrstd="t" o:hr="t"/>
        </w:pict>
      </w:r>
    </w:p>
    <w:p w:rsidR="005E674B" w:rsidRDefault="00833731">
      <w:pPr>
        <w:pStyle w:val="3"/>
      </w:pPr>
      <w:bookmarkStart w:id="28" w:name="主文一與主文二"/>
      <w:bookmarkStart w:id="29" w:name="_Toc211785265"/>
      <w:bookmarkEnd w:id="26"/>
      <w:r>
        <w:rPr>
          <w:rFonts w:hint="eastAsia"/>
        </w:rPr>
        <w:t>主文一與主文二</w:t>
      </w:r>
      <w:bookmarkEnd w:id="29"/>
    </w:p>
    <w:p w:rsidR="005E674B" w:rsidRDefault="00833731">
      <w:pPr>
        <w:pStyle w:val="FirstParagraph"/>
      </w:pPr>
      <w:r>
        <w:rPr>
          <w:rFonts w:hint="eastAsia"/>
        </w:rPr>
        <w:t>主文一的文字敘述相當謹慎與完整，明確指出：</w:t>
      </w:r>
      <w:r>
        <w:br/>
      </w:r>
      <w:r>
        <w:rPr>
          <w:rFonts w:hint="eastAsia"/>
        </w:rPr>
        <w:t>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款的規定，違反憲法第</w:t>
      </w:r>
      <w:r>
        <w:rPr>
          <w:rFonts w:hint="eastAsia"/>
        </w:rPr>
        <w:t>7</w:t>
      </w:r>
      <w:r>
        <w:rPr>
          <w:rFonts w:hint="eastAsia"/>
        </w:rPr>
        <w:t>條保障的平等權意旨，並在使繼承人繼承權之經濟價值嚴重減損的範圍內，侵害人民受憲法保障的財產權。</w:t>
      </w:r>
    </w:p>
    <w:p w:rsidR="005E674B" w:rsidRDefault="00833731">
      <w:pPr>
        <w:pStyle w:val="a3"/>
      </w:pPr>
      <w:r>
        <w:rPr>
          <w:rFonts w:hint="eastAsia"/>
        </w:rPr>
        <w:t>【第一個問題】</w:t>
      </w:r>
      <w:r>
        <w:br/>
      </w:r>
      <w:r>
        <w:rPr>
          <w:rFonts w:hint="eastAsia"/>
        </w:rPr>
        <w:t>根據主文一，我們要問的第一個問題是：</w:t>
      </w:r>
      <w:r>
        <w:br/>
      </w:r>
      <w:r>
        <w:rPr>
          <w:rFonts w:hint="eastAsia"/>
        </w:rPr>
        <w:t>這裡所提到的「平等權保障」與「財產權保障」之間的關係為何？</w:t>
      </w:r>
      <w:r>
        <w:br/>
      </w:r>
      <w:r>
        <w:rPr>
          <w:rFonts w:hint="eastAsia"/>
        </w:rPr>
        <w:t>也就是說，在稅法規範的憲法審查上，究竟爭點是財產權問題，還是平等權問題？這是我們首先需要釐清的重點。</w:t>
      </w:r>
    </w:p>
    <w:p w:rsidR="005E674B" w:rsidRDefault="00833731">
      <w:r>
        <w:rPr>
          <w:noProof/>
        </w:rPr>
      </w:r>
      <w:r w:rsidR="00833731">
        <w:rPr>
          <w:noProof/>
        </w:rPr>
        <w:pict>
          <v:rect id="_x0000_i1033" alt="" style="width:415.3pt;height:.05pt;mso-width-percent:0;mso-height-percent:0;mso-width-percent:0;mso-height-percent:0" o:hralign="center" o:hrstd="t" o:hr="t"/>
        </w:pict>
      </w:r>
    </w:p>
    <w:p w:rsidR="005E674B" w:rsidRDefault="00833731">
      <w:pPr>
        <w:pStyle w:val="FirstParagraph"/>
      </w:pPr>
      <w:r>
        <w:rPr>
          <w:rFonts w:hint="eastAsia"/>
        </w:rPr>
        <w:t>主文二的內容主要針對聲請人二的個案。</w:t>
      </w:r>
      <w:r>
        <w:br/>
      </w:r>
      <w:r>
        <w:rPr>
          <w:rFonts w:hint="eastAsia"/>
        </w:rPr>
        <w:t>聲請人二的問題在於：被繼承人死亡前的生前贈與，被視為遺產併入課稅時，卻無法適用遺產及贈與稅法第</w:t>
      </w:r>
      <w:r>
        <w:rPr>
          <w:rFonts w:hint="eastAsia"/>
        </w:rPr>
        <w:t>17-1</w:t>
      </w:r>
      <w:r>
        <w:rPr>
          <w:rFonts w:hint="eastAsia"/>
        </w:rPr>
        <w:t>條規定的「剩餘財產差額分配請求權」扣除。財政部與法院的見解，導致配偶在這部分無法享有稅基減半的待遇。</w:t>
      </w:r>
    </w:p>
    <w:p w:rsidR="005E674B" w:rsidRDefault="00833731">
      <w:pPr>
        <w:pStyle w:val="a3"/>
      </w:pPr>
      <w:r>
        <w:rPr>
          <w:rFonts w:hint="eastAsia"/>
        </w:rPr>
        <w:t>因此，主文二宣告：在該範圍內，不計入差額分配請求權的規定，不符合憲法保障平等權之意旨。</w:t>
      </w:r>
    </w:p>
    <w:p w:rsidR="005E674B" w:rsidRDefault="00833731">
      <w:pPr>
        <w:pStyle w:val="a3"/>
      </w:pPr>
      <w:r>
        <w:rPr>
          <w:rFonts w:hint="eastAsia"/>
        </w:rPr>
        <w:t>【第二個問題】</w:t>
      </w:r>
      <w:r>
        <w:br/>
      </w:r>
      <w:r>
        <w:rPr>
          <w:rFonts w:hint="eastAsia"/>
        </w:rPr>
        <w:t>從主文二引申出第二個問題：</w:t>
      </w:r>
      <w:r>
        <w:br/>
      </w:r>
      <w:r>
        <w:rPr>
          <w:rFonts w:hint="eastAsia"/>
        </w:rPr>
        <w:t>違反平等權保障的審查標準，與侵害財產權的憲法審查標準，是否相同？</w:t>
      </w:r>
      <w:r>
        <w:br/>
      </w:r>
      <w:r>
        <w:rPr>
          <w:rFonts w:hint="eastAsia"/>
        </w:rPr>
        <w:t>換言之，平等權的審查應採何種密度或標準，而財產權又應以何種比例原則檢驗，兩者之間有無差異？</w:t>
      </w:r>
    </w:p>
    <w:p w:rsidR="005E674B" w:rsidRDefault="00833731">
      <w:pPr>
        <w:pStyle w:val="a3"/>
      </w:pPr>
      <w:r>
        <w:rPr>
          <w:rFonts w:hint="eastAsia"/>
        </w:rPr>
        <w:t>【第三個問題】</w:t>
      </w:r>
      <w:r>
        <w:br/>
      </w:r>
      <w:r>
        <w:rPr>
          <w:rFonts w:hint="eastAsia"/>
        </w:rPr>
        <w:t>主文中同時提及「違反平等權保障意旨」與「侵害人民受憲法保障的財產權」，兩者在憲法上意義有何不同？這也是我們要特別分析的部分。</w:t>
      </w:r>
    </w:p>
    <w:p w:rsidR="005E674B" w:rsidRDefault="00833731">
      <w:r>
        <w:rPr>
          <w:noProof/>
        </w:rPr>
        <w:lastRenderedPageBreak/>
      </w:r>
      <w:r w:rsidR="00833731">
        <w:rPr>
          <w:noProof/>
        </w:rPr>
        <w:pict>
          <v:rect id="_x0000_i1034" alt="" style="width:415.3pt;height:.05pt;mso-width-percent:0;mso-height-percent:0;mso-width-percent:0;mso-height-percent:0" o:hralign="center" o:hrstd="t" o:hr="t"/>
        </w:pict>
      </w:r>
    </w:p>
    <w:p w:rsidR="005E674B" w:rsidRDefault="00833731">
      <w:pPr>
        <w:pStyle w:val="3"/>
      </w:pPr>
      <w:bookmarkStart w:id="30" w:name="主文三與主文四"/>
      <w:bookmarkStart w:id="31" w:name="_Toc211785266"/>
      <w:bookmarkEnd w:id="28"/>
      <w:r>
        <w:rPr>
          <w:rFonts w:hint="eastAsia"/>
        </w:rPr>
        <w:t>主文三與主文四</w:t>
      </w:r>
      <w:bookmarkEnd w:id="31"/>
    </w:p>
    <w:p w:rsidR="005E674B" w:rsidRDefault="00833731">
      <w:pPr>
        <w:pStyle w:val="FirstParagraph"/>
      </w:pPr>
      <w:r>
        <w:rPr>
          <w:rFonts w:hint="eastAsia"/>
        </w:rPr>
        <w:t>主文三與主文四，分別對應前兩項違憲宣告的後續處理。</w:t>
      </w:r>
    </w:p>
    <w:p w:rsidR="005E674B" w:rsidRDefault="00833731">
      <w:pPr>
        <w:pStyle w:val="a3"/>
      </w:pPr>
      <w:r>
        <w:rPr>
          <w:rFonts w:hint="eastAsia"/>
          <w:b/>
          <w:bCs/>
        </w:rPr>
        <w:t>主文三</w:t>
      </w:r>
      <w:r>
        <w:br/>
      </w:r>
      <w:r>
        <w:rPr>
          <w:rFonts w:hint="eastAsia"/>
        </w:rPr>
        <w:t>針對第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款的違憲部分，要求立法者應於判決公告後兩年內完成修法。在修法完成之前，相關機關應依本判決意旨辦理。</w:t>
      </w:r>
      <w:r>
        <w:br/>
      </w:r>
      <w:r>
        <w:rPr>
          <w:rFonts w:hint="eastAsia"/>
        </w:rPr>
        <w:t>這裡常見的實務疑問是：若法律尚未修正完成，行政與司法機關該如何「依本判決意旨辦理」？這涉及判決效力與行政執行的界限問題。</w:t>
      </w:r>
    </w:p>
    <w:p w:rsidR="005E674B" w:rsidRDefault="00833731">
      <w:pPr>
        <w:pStyle w:val="a3"/>
      </w:pPr>
      <w:r>
        <w:rPr>
          <w:rFonts w:hint="eastAsia"/>
          <w:b/>
          <w:bCs/>
        </w:rPr>
        <w:t>主文四</w:t>
      </w:r>
      <w:r>
        <w:br/>
      </w:r>
      <w:r>
        <w:rPr>
          <w:rFonts w:hint="eastAsia"/>
        </w:rPr>
        <w:t>主文四則針對聲請人二的個案，廢棄北高行</w:t>
      </w:r>
      <w:r>
        <w:rPr>
          <w:rFonts w:hint="eastAsia"/>
        </w:rPr>
        <w:t>109</w:t>
      </w:r>
      <w:r>
        <w:rPr>
          <w:rFonts w:hint="eastAsia"/>
        </w:rPr>
        <w:t>年度訴字第</w:t>
      </w:r>
      <w:r>
        <w:rPr>
          <w:rFonts w:hint="eastAsia"/>
        </w:rPr>
        <w:t>386</w:t>
      </w:r>
      <w:r>
        <w:rPr>
          <w:rFonts w:hint="eastAsia"/>
        </w:rPr>
        <w:t>號判決，發回原審北高行重新審理。</w:t>
      </w:r>
      <w:r>
        <w:br/>
      </w:r>
      <w:r>
        <w:rPr>
          <w:rFonts w:hint="eastAsia"/>
        </w:rPr>
        <w:t>換言之，北高行需依據本判決意旨，重新審查該案，並於重新計算時適用遺產及贈與稅法第</w:t>
      </w:r>
      <w:r>
        <w:rPr>
          <w:rFonts w:hint="eastAsia"/>
        </w:rPr>
        <w:t>17-1</w:t>
      </w:r>
      <w:r>
        <w:rPr>
          <w:rFonts w:hint="eastAsia"/>
        </w:rPr>
        <w:t>條的差額分配請求權規定。</w:t>
      </w:r>
      <w:r>
        <w:br/>
      </w:r>
      <w:r>
        <w:rPr>
          <w:rFonts w:hint="eastAsia"/>
        </w:rPr>
        <w:t>簡單說，就是在算「視為遺產」的部分時，只將半數納入課稅範圍，另一半因屬配偶差額分配請求權部分，不再課稅。</w:t>
      </w:r>
    </w:p>
    <w:p w:rsidR="005E674B" w:rsidRDefault="00833731">
      <w:pPr>
        <w:pStyle w:val="a3"/>
      </w:pPr>
      <w:r>
        <w:rPr>
          <w:rFonts w:hint="eastAsia"/>
        </w:rPr>
        <w:t>主文四直接影響到北高行的個案審理。北高行學長姐們可以依據本判決意旨，重新審查個案。</w:t>
      </w:r>
    </w:p>
    <w:p w:rsidR="005E674B" w:rsidRDefault="00833731">
      <w:r>
        <w:rPr>
          <w:noProof/>
        </w:rPr>
      </w:r>
      <w:r w:rsidR="00833731">
        <w:rPr>
          <w:noProof/>
        </w:rPr>
        <w:pict>
          <v:rect id="_x0000_i1035" alt="" style="width:415.3pt;height:.05pt;mso-width-percent:0;mso-height-percent:0;mso-width-percent:0;mso-height-percent:0" o:hralign="center" o:hrstd="t" o:hr="t"/>
        </w:pict>
      </w:r>
    </w:p>
    <w:p w:rsidR="005E674B" w:rsidRDefault="00833731">
      <w:pPr>
        <w:pStyle w:val="3"/>
      </w:pPr>
      <w:bookmarkStart w:id="32" w:name="三個核心問題整理"/>
      <w:bookmarkStart w:id="33" w:name="_Toc211785267"/>
      <w:bookmarkEnd w:id="30"/>
      <w:r>
        <w:rPr>
          <w:rFonts w:hint="eastAsia"/>
        </w:rPr>
        <w:t>三個核心問題整理</w:t>
      </w:r>
      <w:bookmarkEnd w:id="33"/>
    </w:p>
    <w:p w:rsidR="005E674B" w:rsidRDefault="00833731">
      <w:pPr>
        <w:pStyle w:val="FirstParagraph"/>
      </w:pPr>
      <w:r>
        <w:rPr>
          <w:rFonts w:hint="eastAsia"/>
        </w:rPr>
        <w:t>從本案四個主文中，我們可以歸納出三個核心問題：</w:t>
      </w:r>
    </w:p>
    <w:p w:rsidR="005E674B" w:rsidRDefault="00833731">
      <w:pPr>
        <w:numPr>
          <w:ilvl w:val="0"/>
          <w:numId w:val="49"/>
        </w:numPr>
      </w:pPr>
      <w:r>
        <w:rPr>
          <w:rFonts w:hint="eastAsia"/>
          <w:b/>
          <w:bCs/>
        </w:rPr>
        <w:t>基本權的性質與審查優先性</w:t>
      </w:r>
      <w:r>
        <w:rPr>
          <w:rFonts w:hint="eastAsia"/>
        </w:rPr>
        <w:t>：</w:t>
      </w:r>
      <w:r>
        <w:br/>
      </w:r>
      <w:r>
        <w:rPr>
          <w:rFonts w:hint="eastAsia"/>
        </w:rPr>
        <w:t>「平等權」與「財產權」作為系爭規範憲法審查所涉及之基本權，其意義內涵與彼此間的關係為何？</w:t>
      </w:r>
    </w:p>
    <w:p w:rsidR="005E674B" w:rsidRDefault="00833731">
      <w:pPr>
        <w:numPr>
          <w:ilvl w:val="0"/>
          <w:numId w:val="49"/>
        </w:numPr>
      </w:pPr>
      <w:r>
        <w:rPr>
          <w:rFonts w:hint="eastAsia"/>
          <w:b/>
          <w:bCs/>
        </w:rPr>
        <w:t>審查標準問題</w:t>
      </w:r>
      <w:r>
        <w:rPr>
          <w:rFonts w:hint="eastAsia"/>
        </w:rPr>
        <w:t>：</w:t>
      </w:r>
      <w:r>
        <w:br/>
      </w:r>
      <w:r>
        <w:rPr>
          <w:rFonts w:hint="eastAsia"/>
        </w:rPr>
        <w:t>平等權規範之憲法「審查標準」與財產權規範的憲法「審查標準」，是否相同？若有不同，各自為何者？</w:t>
      </w:r>
    </w:p>
    <w:p w:rsidR="005E674B" w:rsidRDefault="00833731">
      <w:pPr>
        <w:numPr>
          <w:ilvl w:val="0"/>
          <w:numId w:val="49"/>
        </w:numPr>
      </w:pPr>
      <w:r>
        <w:rPr>
          <w:rFonts w:hint="eastAsia"/>
          <w:b/>
          <w:bCs/>
        </w:rPr>
        <w:t>違憲宣告的意義與效果</w:t>
      </w:r>
      <w:r>
        <w:rPr>
          <w:rFonts w:hint="eastAsia"/>
        </w:rPr>
        <w:t>：</w:t>
      </w:r>
      <w:r>
        <w:br/>
      </w:r>
      <w:r>
        <w:rPr>
          <w:rFonts w:hint="eastAsia"/>
        </w:rPr>
        <w:t>在憲法審查上，宣示系爭規範違反憲法平等權保障之意旨，與系爭規範侵害人民受憲法保障財產權，意義是否相同？若有不同，意義各自為何？</w:t>
      </w:r>
    </w:p>
    <w:p w:rsidR="005E674B" w:rsidRDefault="00833731">
      <w:pPr>
        <w:pStyle w:val="FirstParagraph"/>
      </w:pPr>
      <w:r>
        <w:rPr>
          <w:rFonts w:hint="eastAsia"/>
        </w:rPr>
        <w:t>接下來，我依序說明這三個問題。</w:t>
      </w:r>
    </w:p>
    <w:p w:rsidR="005E674B" w:rsidRDefault="00833731">
      <w:bookmarkStart w:id="34" w:name="第一二個問題基本權的性質與審查"/>
      <w:bookmarkEnd w:id="32"/>
      <w:bookmarkEnd w:id="24"/>
      <w:r>
        <w:br w:type="page"/>
      </w:r>
    </w:p>
    <w:p w:rsidR="005E674B" w:rsidRDefault="00833731">
      <w:pPr>
        <w:pStyle w:val="2"/>
      </w:pPr>
      <w:bookmarkStart w:id="35" w:name="_Toc211785268"/>
      <w:r>
        <w:rPr>
          <w:rFonts w:hint="eastAsia"/>
        </w:rPr>
        <w:lastRenderedPageBreak/>
        <w:t>第一、二個問題：基本權的性質與審查</w:t>
      </w:r>
      <w:bookmarkEnd w:id="35"/>
    </w:p>
    <w:p w:rsidR="005E674B" w:rsidRDefault="00833731">
      <w:pPr>
        <w:pStyle w:val="FirstParagraph"/>
      </w:pPr>
      <w:r>
        <w:rPr>
          <w:rFonts w:hint="eastAsia"/>
        </w:rPr>
        <w:t>由於時間有限，我先簡單整理重點。</w:t>
      </w:r>
    </w:p>
    <w:p w:rsidR="005E674B" w:rsidRDefault="00833731">
      <w:pPr>
        <w:pStyle w:val="a3"/>
      </w:pPr>
      <w:r>
        <w:rPr>
          <w:rFonts w:hint="eastAsia"/>
        </w:rPr>
        <w:t>首先，我們暫時把財產權放在自由權的範疇內一起討論。財產權的保障有一部分與自由權重疊，但並不完全相同。</w:t>
      </w:r>
      <w:r>
        <w:br/>
      </w:r>
      <w:r>
        <w:rPr>
          <w:rFonts w:hint="eastAsia"/>
        </w:rPr>
        <w:t>自由權強調的是「處分自由」，也就是個人能否自由地支配自己的財產；但財產權的保障還包含「存續保障」與「價值保障」。換句話說，除了自由地處分財產外，財產權還要保護財產不被任意剝奪，並維持其經濟價值。</w:t>
      </w:r>
    </w:p>
    <w:p w:rsidR="005E674B" w:rsidRDefault="00833731">
      <w:pPr>
        <w:pStyle w:val="a3"/>
      </w:pPr>
      <w:r>
        <w:rPr>
          <w:rFonts w:hint="eastAsia"/>
        </w:rPr>
        <w:t>這也是為什麼在本案中，財產權的討論與違憲審查密切相關。我稍後會再談到「繼承權」的問題。</w:t>
      </w:r>
      <w:r>
        <w:br/>
      </w:r>
      <w:r>
        <w:rPr>
          <w:rFonts w:hint="eastAsia"/>
        </w:rPr>
        <w:t>我國憲法並不像德國《基本法》第</w:t>
      </w:r>
      <w:r>
        <w:rPr>
          <w:rFonts w:hint="eastAsia"/>
        </w:rPr>
        <w:t>14</w:t>
      </w:r>
      <w:r>
        <w:rPr>
          <w:rFonts w:hint="eastAsia"/>
        </w:rPr>
        <w:t>條，將「財產權」（</w:t>
      </w:r>
      <w:r>
        <w:rPr>
          <w:rFonts w:hint="eastAsia"/>
        </w:rPr>
        <w:t>Eigentum</w:t>
      </w:r>
      <w:r>
        <w:rPr>
          <w:rFonts w:hint="eastAsia"/>
        </w:rPr>
        <w:t>）與「繼承權」（</w:t>
      </w:r>
      <w:r>
        <w:rPr>
          <w:rFonts w:hint="eastAsia"/>
        </w:rPr>
        <w:t>Erbrecht</w:t>
      </w:r>
      <w:r>
        <w:rPr>
          <w:rFonts w:hint="eastAsia"/>
        </w:rPr>
        <w:t>）分開規定。德國是同條中並列兩個保護標的，而我國的繼承權則被包容在憲法第</w:t>
      </w:r>
      <w:r>
        <w:rPr>
          <w:rFonts w:hint="eastAsia"/>
        </w:rPr>
        <w:t>15</w:t>
      </w:r>
      <w:r>
        <w:rPr>
          <w:rFonts w:hint="eastAsia"/>
        </w:rPr>
        <w:t>條「財產權」的概念裡面。這一點對理解本案的基本權結構相當關鍵。</w:t>
      </w:r>
    </w:p>
    <w:p w:rsidR="005E674B" w:rsidRDefault="00833731">
      <w:pPr>
        <w:pStyle w:val="a3"/>
      </w:pPr>
      <w:r>
        <w:rPr>
          <w:rFonts w:hint="eastAsia"/>
        </w:rPr>
        <w:t>總的來說，本案涉及兩個核心基本權：</w:t>
      </w:r>
      <w:r>
        <w:rPr>
          <w:rFonts w:hint="eastAsia"/>
          <w:b/>
          <w:bCs/>
        </w:rPr>
        <w:t>財產權</w:t>
      </w:r>
      <w:r>
        <w:rPr>
          <w:rFonts w:hint="eastAsia"/>
        </w:rPr>
        <w:t>與</w:t>
      </w:r>
      <w:r>
        <w:rPr>
          <w:rFonts w:hint="eastAsia"/>
          <w:b/>
          <w:bCs/>
        </w:rPr>
        <w:t>平等權</w:t>
      </w:r>
      <w:r>
        <w:rPr>
          <w:rFonts w:hint="eastAsia"/>
        </w:rPr>
        <w:t>。這兩者如何互動、哪一個在稅法審查上優先，將是我們後續要探討的部分。</w:t>
      </w:r>
    </w:p>
    <w:p w:rsidR="005E674B" w:rsidRDefault="00833731">
      <w:r>
        <w:rPr>
          <w:noProof/>
        </w:rPr>
      </w:r>
      <w:r w:rsidR="00833731">
        <w:rPr>
          <w:noProof/>
        </w:rPr>
        <w:pict>
          <v:rect id="_x0000_i1036" alt="" style="width:415.3pt;height:.05pt;mso-width-percent:0;mso-height-percent:0;mso-width-percent:0;mso-height-percent:0" o:hralign="center" o:hrstd="t" o:hr="t"/>
        </w:pict>
      </w:r>
    </w:p>
    <w:p w:rsidR="005E674B" w:rsidRDefault="00833731">
      <w:pPr>
        <w:pStyle w:val="3"/>
      </w:pPr>
      <w:bookmarkStart w:id="36" w:name="平等權的基本觀念"/>
      <w:bookmarkStart w:id="37" w:name="_Toc211785269"/>
      <w:r>
        <w:rPr>
          <w:rFonts w:hint="eastAsia"/>
        </w:rPr>
        <w:t>平等權的基本觀念</w:t>
      </w:r>
      <w:bookmarkEnd w:id="37"/>
    </w:p>
    <w:p w:rsidR="005E674B" w:rsidRDefault="00833731">
      <w:pPr>
        <w:pStyle w:val="FirstParagraph"/>
      </w:pPr>
      <w:r>
        <w:rPr>
          <w:rFonts w:hint="eastAsia"/>
        </w:rPr>
        <w:t>我先說明平等權的基本觀念。</w:t>
      </w:r>
      <w:r>
        <w:br/>
      </w:r>
      <w:r>
        <w:rPr>
          <w:rFonts w:hint="eastAsia"/>
        </w:rPr>
        <w:t>在稅法規範中，最常涉及的基本權是兩種：平等權與財產權。</w:t>
      </w:r>
      <w:r>
        <w:br/>
      </w:r>
      <w:r>
        <w:rPr>
          <w:rFonts w:hint="eastAsia"/>
        </w:rPr>
        <w:t>平等權與自由權（或財產權）最大的差別在於：平等權不是針對特定生活領域的保障，而是強調「法律上應平等對待」。</w:t>
      </w:r>
    </w:p>
    <w:p w:rsidR="005E674B" w:rsidRDefault="00833731">
      <w:pPr>
        <w:pStyle w:val="a3"/>
      </w:pPr>
      <w:r>
        <w:rPr>
          <w:rFonts w:hint="eastAsia"/>
        </w:rPr>
        <w:t>所謂平等對待，包含兩種層面：</w:t>
      </w:r>
    </w:p>
    <w:p w:rsidR="005E674B" w:rsidRDefault="00833731">
      <w:pPr>
        <w:pStyle w:val="Compact"/>
        <w:numPr>
          <w:ilvl w:val="0"/>
          <w:numId w:val="50"/>
        </w:numPr>
      </w:pPr>
      <w:r>
        <w:rPr>
          <w:rFonts w:hint="eastAsia"/>
          <w:b/>
          <w:bCs/>
        </w:rPr>
        <w:t>法律適用上的平等</w:t>
      </w:r>
      <w:r>
        <w:rPr>
          <w:rFonts w:hint="eastAsia"/>
        </w:rPr>
        <w:t>：同樣的法律，對同樣情形的人應同樣適用。</w:t>
      </w:r>
    </w:p>
    <w:p w:rsidR="005E674B" w:rsidRDefault="00833731">
      <w:pPr>
        <w:pStyle w:val="Compact"/>
        <w:numPr>
          <w:ilvl w:val="0"/>
          <w:numId w:val="50"/>
        </w:numPr>
      </w:pPr>
      <w:r>
        <w:rPr>
          <w:rFonts w:hint="eastAsia"/>
          <w:b/>
          <w:bCs/>
        </w:rPr>
        <w:t>立法內容上的平等</w:t>
      </w:r>
      <w:r>
        <w:rPr>
          <w:rFonts w:hint="eastAsia"/>
        </w:rPr>
        <w:t>：立法者在制定法律時，不得無理由地差別對待可比較的群體。</w:t>
      </w:r>
    </w:p>
    <w:p w:rsidR="005E674B" w:rsidRDefault="00833731">
      <w:pPr>
        <w:pStyle w:val="FirstParagraph"/>
      </w:pPr>
      <w:r>
        <w:rPr>
          <w:rFonts w:hint="eastAsia"/>
        </w:rPr>
        <w:t>德國《基本法》第</w:t>
      </w:r>
      <w:r>
        <w:rPr>
          <w:rFonts w:hint="eastAsia"/>
        </w:rPr>
        <w:t>3</w:t>
      </w:r>
      <w:r>
        <w:rPr>
          <w:rFonts w:hint="eastAsia"/>
        </w:rPr>
        <w:t>條第</w:t>
      </w:r>
      <w:r>
        <w:rPr>
          <w:rFonts w:hint="eastAsia"/>
        </w:rPr>
        <w:t>1</w:t>
      </w:r>
      <w:r>
        <w:rPr>
          <w:rFonts w:hint="eastAsia"/>
        </w:rPr>
        <w:t>項使用的字眼是「法律之前人人平等」（</w:t>
      </w:r>
      <w:r>
        <w:rPr>
          <w:rFonts w:hint="eastAsia"/>
        </w:rPr>
        <w:t>Vor</w:t>
      </w:r>
      <w:r>
        <w:t xml:space="preserve"> dem Gesetz sind alle </w:t>
      </w:r>
      <w:r>
        <w:rPr>
          <w:rFonts w:hint="eastAsia"/>
        </w:rPr>
        <w:t>gleich</w:t>
      </w:r>
      <w:r>
        <w:rPr>
          <w:rFonts w:hint="eastAsia"/>
        </w:rPr>
        <w:t>），字面上看似僅指「法律適用」的平等，但實際上也涵蓋「立法上的平等」。</w:t>
      </w:r>
      <w:r>
        <w:br/>
      </w:r>
      <w:r>
        <w:rPr>
          <w:rFonts w:hint="eastAsia"/>
        </w:rPr>
        <w:t>要討論平等權，要適用平等原則，前提是存在「可比較的群體」。在德文文獻中，這被稱為</w:t>
      </w:r>
      <w:r>
        <w:t xml:space="preserve"> </w:t>
      </w:r>
      <w:r>
        <w:rPr>
          <w:b/>
          <w:bCs/>
        </w:rPr>
        <w:t>Vergleichbarkeit</w:t>
      </w:r>
      <w:r>
        <w:rPr>
          <w:rFonts w:hint="eastAsia"/>
        </w:rPr>
        <w:t>（可比較性）。</w:t>
      </w:r>
      <w:r>
        <w:br/>
      </w:r>
      <w:r>
        <w:rPr>
          <w:rFonts w:hint="eastAsia"/>
        </w:rPr>
        <w:t>換言之，只有當兩個群體在法律上處於相似或可比較的地位時，才能談「平等」或「差別待遇」的問題。</w:t>
      </w:r>
    </w:p>
    <w:p w:rsidR="005E674B" w:rsidRDefault="00833731">
      <w:pPr>
        <w:pStyle w:val="a3"/>
      </w:pPr>
      <w:r>
        <w:rPr>
          <w:rFonts w:hint="eastAsia"/>
        </w:rPr>
        <w:t>可比較性不等於完全相同（</w:t>
      </w:r>
      <w:r>
        <w:rPr>
          <w:rFonts w:hint="eastAsia"/>
        </w:rPr>
        <w:t>identity</w:t>
      </w:r>
      <w:r>
        <w:rPr>
          <w:rFonts w:hint="eastAsia"/>
        </w:rPr>
        <w:t>）。</w:t>
      </w:r>
      <w:r>
        <w:br/>
      </w:r>
      <w:r>
        <w:rPr>
          <w:rFonts w:hint="eastAsia"/>
        </w:rPr>
        <w:t>在社會科學的現實中，兩個群體不可能完全一致；但只要在法律上具備可比性，就足以構成平等權審查的前提。</w:t>
      </w:r>
    </w:p>
    <w:p w:rsidR="005E674B" w:rsidRDefault="00833731">
      <w:r>
        <w:rPr>
          <w:noProof/>
        </w:rPr>
      </w:r>
      <w:r w:rsidR="00833731">
        <w:rPr>
          <w:noProof/>
        </w:rPr>
        <w:pict>
          <v:rect id="_x0000_i1037" alt="" style="width:415.3pt;height:.05pt;mso-width-percent:0;mso-height-percent:0;mso-width-percent:0;mso-height-percent:0" o:hralign="center" o:hrstd="t" o:hr="t"/>
        </w:pict>
      </w:r>
    </w:p>
    <w:p w:rsidR="005E674B" w:rsidRDefault="00833731">
      <w:pPr>
        <w:pStyle w:val="3"/>
      </w:pPr>
      <w:bookmarkStart w:id="38" w:name="平等權可比較性課堂示例"/>
      <w:bookmarkStart w:id="39" w:name="_Toc211785270"/>
      <w:bookmarkEnd w:id="36"/>
      <w:r>
        <w:rPr>
          <w:rFonts w:hint="eastAsia"/>
        </w:rPr>
        <w:t>平等權「可比較性」課堂示例</w:t>
      </w:r>
      <w:bookmarkEnd w:id="39"/>
    </w:p>
    <w:p w:rsidR="005E674B" w:rsidRDefault="00833731">
      <w:pPr>
        <w:pStyle w:val="FirstParagraph"/>
      </w:pPr>
      <w:r>
        <w:rPr>
          <w:rFonts w:hint="eastAsia"/>
        </w:rPr>
        <w:t>我用一個課堂例子來說明「可比較性」的概念。</w:t>
      </w:r>
    </w:p>
    <w:p w:rsidR="005E674B" w:rsidRDefault="00833731">
      <w:pPr>
        <w:pStyle w:val="a3"/>
      </w:pPr>
      <w:r>
        <w:rPr>
          <w:rFonts w:hint="eastAsia"/>
        </w:rPr>
        <w:lastRenderedPageBreak/>
        <w:t>假設甲、乙兩位同學都修我的稅法課，他們之間就具有可比較性。</w:t>
      </w:r>
      <w:r>
        <w:br/>
      </w:r>
      <w:r>
        <w:rPr>
          <w:rFonts w:hint="eastAsia"/>
        </w:rPr>
        <w:t>如果我在評分時，甲與乙的表現相近，但我給甲</w:t>
      </w:r>
      <w:r>
        <w:rPr>
          <w:rFonts w:hint="eastAsia"/>
        </w:rPr>
        <w:t>85</w:t>
      </w:r>
      <w:r>
        <w:rPr>
          <w:rFonts w:hint="eastAsia"/>
        </w:rPr>
        <w:t>分、給乙</w:t>
      </w:r>
      <w:r>
        <w:rPr>
          <w:rFonts w:hint="eastAsia"/>
        </w:rPr>
        <w:t>95</w:t>
      </w:r>
      <w:r>
        <w:rPr>
          <w:rFonts w:hint="eastAsia"/>
        </w:rPr>
        <w:t>分，而沒有合理理由，那就可能違反平等原則。</w:t>
      </w:r>
    </w:p>
    <w:p w:rsidR="005E674B" w:rsidRDefault="00833731">
      <w:pPr>
        <w:pStyle w:val="a3"/>
      </w:pPr>
      <w:r>
        <w:rPr>
          <w:rFonts w:hint="eastAsia"/>
        </w:rPr>
        <w:t>相反地，如果你拿我課堂的評分標準去與另一位老師的課比較（例如陳衍任老師或黃源浩老師），那就不具可比較性。</w:t>
      </w:r>
      <w:r>
        <w:br/>
      </w:r>
      <w:r>
        <w:rPr>
          <w:rFonts w:hint="eastAsia"/>
        </w:rPr>
        <w:t>因為不同教師、不同課程的評分標準本就不同，這樣的比較不構成平等權侵害的問題。</w:t>
      </w:r>
    </w:p>
    <w:p w:rsidR="005E674B" w:rsidRDefault="00833731">
      <w:pPr>
        <w:pStyle w:val="a3"/>
      </w:pPr>
      <w:r>
        <w:rPr>
          <w:rFonts w:hint="eastAsia"/>
        </w:rPr>
        <w:t>同樣地，在我的課堂中，如果我因為個人喜好，無理由地給某位同學低分（例如甲同學明明表現良好卻只給</w:t>
      </w:r>
      <w:r>
        <w:rPr>
          <w:rFonts w:hint="eastAsia"/>
        </w:rPr>
        <w:t>60</w:t>
      </w:r>
      <w:r>
        <w:rPr>
          <w:rFonts w:hint="eastAsia"/>
        </w:rPr>
        <w:t>分），這就是「無理由的差別對待」。</w:t>
      </w:r>
      <w:r>
        <w:br/>
      </w:r>
      <w:r>
        <w:rPr>
          <w:rFonts w:hint="eastAsia"/>
        </w:rPr>
        <w:t>反之，如果我一視同仁、所有學生都給同樣的分數（例如一律給</w:t>
      </w:r>
      <w:r>
        <w:rPr>
          <w:rFonts w:hint="eastAsia"/>
        </w:rPr>
        <w:t>90</w:t>
      </w:r>
      <w:r>
        <w:rPr>
          <w:rFonts w:hint="eastAsia"/>
        </w:rPr>
        <w:t>分或一律不及格），那則屬於「無理由的一視同仁」。</w:t>
      </w:r>
      <w:r>
        <w:br/>
      </w:r>
      <w:r>
        <w:rPr>
          <w:rFonts w:hint="eastAsia"/>
        </w:rPr>
        <w:t>這兩種情形——無理由的差別對待與無理由的一視同仁——都是對平等權的侵害。</w:t>
      </w:r>
    </w:p>
    <w:p w:rsidR="005E674B" w:rsidRDefault="00833731">
      <w:pPr>
        <w:pStyle w:val="a3"/>
      </w:pPr>
      <w:r>
        <w:rPr>
          <w:rFonts w:hint="eastAsia"/>
        </w:rPr>
        <w:t>因此，平等權的問題通常是一種「三角關係」：</w:t>
      </w:r>
      <w:r>
        <w:br/>
      </w:r>
      <w:r>
        <w:rPr>
          <w:rFonts w:hint="eastAsia"/>
        </w:rPr>
        <w:t>一方是國家（或評分者），另一方是甲乙兩個受規範的主體。</w:t>
      </w:r>
      <w:r>
        <w:br/>
      </w:r>
      <w:r>
        <w:rPr>
          <w:rFonts w:hint="eastAsia"/>
        </w:rPr>
        <w:t>當國家在法律上對這兩個可比較的對象採取不同的處理，而這種差別缺乏正當理由時，就構成平等權的違反。</w:t>
      </w:r>
    </w:p>
    <w:p w:rsidR="005E674B" w:rsidRDefault="00833731">
      <w:r>
        <w:rPr>
          <w:noProof/>
        </w:rPr>
      </w:r>
      <w:r w:rsidR="00833731">
        <w:rPr>
          <w:noProof/>
        </w:rPr>
        <w:pict>
          <v:rect id="_x0000_i1038" alt="" style="width:415.3pt;height:.05pt;mso-width-percent:0;mso-height-percent:0;mso-width-percent:0;mso-height-percent:0" o:hralign="center" o:hrstd="t" o:hr="t"/>
        </w:pict>
      </w:r>
    </w:p>
    <w:p w:rsidR="005E674B" w:rsidRDefault="00833731">
      <w:pPr>
        <w:pStyle w:val="FirstParagraph"/>
      </w:pPr>
      <w:r>
        <w:rPr>
          <w:rFonts w:hint="eastAsia"/>
        </w:rPr>
        <w:t>總結來說，平等權並不是要求所有人結果相同，而是要求「同樣情況的人要同樣對待、不同情況的人要合理區別」。</w:t>
      </w:r>
      <w:r>
        <w:br/>
      </w:r>
      <w:r>
        <w:rPr>
          <w:rFonts w:hint="eastAsia"/>
        </w:rPr>
        <w:t>而在稅法領域中，平等權的核心問題往往出現在「不同稅目、不同身分、不同交易」的可比較性判斷上。這也是本案</w:t>
      </w:r>
      <w:r>
        <w:rPr>
          <w:rFonts w:hint="eastAsia"/>
        </w:rPr>
        <w:t>113</w:t>
      </w:r>
      <w:r>
        <w:rPr>
          <w:rFonts w:hint="eastAsia"/>
        </w:rPr>
        <w:t>年憲判字第</w:t>
      </w:r>
      <w:r>
        <w:rPr>
          <w:rFonts w:hint="eastAsia"/>
        </w:rPr>
        <w:t>11</w:t>
      </w:r>
      <w:r>
        <w:rPr>
          <w:rFonts w:hint="eastAsia"/>
        </w:rPr>
        <w:t>號判決在平等權部分的核心爭點之一。</w:t>
      </w:r>
    </w:p>
    <w:p w:rsidR="005E674B" w:rsidRDefault="00833731">
      <w:pPr>
        <w:pStyle w:val="3"/>
      </w:pPr>
      <w:bookmarkStart w:id="40" w:name="平等權的三階段審查程序"/>
      <w:bookmarkStart w:id="41" w:name="_Toc211785271"/>
      <w:bookmarkEnd w:id="38"/>
      <w:r>
        <w:rPr>
          <w:rFonts w:hint="eastAsia"/>
        </w:rPr>
        <w:t>平等權的三階段審查程序</w:t>
      </w:r>
      <w:bookmarkEnd w:id="41"/>
    </w:p>
    <w:p w:rsidR="005E674B" w:rsidRDefault="00833731">
      <w:pPr>
        <w:pStyle w:val="FirstParagraph"/>
      </w:pPr>
      <w:r>
        <w:rPr>
          <w:rFonts w:hint="eastAsia"/>
        </w:rPr>
        <w:t>接下來我們談涉及平等權的法規範在憲法上的審查程序。</w:t>
      </w:r>
    </w:p>
    <w:p w:rsidR="005E674B" w:rsidRDefault="00833731">
      <w:pPr>
        <w:pStyle w:val="a3"/>
      </w:pPr>
      <w:r>
        <w:rPr>
          <w:rFonts w:hint="eastAsia"/>
        </w:rPr>
        <w:t>我把平等權的審查分為</w:t>
      </w:r>
      <w:r>
        <w:rPr>
          <w:rFonts w:hint="eastAsia"/>
          <w:b/>
          <w:bCs/>
        </w:rPr>
        <w:t>三個階段</w:t>
      </w:r>
      <w:r>
        <w:t>。</w:t>
      </w:r>
      <w:r>
        <w:br/>
      </w:r>
      <w:r>
        <w:rPr>
          <w:rFonts w:hint="eastAsia"/>
        </w:rPr>
        <w:t>德國法制一般採二階段審查，把「可比較群體的存在」與「差別對待的存在」合併為一階，但為了與後面財產權（或自由權）的三階段審查形成對照，我將平等權拆為三階段說明。</w:t>
      </w:r>
    </w:p>
    <w:p w:rsidR="005E674B" w:rsidRDefault="00833731">
      <w:r>
        <w:rPr>
          <w:noProof/>
        </w:rPr>
      </w:r>
      <w:r w:rsidR="00833731">
        <w:rPr>
          <w:noProof/>
        </w:rPr>
        <w:pict>
          <v:rect id="_x0000_i1039" alt="" style="width:415.3pt;height:.05pt;mso-width-percent:0;mso-height-percent:0;mso-width-percent:0;mso-height-percent:0" o:hralign="center" o:hrstd="t" o:hr="t"/>
        </w:pict>
      </w:r>
    </w:p>
    <w:p w:rsidR="005E674B" w:rsidRDefault="00833731">
      <w:pPr>
        <w:pStyle w:val="4"/>
      </w:pPr>
      <w:bookmarkStart w:id="42" w:name="第一階建構可比較群體"/>
      <w:bookmarkStart w:id="43" w:name="_Toc211785272"/>
      <w:r>
        <w:rPr>
          <w:rFonts w:hint="eastAsia"/>
        </w:rPr>
        <w:t>第一階：建構可比較群體</w:t>
      </w:r>
      <w:bookmarkEnd w:id="43"/>
    </w:p>
    <w:p w:rsidR="005E674B" w:rsidRDefault="00833731">
      <w:pPr>
        <w:pStyle w:val="FirstParagraph"/>
      </w:pPr>
      <w:r>
        <w:rPr>
          <w:rFonts w:hint="eastAsia"/>
        </w:rPr>
        <w:t>首先，要先確認存在兩個或多個「可比較的群體」。</w:t>
      </w:r>
      <w:r>
        <w:br/>
      </w:r>
      <w:r>
        <w:rPr>
          <w:rFonts w:hint="eastAsia"/>
        </w:rPr>
        <w:t>也就是說，這些群體在法律上受到相同規範或具有可比較性。若無可比較性，就無法談平等原則的適用。</w:t>
      </w:r>
    </w:p>
    <w:p w:rsidR="005E674B" w:rsidRDefault="00833731">
      <w:pPr>
        <w:pStyle w:val="4"/>
      </w:pPr>
      <w:bookmarkStart w:id="44" w:name="第二階確認差別對待的存在"/>
      <w:bookmarkStart w:id="45" w:name="_Toc211785273"/>
      <w:bookmarkEnd w:id="42"/>
      <w:r>
        <w:rPr>
          <w:rFonts w:hint="eastAsia"/>
        </w:rPr>
        <w:t>第二階：確認差別對待的存在</w:t>
      </w:r>
      <w:bookmarkEnd w:id="45"/>
    </w:p>
    <w:p w:rsidR="005E674B" w:rsidRDefault="00833731">
      <w:pPr>
        <w:pStyle w:val="FirstParagraph"/>
      </w:pPr>
      <w:r>
        <w:rPr>
          <w:rFonts w:hint="eastAsia"/>
        </w:rPr>
        <w:t>第二階段是判斷有無差別對待。</w:t>
      </w:r>
      <w:r>
        <w:br/>
      </w:r>
      <w:r>
        <w:rPr>
          <w:rFonts w:hint="eastAsia"/>
        </w:rPr>
        <w:t>差別對待包括兩種類型：</w:t>
      </w:r>
    </w:p>
    <w:p w:rsidR="005E674B" w:rsidRDefault="00833731">
      <w:pPr>
        <w:pStyle w:val="Compact"/>
        <w:numPr>
          <w:ilvl w:val="0"/>
          <w:numId w:val="51"/>
        </w:numPr>
      </w:pPr>
      <w:r>
        <w:rPr>
          <w:rFonts w:hint="eastAsia"/>
          <w:b/>
          <w:bCs/>
        </w:rPr>
        <w:t>無理由的差別對待</w:t>
      </w:r>
      <w:r>
        <w:rPr>
          <w:rFonts w:hint="eastAsia"/>
        </w:rPr>
        <w:t>（歧視）：例如對性質相同的對象給予不同待遇，卻缺乏正當理由。</w:t>
      </w:r>
    </w:p>
    <w:p w:rsidR="005E674B" w:rsidRDefault="00833731">
      <w:pPr>
        <w:pStyle w:val="Compact"/>
        <w:numPr>
          <w:ilvl w:val="0"/>
          <w:numId w:val="51"/>
        </w:numPr>
      </w:pPr>
      <w:r>
        <w:rPr>
          <w:rFonts w:hint="eastAsia"/>
          <w:b/>
          <w:bCs/>
        </w:rPr>
        <w:lastRenderedPageBreak/>
        <w:t>無理由的無差別對待</w:t>
      </w:r>
      <w:r>
        <w:rPr>
          <w:rFonts w:hint="eastAsia"/>
        </w:rPr>
        <w:t>（一視同仁）：例如在本應區分對待的情況下卻採取同樣處理，也可能違反平等原則。</w:t>
      </w:r>
    </w:p>
    <w:p w:rsidR="005E674B" w:rsidRDefault="00833731">
      <w:pPr>
        <w:pStyle w:val="FirstParagraph"/>
      </w:pPr>
      <w:r>
        <w:rPr>
          <w:rFonts w:hint="eastAsia"/>
        </w:rPr>
        <w:t>在這個階段的審查對象，可以是法律命令（法位階命令）、行政規範，或司法機關依據該規範所做的終局實體裁判。</w:t>
      </w:r>
      <w:r>
        <w:br/>
      </w:r>
      <w:r>
        <w:rPr>
          <w:rFonts w:hint="eastAsia"/>
        </w:rPr>
        <w:t>後者即屬於「裁判的憲法審查」範疇。</w:t>
      </w:r>
    </w:p>
    <w:p w:rsidR="005E674B" w:rsidRDefault="00833731">
      <w:r>
        <w:rPr>
          <w:noProof/>
        </w:rPr>
      </w:r>
      <w:r w:rsidR="00833731">
        <w:rPr>
          <w:noProof/>
        </w:rPr>
        <w:pict>
          <v:rect id="_x0000_i1040" alt="" style="width:415.3pt;height:.05pt;mso-width-percent:0;mso-height-percent:0;mso-width-percent:0;mso-height-percent:0" o:hralign="center" o:hrstd="t" o:hr="t"/>
        </w:pict>
      </w:r>
    </w:p>
    <w:p w:rsidR="005E674B" w:rsidRDefault="00833731">
      <w:pPr>
        <w:pStyle w:val="4"/>
      </w:pPr>
      <w:bookmarkStart w:id="46" w:name="第三階差別對待的正當性審查"/>
      <w:bookmarkStart w:id="47" w:name="_Toc211785274"/>
      <w:bookmarkEnd w:id="44"/>
      <w:r>
        <w:rPr>
          <w:rFonts w:hint="eastAsia"/>
        </w:rPr>
        <w:t>第三階：差別對待的正當性審查</w:t>
      </w:r>
      <w:bookmarkEnd w:id="47"/>
    </w:p>
    <w:p w:rsidR="005E674B" w:rsidRDefault="00833731">
      <w:pPr>
        <w:pStyle w:val="FirstParagraph"/>
      </w:pPr>
      <w:r>
        <w:rPr>
          <w:rFonts w:hint="eastAsia"/>
        </w:rPr>
        <w:t>若確定存在差別對待，則進入第三階段——檢驗該差別是否具有「正當性」。</w:t>
      </w:r>
    </w:p>
    <w:p w:rsidR="005E674B" w:rsidRDefault="00833731">
      <w:pPr>
        <w:pStyle w:val="a3"/>
      </w:pPr>
      <w:r>
        <w:rPr>
          <w:rFonts w:hint="eastAsia"/>
        </w:rPr>
        <w:t>在這裡，我們的焦點放在「實質法治國原則」：</w:t>
      </w:r>
      <w:r>
        <w:br/>
      </w:r>
      <w:r>
        <w:rPr>
          <w:rFonts w:hint="eastAsia"/>
        </w:rPr>
        <w:t>任何涉及人民權利義務的區別對待，都必須有合理的立法目的與合比例的手段。</w:t>
      </w:r>
      <w:r>
        <w:br/>
      </w:r>
      <w:r>
        <w:rPr>
          <w:rFonts w:hint="eastAsia"/>
        </w:rPr>
        <w:t>此外，仍必須符合「形式法治國原則」，例如：</w:t>
      </w:r>
    </w:p>
    <w:p w:rsidR="005E674B" w:rsidRDefault="00833731">
      <w:pPr>
        <w:pStyle w:val="Compact"/>
        <w:numPr>
          <w:ilvl w:val="0"/>
          <w:numId w:val="52"/>
        </w:numPr>
      </w:pPr>
      <w:r>
        <w:rPr>
          <w:rFonts w:hint="eastAsia"/>
        </w:rPr>
        <w:t>法律保留原則</w:t>
      </w:r>
    </w:p>
    <w:p w:rsidR="005E674B" w:rsidRDefault="00833731">
      <w:pPr>
        <w:pStyle w:val="Compact"/>
        <w:numPr>
          <w:ilvl w:val="0"/>
          <w:numId w:val="52"/>
        </w:numPr>
      </w:pPr>
      <w:r>
        <w:rPr>
          <w:rFonts w:hint="eastAsia"/>
        </w:rPr>
        <w:t>明確性原則</w:t>
      </w:r>
    </w:p>
    <w:p w:rsidR="005E674B" w:rsidRDefault="00833731">
      <w:pPr>
        <w:pStyle w:val="Compact"/>
        <w:numPr>
          <w:ilvl w:val="0"/>
          <w:numId w:val="52"/>
        </w:numPr>
      </w:pPr>
      <w:r>
        <w:rPr>
          <w:rFonts w:hint="eastAsia"/>
        </w:rPr>
        <w:t>法不溯及既往原則</w:t>
      </w:r>
    </w:p>
    <w:p w:rsidR="005E674B" w:rsidRDefault="00833731">
      <w:pPr>
        <w:pStyle w:val="FirstParagraph"/>
      </w:pPr>
      <w:r>
        <w:rPr>
          <w:rFonts w:hint="eastAsia"/>
        </w:rPr>
        <w:t>因此，平等權審查其實兼具形式與實質兩層的合憲性判斷。</w:t>
      </w:r>
    </w:p>
    <w:p w:rsidR="005E674B" w:rsidRDefault="00833731">
      <w:r>
        <w:rPr>
          <w:noProof/>
        </w:rPr>
      </w:r>
      <w:r w:rsidR="00833731">
        <w:rPr>
          <w:noProof/>
        </w:rPr>
        <w:pict>
          <v:rect id="_x0000_i1041" alt="" style="width:415.3pt;height:.05pt;mso-width-percent:0;mso-height-percent:0;mso-width-percent:0;mso-height-percent:0" o:hralign="center" o:hrstd="t" o:hr="t"/>
        </w:pict>
      </w:r>
    </w:p>
    <w:p w:rsidR="005E674B" w:rsidRDefault="00833731">
      <w:pPr>
        <w:pStyle w:val="3"/>
      </w:pPr>
      <w:bookmarkStart w:id="48" w:name="平等原則的兩種違反類型"/>
      <w:bookmarkStart w:id="49" w:name="_Toc211785275"/>
      <w:bookmarkEnd w:id="46"/>
      <w:bookmarkEnd w:id="40"/>
      <w:r>
        <w:rPr>
          <w:rFonts w:hint="eastAsia"/>
        </w:rPr>
        <w:t>平等原則的兩種違反類型</w:t>
      </w:r>
      <w:bookmarkEnd w:id="49"/>
    </w:p>
    <w:p w:rsidR="005E674B" w:rsidRDefault="00833731">
      <w:pPr>
        <w:pStyle w:val="FirstParagraph"/>
      </w:pPr>
      <w:r>
        <w:rPr>
          <w:rFonts w:hint="eastAsia"/>
        </w:rPr>
        <w:t>平等原則的違反通常有兩種情形：</w:t>
      </w:r>
    </w:p>
    <w:p w:rsidR="005E674B" w:rsidRDefault="00833731">
      <w:pPr>
        <w:numPr>
          <w:ilvl w:val="0"/>
          <w:numId w:val="53"/>
        </w:numPr>
      </w:pPr>
      <w:r>
        <w:rPr>
          <w:rFonts w:hint="eastAsia"/>
          <w:b/>
          <w:bCs/>
        </w:rPr>
        <w:t>無理由的差別對待</w:t>
      </w:r>
      <w:r>
        <w:br/>
      </w:r>
      <w:r>
        <w:rPr>
          <w:rFonts w:hint="eastAsia"/>
        </w:rPr>
        <w:t>例如：同樣情況的人，因立法者或行政機關的偏好而受到不同對待。</w:t>
      </w:r>
      <w:r>
        <w:br/>
      </w:r>
      <w:r>
        <w:rPr>
          <w:rFonts w:hint="eastAsia"/>
        </w:rPr>
        <w:t>（如教師因個人喜好給學生不同分數。）</w:t>
      </w:r>
    </w:p>
    <w:p w:rsidR="005E674B" w:rsidRDefault="00833731">
      <w:pPr>
        <w:numPr>
          <w:ilvl w:val="0"/>
          <w:numId w:val="53"/>
        </w:numPr>
      </w:pPr>
      <w:r>
        <w:rPr>
          <w:rFonts w:hint="eastAsia"/>
          <w:b/>
          <w:bCs/>
        </w:rPr>
        <w:t>無理由的無差別對待</w:t>
      </w:r>
      <w:r>
        <w:br/>
      </w:r>
      <w:r>
        <w:rPr>
          <w:rFonts w:hint="eastAsia"/>
        </w:rPr>
        <w:t>例如：對於本應區別的對象，卻全部給予相同待遇。</w:t>
      </w:r>
      <w:r>
        <w:br/>
      </w:r>
      <w:r>
        <w:rPr>
          <w:rFonts w:hint="eastAsia"/>
        </w:rPr>
        <w:t>（如所有學生一律給及格或一律不及格。）</w:t>
      </w:r>
    </w:p>
    <w:p w:rsidR="005E674B" w:rsidRDefault="00833731">
      <w:pPr>
        <w:pStyle w:val="FirstParagraph"/>
      </w:pPr>
      <w:r>
        <w:rPr>
          <w:rFonts w:hint="eastAsia"/>
        </w:rPr>
        <w:t>這兩者都違反了平等原則的核心——「同者同之、異者異之」。</w:t>
      </w:r>
    </w:p>
    <w:p w:rsidR="005E674B" w:rsidRDefault="00833731">
      <w:r>
        <w:rPr>
          <w:noProof/>
        </w:rPr>
      </w:r>
      <w:r w:rsidR="00833731">
        <w:rPr>
          <w:noProof/>
        </w:rPr>
        <w:pict>
          <v:rect id="_x0000_i1042" alt="" style="width:415.3pt;height:.05pt;mso-width-percent:0;mso-height-percent:0;mso-width-percent:0;mso-height-percent:0" o:hralign="center" o:hrstd="t" o:hr="t"/>
        </w:pict>
      </w:r>
    </w:p>
    <w:p w:rsidR="005E674B" w:rsidRDefault="00833731">
      <w:pPr>
        <w:pStyle w:val="3"/>
      </w:pPr>
      <w:bookmarkStart w:id="50" w:name="違反平等原則課堂示例"/>
      <w:bookmarkStart w:id="51" w:name="_Toc211785276"/>
      <w:bookmarkEnd w:id="48"/>
      <w:r>
        <w:rPr>
          <w:rFonts w:hint="eastAsia"/>
        </w:rPr>
        <w:t>「違反平等原則」課堂示例</w:t>
      </w:r>
      <w:bookmarkEnd w:id="51"/>
    </w:p>
    <w:p w:rsidR="005E674B" w:rsidRDefault="00833731">
      <w:pPr>
        <w:pStyle w:val="FirstParagraph"/>
      </w:pPr>
      <w:r>
        <w:rPr>
          <w:rFonts w:hint="eastAsia"/>
        </w:rPr>
        <w:t>各位可能會覺得，「一律給及格」怎麼會違反平等原則？</w:t>
      </w:r>
      <w:r>
        <w:br/>
      </w:r>
      <w:r>
        <w:rPr>
          <w:rFonts w:hint="eastAsia"/>
        </w:rPr>
        <w:t>舉個例子：有同學努力上課、準時考試，也有同學根本沒來上課。</w:t>
      </w:r>
      <w:r>
        <w:br/>
      </w:r>
      <w:r>
        <w:rPr>
          <w:rFonts w:hint="eastAsia"/>
        </w:rPr>
        <w:t>如果老師全部給及格，對努力的學生其實是不公平的。甚至有學生可能故意不來考試，希望被當掉，結果卻被老師「好心」給了</w:t>
      </w:r>
      <w:r>
        <w:rPr>
          <w:rFonts w:hint="eastAsia"/>
        </w:rPr>
        <w:t>95</w:t>
      </w:r>
      <w:r>
        <w:rPr>
          <w:rFonts w:hint="eastAsia"/>
        </w:rPr>
        <w:t>分，反而害他被提前畢業、要去當兵。這就是「無理由的一視同仁」所造成的不公。</w:t>
      </w:r>
    </w:p>
    <w:p w:rsidR="005E674B" w:rsidRDefault="00833731">
      <w:pPr>
        <w:pStyle w:val="a3"/>
      </w:pPr>
      <w:r>
        <w:rPr>
          <w:rFonts w:hint="eastAsia"/>
        </w:rPr>
        <w:lastRenderedPageBreak/>
        <w:t>因此，制度上必須建立合理區別，例如簽到、交卷紀錄，確保評分依據是「表現差異」而非「個人好惡」。</w:t>
      </w:r>
      <w:r>
        <w:br/>
      </w:r>
      <w:r>
        <w:rPr>
          <w:rFonts w:hint="eastAsia"/>
        </w:rPr>
        <w:t>如果差別對待是基於合理理由（例如考試表現），就不違反平等原則；</w:t>
      </w:r>
      <w:r>
        <w:br/>
      </w:r>
      <w:r>
        <w:rPr>
          <w:rFonts w:hint="eastAsia"/>
        </w:rPr>
        <w:t>但若差別源於主觀偏好，就屬違憲。</w:t>
      </w:r>
    </w:p>
    <w:p w:rsidR="005E674B" w:rsidRDefault="00833731">
      <w:r>
        <w:rPr>
          <w:noProof/>
        </w:rPr>
      </w:r>
      <w:r w:rsidR="00833731">
        <w:rPr>
          <w:noProof/>
        </w:rPr>
        <w:pict>
          <v:rect id="_x0000_i1043" alt="" style="width:415.3pt;height:.05pt;mso-width-percent:0;mso-height-percent:0;mso-width-percent:0;mso-height-percent:0" o:hralign="center" o:hrstd="t" o:hr="t"/>
        </w:pict>
      </w:r>
    </w:p>
    <w:p w:rsidR="005E674B" w:rsidRDefault="00833731">
      <w:pPr>
        <w:pStyle w:val="3"/>
      </w:pPr>
      <w:bookmarkStart w:id="52" w:name="平等原則審查密度與分類"/>
      <w:bookmarkStart w:id="53" w:name="_Toc211785277"/>
      <w:bookmarkEnd w:id="50"/>
      <w:r>
        <w:rPr>
          <w:rFonts w:hint="eastAsia"/>
        </w:rPr>
        <w:t>平等原則「審查密度」與分類</w:t>
      </w:r>
      <w:bookmarkEnd w:id="53"/>
    </w:p>
    <w:p w:rsidR="005E674B" w:rsidRDefault="00833731">
      <w:pPr>
        <w:pStyle w:val="FirstParagraph"/>
      </w:pPr>
      <w:r>
        <w:rPr>
          <w:rFonts w:hint="eastAsia"/>
        </w:rPr>
        <w:t>平等原則的審查密度取決於分類標準的重要性。</w:t>
      </w:r>
      <w:r>
        <w:br/>
      </w:r>
      <w:r>
        <w:rPr>
          <w:rFonts w:hint="eastAsia"/>
        </w:rPr>
        <w:t>在德國《基本法》第</w:t>
      </w:r>
      <w:r>
        <w:rPr>
          <w:rFonts w:hint="eastAsia"/>
        </w:rPr>
        <w:t>3</w:t>
      </w:r>
      <w:r>
        <w:rPr>
          <w:rFonts w:hint="eastAsia"/>
        </w:rPr>
        <w:t>條的體系下：</w:t>
      </w:r>
    </w:p>
    <w:p w:rsidR="005E674B" w:rsidRDefault="00833731">
      <w:pPr>
        <w:pStyle w:val="Compact"/>
        <w:numPr>
          <w:ilvl w:val="0"/>
          <w:numId w:val="54"/>
        </w:numPr>
      </w:pPr>
      <w:r>
        <w:rPr>
          <w:rFonts w:hint="eastAsia"/>
          <w:b/>
          <w:bCs/>
        </w:rPr>
        <w:t>第</w:t>
      </w:r>
      <w:r>
        <w:rPr>
          <w:rFonts w:hint="eastAsia"/>
          <w:b/>
          <w:bCs/>
        </w:rPr>
        <w:t>3</w:t>
      </w:r>
      <w:r>
        <w:rPr>
          <w:rFonts w:hint="eastAsia"/>
          <w:b/>
          <w:bCs/>
        </w:rPr>
        <w:t>條第</w:t>
      </w:r>
      <w:r>
        <w:rPr>
          <w:rFonts w:hint="eastAsia"/>
          <w:b/>
          <w:bCs/>
        </w:rPr>
        <w:t>1</w:t>
      </w:r>
      <w:r>
        <w:rPr>
          <w:rFonts w:hint="eastAsia"/>
          <w:b/>
          <w:bCs/>
        </w:rPr>
        <w:t>項</w:t>
      </w:r>
      <w:r>
        <w:rPr>
          <w:rFonts w:hint="eastAsia"/>
        </w:rPr>
        <w:t>：一般平等原則（一般情形適用，採較寬鬆審查）。</w:t>
      </w:r>
    </w:p>
    <w:p w:rsidR="005E674B" w:rsidRDefault="00833731">
      <w:pPr>
        <w:pStyle w:val="Compact"/>
        <w:numPr>
          <w:ilvl w:val="0"/>
          <w:numId w:val="54"/>
        </w:numPr>
      </w:pPr>
      <w:r>
        <w:rPr>
          <w:rFonts w:hint="eastAsia"/>
          <w:b/>
          <w:bCs/>
        </w:rPr>
        <w:t>第</w:t>
      </w:r>
      <w:r>
        <w:rPr>
          <w:rFonts w:hint="eastAsia"/>
          <w:b/>
          <w:bCs/>
        </w:rPr>
        <w:t>3</w:t>
      </w:r>
      <w:r>
        <w:rPr>
          <w:rFonts w:hint="eastAsia"/>
          <w:b/>
          <w:bCs/>
        </w:rPr>
        <w:t>條第</w:t>
      </w:r>
      <w:r>
        <w:rPr>
          <w:rFonts w:hint="eastAsia"/>
          <w:b/>
          <w:bCs/>
        </w:rPr>
        <w:t>2</w:t>
      </w:r>
      <w:r>
        <w:rPr>
          <w:rFonts w:hint="eastAsia"/>
          <w:b/>
          <w:bCs/>
        </w:rPr>
        <w:t>項、第</w:t>
      </w:r>
      <w:r>
        <w:rPr>
          <w:rFonts w:hint="eastAsia"/>
          <w:b/>
          <w:bCs/>
        </w:rPr>
        <w:t>3</w:t>
      </w:r>
      <w:r>
        <w:rPr>
          <w:rFonts w:hint="eastAsia"/>
          <w:b/>
          <w:bCs/>
        </w:rPr>
        <w:t>項</w:t>
      </w:r>
      <w:r>
        <w:rPr>
          <w:rFonts w:hint="eastAsia"/>
        </w:rPr>
        <w:t>：特別平等原則，針對性別、出身、語言、信仰、宗教等無法由個人改變的特質，採取更嚴格的審查。</w:t>
      </w:r>
    </w:p>
    <w:p w:rsidR="005E674B" w:rsidRDefault="00833731">
      <w:pPr>
        <w:pStyle w:val="FirstParagraph"/>
      </w:pPr>
      <w:r>
        <w:rPr>
          <w:rFonts w:hint="eastAsia"/>
        </w:rPr>
        <w:t>換言之，涉及「天生特質」或「歷史歧視」的分類，必須具備更高層次的正當性，才能成立。</w:t>
      </w:r>
    </w:p>
    <w:p w:rsidR="005E674B" w:rsidRDefault="00833731">
      <w:pPr>
        <w:pStyle w:val="a3"/>
      </w:pPr>
      <w:r>
        <w:rPr>
          <w:rFonts w:hint="eastAsia"/>
        </w:rPr>
        <w:t>這在美式的平等原則的審查中對應到「嫌疑分類」與「準嫌疑分類」的概念——例如種族、性別、宗教屬於嚴格審查類別。</w:t>
      </w:r>
      <w:r>
        <w:br/>
      </w:r>
      <w:r>
        <w:rPr>
          <w:rFonts w:hint="eastAsia"/>
        </w:rPr>
        <w:t>相對地，稅法規範涉及的是國家財政領域與人民財產權干預的問題，通常屬於「非核心基本權」，因此審查密度較低，採「寬鬆審查標準」。</w:t>
      </w:r>
    </w:p>
    <w:p w:rsidR="005E674B" w:rsidRDefault="00833731">
      <w:r>
        <w:rPr>
          <w:noProof/>
        </w:rPr>
      </w:r>
      <w:r w:rsidR="00833731">
        <w:rPr>
          <w:noProof/>
        </w:rPr>
        <w:pict>
          <v:rect id="_x0000_i1044" alt="" style="width:415.3pt;height:.05pt;mso-width-percent:0;mso-height-percent:0;mso-width-percent:0;mso-height-percent:0" o:hralign="center" o:hrstd="t" o:hr="t"/>
        </w:pict>
      </w:r>
    </w:p>
    <w:p w:rsidR="005E674B" w:rsidRDefault="00833731">
      <w:pPr>
        <w:pStyle w:val="FirstParagraph"/>
      </w:pPr>
      <w:r>
        <w:rPr>
          <w:rFonts w:hint="eastAsia"/>
        </w:rPr>
        <w:t>在德國稅法領域，平等原則審查常結合兩個具體化標準：</w:t>
      </w:r>
    </w:p>
    <w:p w:rsidR="005E674B" w:rsidRDefault="00833731">
      <w:pPr>
        <w:numPr>
          <w:ilvl w:val="0"/>
          <w:numId w:val="55"/>
        </w:numPr>
      </w:pPr>
      <w:r>
        <w:rPr>
          <w:rFonts w:hint="eastAsia"/>
          <w:b/>
          <w:bCs/>
        </w:rPr>
        <w:t>量能課稅原則（</w:t>
      </w:r>
      <w:r>
        <w:rPr>
          <w:rFonts w:hint="eastAsia"/>
          <w:b/>
          <w:bCs/>
        </w:rPr>
        <w:t>Ability</w:t>
      </w:r>
      <w:r>
        <w:rPr>
          <w:b/>
          <w:bCs/>
        </w:rPr>
        <w:t xml:space="preserve"> to Pay </w:t>
      </w:r>
      <w:r>
        <w:rPr>
          <w:rFonts w:hint="eastAsia"/>
          <w:b/>
          <w:bCs/>
        </w:rPr>
        <w:t>Principle</w:t>
      </w:r>
      <w:r>
        <w:rPr>
          <w:rFonts w:hint="eastAsia"/>
          <w:b/>
          <w:bCs/>
        </w:rPr>
        <w:t>）</w:t>
      </w:r>
      <w:r>
        <w:br/>
      </w:r>
      <w:r>
        <w:rPr>
          <w:rFonts w:hint="eastAsia"/>
        </w:rPr>
        <w:t>同樣有經濟能力者應課稅相同，經濟能力不同者應有差別課稅。</w:t>
      </w:r>
    </w:p>
    <w:p w:rsidR="005E674B" w:rsidRDefault="00833731">
      <w:pPr>
        <w:numPr>
          <w:ilvl w:val="0"/>
          <w:numId w:val="55"/>
        </w:numPr>
      </w:pPr>
      <w:r>
        <w:rPr>
          <w:rFonts w:hint="eastAsia"/>
          <w:b/>
          <w:bCs/>
        </w:rPr>
        <w:t>立法價值連貫性（</w:t>
      </w:r>
      <w:r>
        <w:rPr>
          <w:rFonts w:hint="eastAsia"/>
          <w:b/>
          <w:bCs/>
        </w:rPr>
        <w:t>Folgerichtigkeit</w:t>
      </w:r>
      <w:r>
        <w:rPr>
          <w:rFonts w:hint="eastAsia"/>
          <w:b/>
          <w:bCs/>
        </w:rPr>
        <w:t>）</w:t>
      </w:r>
      <w:r>
        <w:br/>
      </w:r>
      <w:r>
        <w:rPr>
          <w:rFonts w:hint="eastAsia"/>
        </w:rPr>
        <w:t>立法者在作出稅制設計的價值判斷後，必須前後一致。</w:t>
      </w:r>
      <w:r>
        <w:br/>
      </w:r>
      <w:r>
        <w:rPr>
          <w:rFonts w:hint="eastAsia"/>
        </w:rPr>
        <w:t>例如，立法者若區分「所得稅」與「遺產稅」為不同稅目，就必須維持這種價值決定的內部一致性，不能在適用時又模糊其界線。</w:t>
      </w:r>
    </w:p>
    <w:p w:rsidR="005E674B" w:rsidRDefault="00833731">
      <w:pPr>
        <w:pStyle w:val="FirstParagraph"/>
      </w:pPr>
      <w:r>
        <w:rPr>
          <w:rFonts w:hint="eastAsia"/>
        </w:rPr>
        <w:t>這兩項原則構成德國稅法中平等審查的核心具體化標準。</w:t>
      </w:r>
    </w:p>
    <w:p w:rsidR="005E674B" w:rsidRDefault="00833731">
      <w:r>
        <w:rPr>
          <w:noProof/>
        </w:rPr>
      </w:r>
      <w:r w:rsidR="00833731">
        <w:rPr>
          <w:noProof/>
        </w:rPr>
        <w:pict>
          <v:rect id="_x0000_i1045" alt="" style="width:415.3pt;height:.05pt;mso-width-percent:0;mso-height-percent:0;mso-width-percent:0;mso-height-percent:0" o:hralign="center" o:hrstd="t" o:hr="t"/>
        </w:pict>
      </w:r>
    </w:p>
    <w:p w:rsidR="005E674B" w:rsidRDefault="00833731">
      <w:pPr>
        <w:pStyle w:val="FirstParagraph"/>
      </w:pPr>
      <w:r>
        <w:rPr>
          <w:rFonts w:hint="eastAsia"/>
        </w:rPr>
        <w:t>此外，審查密度也受立法程序嚴謹程度影響。</w:t>
      </w:r>
      <w:r>
        <w:br/>
      </w:r>
      <w:r>
        <w:rPr>
          <w:rFonts w:hint="eastAsia"/>
        </w:rPr>
        <w:t>例如德國在聯邦層級立法時，凡涉及各邦財政權或稅收分配，必須經聯邦參議院同意。</w:t>
      </w:r>
      <w:r>
        <w:br/>
      </w:r>
      <w:r>
        <w:rPr>
          <w:rFonts w:hint="eastAsia"/>
        </w:rPr>
        <w:t>這種程序設計，也反映了平等原則在立法過程中要求的「程序正當性」與「權限平衡」。</w:t>
      </w:r>
    </w:p>
    <w:p w:rsidR="005E674B" w:rsidRDefault="00833731">
      <w:r>
        <w:rPr>
          <w:noProof/>
        </w:rPr>
      </w:r>
      <w:r w:rsidR="00833731">
        <w:rPr>
          <w:noProof/>
        </w:rPr>
        <w:pict>
          <v:rect id="_x0000_i1046" alt="" style="width:415.3pt;height:.05pt;mso-width-percent:0;mso-height-percent:0;mso-width-percent:0;mso-height-percent:0" o:hralign="center" o:hrstd="t" o:hr="t"/>
        </w:pict>
      </w:r>
    </w:p>
    <w:p w:rsidR="005E674B" w:rsidRDefault="00833731">
      <w:pPr>
        <w:pStyle w:val="FirstParagraph"/>
      </w:pPr>
      <w:r>
        <w:rPr>
          <w:rFonts w:hint="eastAsia"/>
        </w:rPr>
        <w:t>總結來說，平等權審查的結構可簡化為：</w:t>
      </w:r>
    </w:p>
    <w:p w:rsidR="005E674B" w:rsidRDefault="00833731">
      <w:pPr>
        <w:pStyle w:val="Compact"/>
        <w:numPr>
          <w:ilvl w:val="0"/>
          <w:numId w:val="56"/>
        </w:numPr>
      </w:pPr>
      <w:r>
        <w:rPr>
          <w:rFonts w:hint="eastAsia"/>
        </w:rPr>
        <w:t>可比較群體的確認；</w:t>
      </w:r>
    </w:p>
    <w:p w:rsidR="005E674B" w:rsidRDefault="00833731">
      <w:pPr>
        <w:pStyle w:val="Compact"/>
        <w:numPr>
          <w:ilvl w:val="0"/>
          <w:numId w:val="56"/>
        </w:numPr>
      </w:pPr>
      <w:r>
        <w:rPr>
          <w:rFonts w:hint="eastAsia"/>
        </w:rPr>
        <w:t>差別或無差別對待的判斷；</w:t>
      </w:r>
    </w:p>
    <w:p w:rsidR="005E674B" w:rsidRDefault="00833731">
      <w:pPr>
        <w:pStyle w:val="Compact"/>
        <w:numPr>
          <w:ilvl w:val="0"/>
          <w:numId w:val="56"/>
        </w:numPr>
      </w:pPr>
      <w:r>
        <w:rPr>
          <w:rFonts w:hint="eastAsia"/>
        </w:rPr>
        <w:lastRenderedPageBreak/>
        <w:t>差別對待的正當性與比例性審查。</w:t>
      </w:r>
    </w:p>
    <w:p w:rsidR="005E674B" w:rsidRDefault="00833731">
      <w:pPr>
        <w:pStyle w:val="FirstParagraph"/>
      </w:pPr>
      <w:r>
        <w:rPr>
          <w:rFonts w:hint="eastAsia"/>
        </w:rPr>
        <w:t>在稅法案件中，這三階審查通常與量能課稅、價值連貫性及程序正當性結合運作，構成平等原則的具體適用框架。</w:t>
      </w:r>
    </w:p>
    <w:p w:rsidR="005E674B" w:rsidRDefault="00833731">
      <w:r>
        <w:rPr>
          <w:noProof/>
        </w:rPr>
      </w:r>
      <w:r w:rsidR="00833731">
        <w:rPr>
          <w:noProof/>
        </w:rPr>
        <w:pict>
          <v:rect id="_x0000_i1047" alt="" style="width:415.3pt;height:.05pt;mso-width-percent:0;mso-height-percent:0;mso-width-percent:0;mso-height-percent:0" o:hralign="center" o:hrstd="t" o:hr="t"/>
        </w:pict>
      </w:r>
    </w:p>
    <w:p w:rsidR="005E674B" w:rsidRDefault="00833731">
      <w:pPr>
        <w:pStyle w:val="3"/>
      </w:pPr>
      <w:bookmarkStart w:id="54" w:name="談財產權之前先談自由權"/>
      <w:bookmarkStart w:id="55" w:name="_Toc211785278"/>
      <w:bookmarkEnd w:id="52"/>
      <w:r>
        <w:rPr>
          <w:rFonts w:hint="eastAsia"/>
        </w:rPr>
        <w:t>談財產權之前先談自由權</w:t>
      </w:r>
      <w:bookmarkEnd w:id="55"/>
    </w:p>
    <w:p w:rsidR="005E674B" w:rsidRDefault="00833731">
      <w:pPr>
        <w:pStyle w:val="FirstParagraph"/>
      </w:pPr>
      <w:r>
        <w:rPr>
          <w:rFonts w:hint="eastAsia"/>
        </w:rPr>
        <w:t>我們談完了平等權之後，接下來很快地跟各位談一下關於自由權。</w:t>
      </w:r>
      <w:r>
        <w:br/>
      </w:r>
      <w:r>
        <w:rPr>
          <w:rFonts w:hint="eastAsia"/>
        </w:rPr>
        <w:t>其實我本來應該是要談財產權的，但為什麼要在談財產權之前先談自由權？</w:t>
      </w:r>
      <w:r>
        <w:br/>
      </w:r>
      <w:r>
        <w:rPr>
          <w:rFonts w:hint="eastAsia"/>
        </w:rPr>
        <w:t>原因是財產權的一部分會被自由權所包攝、所涵蓋，所以我先談自由權，再回過頭來談財產權，這樣各位學長姐會比較清楚為什麼要這樣安排的意義與用意。</w:t>
      </w:r>
    </w:p>
    <w:p w:rsidR="005E674B" w:rsidRDefault="00833731">
      <w:pPr>
        <w:pStyle w:val="a3"/>
      </w:pPr>
      <w:r>
        <w:rPr>
          <w:rFonts w:hint="eastAsia"/>
        </w:rPr>
        <w:t>簡單來講，自由權的保護主要是人民在自我認同、思想意志上的思考，以及表現在外的行為自由。</w:t>
      </w:r>
      <w:r>
        <w:br/>
      </w:r>
      <w:r>
        <w:rPr>
          <w:rFonts w:hint="eastAsia"/>
        </w:rPr>
        <w:t>這種自我意義的認同與行為表現的自由，會涉及特定的生活領域，比如思想上的自由，包括思想自由、學術自由、言論自由，特別是自我意識、政治認同上的自由。</w:t>
      </w:r>
      <w:r>
        <w:br/>
      </w:r>
      <w:r>
        <w:rPr>
          <w:rFonts w:hint="eastAsia"/>
        </w:rPr>
        <w:t>行為自由則表現在個人行動的領域裡，這些領域受到國家保護，被稱為「保護領域」（</w:t>
      </w:r>
      <w:r>
        <w:rPr>
          <w:rFonts w:hint="eastAsia"/>
        </w:rPr>
        <w:t>Schutzbereich</w:t>
      </w:r>
      <w:r>
        <w:rPr>
          <w:rFonts w:hint="eastAsia"/>
        </w:rPr>
        <w:t>），特定在某一個生活範圍（</w:t>
      </w:r>
      <w:r>
        <w:rPr>
          <w:rFonts w:hint="eastAsia"/>
        </w:rPr>
        <w:t>Lebensbereich</w:t>
      </w:r>
      <w:r>
        <w:rPr>
          <w:rFonts w:hint="eastAsia"/>
        </w:rPr>
        <w:t>）之內。</w:t>
      </w:r>
      <w:r>
        <w:br/>
      </w:r>
      <w:r>
        <w:rPr>
          <w:rFonts w:hint="eastAsia"/>
        </w:rPr>
        <w:t>自由權的保障，就是國家對於這些生活領域提供保障。保障的意義在於：</w:t>
      </w:r>
      <w:r>
        <w:br/>
      </w:r>
      <w:r>
        <w:rPr>
          <w:rFonts w:hint="eastAsia"/>
        </w:rPr>
        <w:t>第一個，防止國家對特定生活領域的任意介入；</w:t>
      </w:r>
      <w:r>
        <w:br/>
      </w:r>
      <w:r>
        <w:rPr>
          <w:rFonts w:hint="eastAsia"/>
        </w:rPr>
        <w:t>第二個，就算國家要介入，也必須避免過度介入。</w:t>
      </w:r>
    </w:p>
    <w:p w:rsidR="005E674B" w:rsidRDefault="00833731">
      <w:pPr>
        <w:pStyle w:val="a3"/>
      </w:pPr>
      <w:r>
        <w:rPr>
          <w:rFonts w:hint="eastAsia"/>
        </w:rPr>
        <w:t>這就是我們常常聽到的自由權一個非常重要的功能——防禦權功能。</w:t>
      </w:r>
      <w:r>
        <w:br/>
      </w:r>
      <w:r>
        <w:rPr>
          <w:rFonts w:hint="eastAsia"/>
        </w:rPr>
        <w:t>防禦權是為了防止國家任意侵入，或是就算要介入，也要適度、不得過度。</w:t>
      </w:r>
      <w:r>
        <w:br/>
      </w:r>
      <w:r>
        <w:rPr>
          <w:rFonts w:hint="eastAsia"/>
        </w:rPr>
        <w:t>因此，防禦權的功能是自由權的核心功能之一。</w:t>
      </w:r>
    </w:p>
    <w:p w:rsidR="005E674B" w:rsidRDefault="00833731">
      <w:r>
        <w:rPr>
          <w:noProof/>
        </w:rPr>
      </w:r>
      <w:r w:rsidR="00833731">
        <w:rPr>
          <w:noProof/>
        </w:rPr>
        <w:pict>
          <v:rect id="_x0000_i1048" alt="" style="width:415.3pt;height:.05pt;mso-width-percent:0;mso-height-percent:0;mso-width-percent:0;mso-height-percent:0" o:hralign="center" o:hrstd="t" o:hr="t"/>
        </w:pict>
      </w:r>
    </w:p>
    <w:p w:rsidR="005E674B" w:rsidRDefault="00833731">
      <w:pPr>
        <w:pStyle w:val="FirstParagraph"/>
      </w:pPr>
      <w:r>
        <w:rPr>
          <w:rFonts w:hint="eastAsia"/>
        </w:rPr>
        <w:t>除了這個以外，自由權還有制度上的保障。</w:t>
      </w:r>
      <w:r>
        <w:br/>
      </w:r>
      <w:r>
        <w:rPr>
          <w:rFonts w:hint="eastAsia"/>
        </w:rPr>
        <w:t>例如婚姻自由。婚姻是一種制度，涉及「我要跟誰結婚」這一件事情，這是行為自由的一種表現。</w:t>
      </w:r>
      <w:r>
        <w:br/>
      </w:r>
      <w:r>
        <w:rPr>
          <w:rFonts w:hint="eastAsia"/>
        </w:rPr>
        <w:t>婚姻自由連結到婚姻制度的存在，保護進入婚姻的兩個人，讓他們因為相愛而結婚，這個制度本身也受到「制度性保障」。</w:t>
      </w:r>
      <w:r>
        <w:br/>
      </w:r>
      <w:r>
        <w:rPr>
          <w:rFonts w:hint="eastAsia"/>
        </w:rPr>
        <w:t>我們可以再把它分成「公法上的制度」或「司法上的制度」。</w:t>
      </w:r>
      <w:r>
        <w:br/>
      </w:r>
      <w:r>
        <w:rPr>
          <w:rFonts w:hint="eastAsia"/>
        </w:rPr>
        <w:t>進入這個制度的人，透過制度的保障，能夠強化他在自由權上的保障。</w:t>
      </w:r>
    </w:p>
    <w:p w:rsidR="005E674B" w:rsidRDefault="00833731">
      <w:pPr>
        <w:pStyle w:val="a3"/>
      </w:pPr>
      <w:r>
        <w:rPr>
          <w:rFonts w:hint="eastAsia"/>
        </w:rPr>
        <w:t>舉例來說：婚姻制度保障了進入婚姻的人在婚姻中的自由選擇；</w:t>
      </w:r>
      <w:r>
        <w:br/>
      </w:r>
      <w:r>
        <w:rPr>
          <w:rFonts w:hint="eastAsia"/>
        </w:rPr>
        <w:t>學術自由則透過「大學自治」制度來保障進入大學領域的教師與學生。</w:t>
      </w:r>
      <w:r>
        <w:br/>
      </w:r>
      <w:r>
        <w:rPr>
          <w:rFonts w:hint="eastAsia"/>
        </w:rPr>
        <w:t>學生有學習自由，教師有研究與教學上的學術自由，透過制度的保障，強化了進入這個制度的基本權主體的權利。</w:t>
      </w:r>
      <w:r>
        <w:br/>
      </w:r>
      <w:r>
        <w:rPr>
          <w:rFonts w:hint="eastAsia"/>
        </w:rPr>
        <w:t>這就是制度性保障的功能。</w:t>
      </w:r>
    </w:p>
    <w:p w:rsidR="005E674B" w:rsidRDefault="00833731">
      <w:pPr>
        <w:pStyle w:val="a3"/>
      </w:pPr>
      <w:r>
        <w:rPr>
          <w:rFonts w:hint="eastAsia"/>
        </w:rPr>
        <w:t>此外，還有「客觀價值秩序」的維護。</w:t>
      </w:r>
      <w:r>
        <w:br/>
      </w:r>
      <w:r>
        <w:rPr>
          <w:rFonts w:hint="eastAsia"/>
        </w:rPr>
        <w:t>也就是說，國家的政策制定與法律規範的適用，應該傾向於保護這些基本權。</w:t>
      </w:r>
    </w:p>
    <w:p w:rsidR="005E674B" w:rsidRDefault="00833731">
      <w:r>
        <w:rPr>
          <w:noProof/>
        </w:rPr>
      </w:r>
      <w:r w:rsidR="00833731">
        <w:rPr>
          <w:noProof/>
        </w:rPr>
        <w:pict>
          <v:rect id="_x0000_i1049" alt="" style="width:415.3pt;height:.05pt;mso-width-percent:0;mso-height-percent:0;mso-width-percent:0;mso-height-percent:0" o:hralign="center" o:hrstd="t" o:hr="t"/>
        </w:pict>
      </w:r>
    </w:p>
    <w:p w:rsidR="005E674B" w:rsidRDefault="00833731">
      <w:pPr>
        <w:pStyle w:val="FirstParagraph"/>
      </w:pPr>
      <w:r>
        <w:rPr>
          <w:rFonts w:hint="eastAsia"/>
        </w:rPr>
        <w:lastRenderedPageBreak/>
        <w:t>另外，我們談到自由權的保障，也延伸到正當程序、救濟程序與損害賠償的請求。</w:t>
      </w:r>
      <w:r>
        <w:br/>
      </w:r>
      <w:r>
        <w:rPr>
          <w:rFonts w:hint="eastAsia"/>
        </w:rPr>
        <w:t>這是第二層次的保障。</w:t>
      </w:r>
      <w:r>
        <w:br/>
      </w:r>
      <w:r>
        <w:rPr>
          <w:rFonts w:hint="eastAsia"/>
        </w:rPr>
        <w:t>當國家對人民的自由造成侵害時，若防禦權的機制無法阻止過度侵害，人民可以主張「損害賠償」或「損失補償」的請求權。</w:t>
      </w:r>
    </w:p>
    <w:p w:rsidR="005E674B" w:rsidRDefault="00833731">
      <w:pPr>
        <w:pStyle w:val="a3"/>
      </w:pPr>
      <w:r>
        <w:rPr>
          <w:rFonts w:hint="eastAsia"/>
        </w:rPr>
        <w:t>因此，自由權的保障具有多層面功能：</w:t>
      </w:r>
      <w:r>
        <w:br/>
      </w:r>
      <w:r>
        <w:rPr>
          <w:rFonts w:hint="eastAsia"/>
        </w:rPr>
        <w:t>除了防禦國家的介入與干預，進入制度的自由權還受到制度性保障；</w:t>
      </w:r>
      <w:r>
        <w:br/>
      </w:r>
      <w:r>
        <w:rPr>
          <w:rFonts w:hint="eastAsia"/>
        </w:rPr>
        <w:t>若制度本身被認為具有獨立存在的價值，則進一步強化了自由權的保護。</w:t>
      </w:r>
      <w:r>
        <w:br/>
      </w:r>
      <w:r>
        <w:rPr>
          <w:rFonts w:hint="eastAsia"/>
        </w:rPr>
        <w:t>在這個領域中，若享有公法上或司法上的制度保障，那麼相關制度內的基本權主體也可以請求國家提供足夠、必要的保護。</w:t>
      </w:r>
    </w:p>
    <w:p w:rsidR="005E674B" w:rsidRDefault="00833731">
      <w:pPr>
        <w:pStyle w:val="a3"/>
      </w:pPr>
      <w:r>
        <w:rPr>
          <w:rFonts w:hint="eastAsia"/>
        </w:rPr>
        <w:t>這也延伸出「基本權的第三人效力」，特別是在私人領域，例如勞工的自由權利，會延伸到對雇主的要求。</w:t>
      </w:r>
      <w:r>
        <w:br/>
      </w:r>
      <w:r>
        <w:rPr>
          <w:rFonts w:hint="eastAsia"/>
        </w:rPr>
        <w:t>雇主在與勞工締結契約的時候，也必須尊重勞工的基本權。</w:t>
      </w:r>
      <w:r>
        <w:br/>
      </w:r>
      <w:r>
        <w:rPr>
          <w:rFonts w:hint="eastAsia"/>
        </w:rPr>
        <w:t>這些都是基本權領域中，自由權所具有的不同層面的意義。</w:t>
      </w:r>
    </w:p>
    <w:p w:rsidR="005E674B" w:rsidRDefault="00833731">
      <w:r>
        <w:rPr>
          <w:noProof/>
        </w:rPr>
      </w:r>
      <w:r w:rsidR="00833731">
        <w:rPr>
          <w:noProof/>
        </w:rPr>
        <w:pict>
          <v:rect id="_x0000_i1050" alt="" style="width:415.3pt;height:.05pt;mso-width-percent:0;mso-height-percent:0;mso-width-percent:0;mso-height-percent:0" o:hralign="center" o:hrstd="t" o:hr="t"/>
        </w:pict>
      </w:r>
    </w:p>
    <w:p w:rsidR="005E674B" w:rsidRDefault="00833731">
      <w:pPr>
        <w:pStyle w:val="FirstParagraph"/>
      </w:pPr>
      <w:r>
        <w:rPr>
          <w:rFonts w:hint="eastAsia"/>
        </w:rPr>
        <w:t>總而言之，自由權是一種「特定生活領域的國家保護」，而平等權則不針對特定生活領域，而是在「法律上給予平等對待」，包括立法上的平等與法律適用上的平等。</w:t>
      </w:r>
      <w:r>
        <w:br/>
      </w:r>
      <w:r>
        <w:rPr>
          <w:rFonts w:hint="eastAsia"/>
        </w:rPr>
        <w:t>當自由權與平等權結合，例如在「工作上的平等對待」問題中，就同時涉及「工作權的保障」與「平等權的保障」。</w:t>
      </w:r>
      <w:r>
        <w:br/>
      </w:r>
      <w:r>
        <w:rPr>
          <w:rFonts w:hint="eastAsia"/>
        </w:rPr>
        <w:t>也就是說，在憲法審查時，可能同時涉及兩種基本權——自由權與平等權。</w:t>
      </w:r>
      <w:r>
        <w:br/>
      </w:r>
      <w:r>
        <w:rPr>
          <w:rFonts w:hint="eastAsia"/>
        </w:rPr>
        <w:t>例如「性別平等工作法」同時涉及「工作權」與「平等權」，男女在工作領域中是否被平等對待，就是這樣的問題。</w:t>
      </w:r>
    </w:p>
    <w:p w:rsidR="005E674B" w:rsidRDefault="00833731">
      <w:pPr>
        <w:pStyle w:val="a3"/>
      </w:pPr>
      <w:r>
        <w:rPr>
          <w:rFonts w:hint="eastAsia"/>
        </w:rPr>
        <w:t>這也是為什麼，在憲法規範的審查裡，有時候會同時討論平等權與自由權，因為兩者常常相互交錯。</w:t>
      </w:r>
      <w:r>
        <w:br/>
      </w:r>
      <w:r>
        <w:rPr>
          <w:rFonts w:hint="eastAsia"/>
        </w:rPr>
        <w:t>自由權的規範審查，如同我剛剛講的平等權審查，在德國也是用三階的方式去進行。</w:t>
      </w:r>
    </w:p>
    <w:p w:rsidR="005E674B" w:rsidRDefault="00833731">
      <w:r>
        <w:rPr>
          <w:noProof/>
        </w:rPr>
      </w:r>
      <w:r w:rsidR="00833731">
        <w:rPr>
          <w:noProof/>
        </w:rPr>
        <w:pict>
          <v:rect id="_x0000_i1051" alt="" style="width:415.3pt;height:.05pt;mso-width-percent:0;mso-height-percent:0;mso-width-percent:0;mso-height-percent:0" o:hralign="center" o:hrstd="t" o:hr="t"/>
        </w:pict>
      </w:r>
    </w:p>
    <w:p w:rsidR="005E674B" w:rsidRDefault="00833731">
      <w:pPr>
        <w:pStyle w:val="3"/>
      </w:pPr>
      <w:bookmarkStart w:id="56" w:name="自由權的三階段審查程序"/>
      <w:bookmarkStart w:id="57" w:name="_Toc211785279"/>
      <w:bookmarkEnd w:id="54"/>
      <w:r>
        <w:rPr>
          <w:rFonts w:hint="eastAsia"/>
        </w:rPr>
        <w:t>自由權的三階段審查程序</w:t>
      </w:r>
      <w:bookmarkEnd w:id="57"/>
    </w:p>
    <w:p w:rsidR="005E674B" w:rsidRDefault="00833731">
      <w:pPr>
        <w:pStyle w:val="4"/>
      </w:pPr>
      <w:bookmarkStart w:id="58" w:name="第一階確認受影響之生活領域"/>
      <w:bookmarkStart w:id="59" w:name="_Toc211785280"/>
      <w:r>
        <w:rPr>
          <w:rFonts w:hint="eastAsia"/>
        </w:rPr>
        <w:t>第一階：確認受影響之生活領域</w:t>
      </w:r>
      <w:bookmarkEnd w:id="59"/>
    </w:p>
    <w:p w:rsidR="005E674B" w:rsidRDefault="00833731">
      <w:pPr>
        <w:pStyle w:val="FirstParagraph"/>
      </w:pPr>
      <w:r>
        <w:rPr>
          <w:rFonts w:hint="eastAsia"/>
        </w:rPr>
        <w:t>第一個階段，要確認特定的生活領域，也就是確認是哪一個基本權受到影響。</w:t>
      </w:r>
      <w:r>
        <w:br/>
      </w:r>
      <w:r>
        <w:rPr>
          <w:rFonts w:hint="eastAsia"/>
        </w:rPr>
        <w:t>我認為，我們的憲法判決在這一點上可以稍微做一些調整。</w:t>
      </w:r>
      <w:r>
        <w:br/>
      </w:r>
      <w:r>
        <w:rPr>
          <w:rFonts w:hint="eastAsia"/>
        </w:rPr>
        <w:t>判決應該先確認本案涉及哪一個基本權、哪一個「生活領域」（</w:t>
      </w:r>
      <w:r>
        <w:rPr>
          <w:rFonts w:hint="eastAsia"/>
        </w:rPr>
        <w:t>Lebensbereich</w:t>
      </w:r>
      <w:r>
        <w:rPr>
          <w:rFonts w:hint="eastAsia"/>
        </w:rPr>
        <w:t>）被碰觸（</w:t>
      </w:r>
      <w:r>
        <w:rPr>
          <w:rFonts w:hint="eastAsia"/>
        </w:rPr>
        <w:t>touched</w:t>
      </w:r>
      <w:r>
        <w:rPr>
          <w:rFonts w:hint="eastAsia"/>
        </w:rPr>
        <w:t>）。</w:t>
      </w:r>
      <w:r>
        <w:br/>
      </w:r>
      <w:r>
        <w:rPr>
          <w:rFonts w:hint="eastAsia"/>
        </w:rPr>
        <w:t>例如：</w:t>
      </w:r>
    </w:p>
    <w:p w:rsidR="005E674B" w:rsidRDefault="00833731">
      <w:pPr>
        <w:pStyle w:val="Compact"/>
        <w:numPr>
          <w:ilvl w:val="0"/>
          <w:numId w:val="57"/>
        </w:numPr>
      </w:pPr>
      <w:r>
        <w:rPr>
          <w:rFonts w:hint="eastAsia"/>
        </w:rPr>
        <w:t>名譽權保護什麼？</w:t>
      </w:r>
    </w:p>
    <w:p w:rsidR="005E674B" w:rsidRDefault="00833731">
      <w:pPr>
        <w:pStyle w:val="Compact"/>
        <w:numPr>
          <w:ilvl w:val="0"/>
          <w:numId w:val="57"/>
        </w:numPr>
      </w:pPr>
      <w:r>
        <w:rPr>
          <w:rFonts w:hint="eastAsia"/>
        </w:rPr>
        <w:t>隱私權保護什麼？</w:t>
      </w:r>
    </w:p>
    <w:p w:rsidR="005E674B" w:rsidRDefault="00833731">
      <w:pPr>
        <w:pStyle w:val="Compact"/>
        <w:numPr>
          <w:ilvl w:val="0"/>
          <w:numId w:val="57"/>
        </w:numPr>
      </w:pPr>
      <w:r>
        <w:rPr>
          <w:rFonts w:hint="eastAsia"/>
        </w:rPr>
        <w:t>資訊自主權保護什麼？</w:t>
      </w:r>
    </w:p>
    <w:p w:rsidR="005E674B" w:rsidRDefault="00833731">
      <w:pPr>
        <w:pStyle w:val="Compact"/>
        <w:numPr>
          <w:ilvl w:val="0"/>
          <w:numId w:val="57"/>
        </w:numPr>
      </w:pPr>
      <w:r>
        <w:rPr>
          <w:rFonts w:hint="eastAsia"/>
        </w:rPr>
        <w:t>學術自由保護什麼？</w:t>
      </w:r>
    </w:p>
    <w:p w:rsidR="005E674B" w:rsidRDefault="00833731">
      <w:pPr>
        <w:pStyle w:val="Compact"/>
        <w:numPr>
          <w:ilvl w:val="0"/>
          <w:numId w:val="57"/>
        </w:numPr>
      </w:pPr>
      <w:r>
        <w:rPr>
          <w:rFonts w:hint="eastAsia"/>
        </w:rPr>
        <w:t>言論自由保護什麼？</w:t>
      </w:r>
    </w:p>
    <w:p w:rsidR="005E674B" w:rsidRDefault="00833731">
      <w:pPr>
        <w:pStyle w:val="FirstParagraph"/>
      </w:pPr>
      <w:r>
        <w:rPr>
          <w:rFonts w:hint="eastAsia"/>
        </w:rPr>
        <w:lastRenderedPageBreak/>
        <w:t>在德國的國家考試裡，基本權的憲法審查都是這樣的標準作業模式：</w:t>
      </w:r>
      <w:r>
        <w:br/>
      </w:r>
      <w:r>
        <w:rPr>
          <w:rFonts w:hint="eastAsia"/>
        </w:rPr>
        <w:t>第一步先確認本件個案涉及哪一個基本權、哪一個生活領域被碰觸到。</w:t>
      </w:r>
    </w:p>
    <w:p w:rsidR="005E674B" w:rsidRDefault="00833731">
      <w:pPr>
        <w:pStyle w:val="4"/>
      </w:pPr>
      <w:bookmarkStart w:id="60" w:name="第二階確認國家干預行為之存在"/>
      <w:bookmarkStart w:id="61" w:name="_Toc211785281"/>
      <w:bookmarkEnd w:id="58"/>
      <w:r>
        <w:rPr>
          <w:rFonts w:hint="eastAsia"/>
        </w:rPr>
        <w:t>第二階：確認國家干預行為之存在</w:t>
      </w:r>
      <w:bookmarkEnd w:id="61"/>
    </w:p>
    <w:p w:rsidR="005E674B" w:rsidRDefault="00833731">
      <w:pPr>
        <w:pStyle w:val="FirstParagraph"/>
      </w:pPr>
      <w:r>
        <w:rPr>
          <w:rFonts w:hint="eastAsia"/>
        </w:rPr>
        <w:t>第二個階段，確認國家是否有干預的行為。</w:t>
      </w:r>
      <w:r>
        <w:br/>
      </w:r>
      <w:r>
        <w:rPr>
          <w:rFonts w:hint="eastAsia"/>
        </w:rPr>
        <w:t>這個干預可能是法位階的法律規範、命令位階的行政規範，或是司法機關依據這些規範所做成的終局實體裁判。</w:t>
      </w:r>
      <w:r>
        <w:br/>
      </w:r>
      <w:r>
        <w:rPr>
          <w:rFonts w:hint="eastAsia"/>
        </w:rPr>
        <w:t>只要國家的行為構成對特定生活領域的干預，就屬於干預的存在。</w:t>
      </w:r>
    </w:p>
    <w:p w:rsidR="005E674B" w:rsidRDefault="00833731">
      <w:pPr>
        <w:pStyle w:val="4"/>
      </w:pPr>
      <w:bookmarkStart w:id="62" w:name="第三階自由權干預之合憲性審查"/>
      <w:bookmarkStart w:id="63" w:name="_Toc211785282"/>
      <w:bookmarkEnd w:id="60"/>
      <w:r>
        <w:rPr>
          <w:rFonts w:hint="eastAsia"/>
        </w:rPr>
        <w:t>第三階：自由權干預之合憲性審查</w:t>
      </w:r>
      <w:bookmarkEnd w:id="63"/>
    </w:p>
    <w:p w:rsidR="005E674B" w:rsidRDefault="00833731">
      <w:pPr>
        <w:pStyle w:val="FirstParagraph"/>
      </w:pPr>
      <w:r>
        <w:rPr>
          <w:rFonts w:hint="eastAsia"/>
        </w:rPr>
        <w:t>第三個階段，要審查這種干預是否符合「形式法治國」與「實質法治國」的要求。</w:t>
      </w:r>
      <w:r>
        <w:br/>
      </w:r>
      <w:r>
        <w:rPr>
          <w:rFonts w:hint="eastAsia"/>
        </w:rPr>
        <w:t>而在實質法治國的部分，最重要的審查標準就是「比例原則」。</w:t>
      </w:r>
    </w:p>
    <w:p w:rsidR="005E674B" w:rsidRDefault="00833731">
      <w:r>
        <w:rPr>
          <w:noProof/>
        </w:rPr>
      </w:r>
      <w:r w:rsidR="00833731">
        <w:rPr>
          <w:noProof/>
        </w:rPr>
        <w:pict>
          <v:rect id="_x0000_i1052" alt="" style="width:415.3pt;height:.05pt;mso-width-percent:0;mso-height-percent:0;mso-width-percent:0;mso-height-percent:0" o:hralign="center" o:hrstd="t" o:hr="t"/>
        </w:pict>
      </w:r>
    </w:p>
    <w:p w:rsidR="005E674B" w:rsidRDefault="00833731">
      <w:pPr>
        <w:pStyle w:val="FirstParagraph"/>
      </w:pPr>
      <w:r>
        <w:rPr>
          <w:rFonts w:hint="eastAsia"/>
        </w:rPr>
        <w:t>比例原則的審查，主要包括以下幾個面向：</w:t>
      </w:r>
    </w:p>
    <w:p w:rsidR="005E674B" w:rsidRDefault="00833731">
      <w:pPr>
        <w:pStyle w:val="Compact"/>
        <w:numPr>
          <w:ilvl w:val="0"/>
          <w:numId w:val="58"/>
        </w:numPr>
      </w:pPr>
      <w:r>
        <w:rPr>
          <w:rFonts w:hint="eastAsia"/>
        </w:rPr>
        <w:t>目的正當性：國家為什麼要干預？干預的目的是否正當？</w:t>
      </w:r>
    </w:p>
    <w:p w:rsidR="005E674B" w:rsidRDefault="00833731">
      <w:pPr>
        <w:pStyle w:val="Compact"/>
        <w:numPr>
          <w:ilvl w:val="0"/>
          <w:numId w:val="58"/>
        </w:numPr>
      </w:pPr>
      <w:r>
        <w:rPr>
          <w:rFonts w:hint="eastAsia"/>
        </w:rPr>
        <w:t>手段適當性：干預的手段是什麼？手段是否適合達成目的？</w:t>
      </w:r>
    </w:p>
    <w:p w:rsidR="005E674B" w:rsidRDefault="00833731">
      <w:pPr>
        <w:pStyle w:val="Compact"/>
        <w:numPr>
          <w:ilvl w:val="0"/>
          <w:numId w:val="58"/>
        </w:numPr>
      </w:pPr>
      <w:r>
        <w:rPr>
          <w:rFonts w:hint="eastAsia"/>
        </w:rPr>
        <w:t>必要性：手段是否為「最小侵害」？是否有其他侵害更小但效果相當的手段？</w:t>
      </w:r>
    </w:p>
    <w:p w:rsidR="005E674B" w:rsidRDefault="00833731">
      <w:pPr>
        <w:pStyle w:val="Compact"/>
        <w:numPr>
          <w:ilvl w:val="0"/>
          <w:numId w:val="58"/>
        </w:numPr>
      </w:pPr>
      <w:r>
        <w:rPr>
          <w:rFonts w:hint="eastAsia"/>
        </w:rPr>
        <w:t>狹義比例性（衡平性）：手段與目的之間的權衡——干預手段是否造成了對基本權的不相當侵害？</w:t>
      </w:r>
    </w:p>
    <w:p w:rsidR="005E674B" w:rsidRDefault="00833731">
      <w:pPr>
        <w:pStyle w:val="FirstParagraph"/>
      </w:pPr>
      <w:r>
        <w:rPr>
          <w:rFonts w:hint="eastAsia"/>
        </w:rPr>
        <w:t>在德國憲法學的體系裡，除非是特別的稅法或公課法問題，大部分的自由權審查，基本上都是以比例原則作為規範憲法審查到的核心標準。</w:t>
      </w:r>
    </w:p>
    <w:p w:rsidR="005E674B" w:rsidRDefault="00833731">
      <w:pPr>
        <w:pStyle w:val="3"/>
      </w:pPr>
      <w:bookmarkStart w:id="64" w:name="自由權審查與平等權審查的三階段對照"/>
      <w:bookmarkStart w:id="65" w:name="_Toc211785283"/>
      <w:bookmarkEnd w:id="62"/>
      <w:bookmarkEnd w:id="56"/>
      <w:r>
        <w:rPr>
          <w:rFonts w:hint="eastAsia"/>
        </w:rPr>
        <w:t>「自由權審查」與「平等權審查」的三階段對照</w:t>
      </w:r>
      <w:bookmarkEnd w:id="65"/>
    </w:p>
    <w:p w:rsidR="005E674B" w:rsidRDefault="00833731">
      <w:pPr>
        <w:pStyle w:val="FirstParagraph"/>
      </w:pPr>
      <w:r>
        <w:rPr>
          <w:rFonts w:hint="eastAsia"/>
        </w:rPr>
        <w:t>自由權審查的的這三個階段，正如同前面講的平等權審查一樣，都是三階段的結構。</w:t>
      </w:r>
      <w:r>
        <w:br/>
      </w:r>
      <w:r>
        <w:rPr>
          <w:rFonts w:hint="eastAsia"/>
        </w:rPr>
        <w:t>如果以平等權來比照，自由權的第一階就是確認保護領域；第二階確認國家干預行為；第三階是實質審查——平等權用平等原則，自由權則用比例原則。</w:t>
      </w:r>
    </w:p>
    <w:tbl>
      <w:tblPr>
        <w:tblStyle w:val="Table"/>
        <w:tblW w:w="5000" w:type="pct"/>
        <w:tblLayout w:type="fixed"/>
        <w:tblLook w:val="0020" w:firstRow="1" w:lastRow="0" w:firstColumn="0" w:lastColumn="0" w:noHBand="0" w:noVBand="0"/>
      </w:tblPr>
      <w:tblGrid>
        <w:gridCol w:w="3320"/>
        <w:gridCol w:w="2768"/>
        <w:gridCol w:w="2768"/>
      </w:tblGrid>
      <w:tr w:rsidR="005E674B" w:rsidTr="005E674B">
        <w:trPr>
          <w:cnfStyle w:val="100000000000" w:firstRow="1" w:lastRow="0" w:firstColumn="0" w:lastColumn="0" w:oddVBand="0" w:evenVBand="0" w:oddHBand="0" w:evenHBand="0" w:firstRowFirstColumn="0" w:firstRowLastColumn="0" w:lastRowFirstColumn="0" w:lastRowLastColumn="0"/>
          <w:tblHeader/>
        </w:trPr>
        <w:tc>
          <w:tcPr>
            <w:tcW w:w="2970" w:type="dxa"/>
          </w:tcPr>
          <w:p w:rsidR="005E674B" w:rsidRDefault="00833731">
            <w:pPr>
              <w:pStyle w:val="Compact"/>
            </w:pPr>
            <w:r>
              <w:rPr>
                <w:rFonts w:hint="eastAsia"/>
              </w:rPr>
              <w:t>審查階段</w:t>
            </w:r>
          </w:p>
        </w:tc>
        <w:tc>
          <w:tcPr>
            <w:tcW w:w="2475" w:type="dxa"/>
          </w:tcPr>
          <w:p w:rsidR="005E674B" w:rsidRDefault="00833731">
            <w:pPr>
              <w:pStyle w:val="Compact"/>
            </w:pPr>
            <w:r>
              <w:rPr>
                <w:rFonts w:hint="eastAsia"/>
              </w:rPr>
              <w:t>平等權</w:t>
            </w:r>
          </w:p>
        </w:tc>
        <w:tc>
          <w:tcPr>
            <w:tcW w:w="2475" w:type="dxa"/>
          </w:tcPr>
          <w:p w:rsidR="005E674B" w:rsidRDefault="00833731">
            <w:pPr>
              <w:pStyle w:val="Compact"/>
            </w:pPr>
            <w:r>
              <w:rPr>
                <w:rFonts w:hint="eastAsia"/>
              </w:rPr>
              <w:t>自由權</w:t>
            </w:r>
          </w:p>
        </w:tc>
      </w:tr>
      <w:tr w:rsidR="005E674B">
        <w:tc>
          <w:tcPr>
            <w:tcW w:w="2970" w:type="dxa"/>
          </w:tcPr>
          <w:p w:rsidR="005E674B" w:rsidRDefault="00833731">
            <w:pPr>
              <w:pStyle w:val="Compact"/>
            </w:pPr>
            <w:r>
              <w:rPr>
                <w:rFonts w:hint="eastAsia"/>
              </w:rPr>
              <w:t>第一階</w:t>
            </w:r>
          </w:p>
        </w:tc>
        <w:tc>
          <w:tcPr>
            <w:tcW w:w="2475" w:type="dxa"/>
          </w:tcPr>
          <w:p w:rsidR="005E674B" w:rsidRDefault="00833731">
            <w:pPr>
              <w:pStyle w:val="Compact"/>
            </w:pPr>
            <w:r>
              <w:rPr>
                <w:rFonts w:hint="eastAsia"/>
              </w:rPr>
              <w:t>確認可比較群體</w:t>
            </w:r>
          </w:p>
        </w:tc>
        <w:tc>
          <w:tcPr>
            <w:tcW w:w="2475" w:type="dxa"/>
          </w:tcPr>
          <w:p w:rsidR="005E674B" w:rsidRDefault="00833731">
            <w:pPr>
              <w:pStyle w:val="Compact"/>
            </w:pPr>
            <w:r>
              <w:rPr>
                <w:rFonts w:hint="eastAsia"/>
              </w:rPr>
              <w:t>確認保護的生活領域</w:t>
            </w:r>
          </w:p>
        </w:tc>
      </w:tr>
      <w:tr w:rsidR="005E674B">
        <w:tc>
          <w:tcPr>
            <w:tcW w:w="2970" w:type="dxa"/>
          </w:tcPr>
          <w:p w:rsidR="005E674B" w:rsidRDefault="00833731">
            <w:pPr>
              <w:pStyle w:val="Compact"/>
            </w:pPr>
            <w:r>
              <w:rPr>
                <w:rFonts w:hint="eastAsia"/>
              </w:rPr>
              <w:t>第二階</w:t>
            </w:r>
          </w:p>
        </w:tc>
        <w:tc>
          <w:tcPr>
            <w:tcW w:w="2475" w:type="dxa"/>
          </w:tcPr>
          <w:p w:rsidR="005E674B" w:rsidRDefault="00833731">
            <w:pPr>
              <w:pStyle w:val="Compact"/>
            </w:pPr>
            <w:r>
              <w:rPr>
                <w:rFonts w:hint="eastAsia"/>
              </w:rPr>
              <w:t>判斷差別對待的存在</w:t>
            </w:r>
          </w:p>
        </w:tc>
        <w:tc>
          <w:tcPr>
            <w:tcW w:w="2475" w:type="dxa"/>
          </w:tcPr>
          <w:p w:rsidR="005E674B" w:rsidRDefault="00833731">
            <w:pPr>
              <w:pStyle w:val="Compact"/>
            </w:pPr>
            <w:r>
              <w:rPr>
                <w:rFonts w:hint="eastAsia"/>
              </w:rPr>
              <w:t>判斷國家干預的存在</w:t>
            </w:r>
          </w:p>
        </w:tc>
      </w:tr>
      <w:tr w:rsidR="005E674B">
        <w:tc>
          <w:tcPr>
            <w:tcW w:w="2970" w:type="dxa"/>
          </w:tcPr>
          <w:p w:rsidR="005E674B" w:rsidRDefault="00833731">
            <w:pPr>
              <w:pStyle w:val="Compact"/>
            </w:pPr>
            <w:r>
              <w:rPr>
                <w:rFonts w:hint="eastAsia"/>
              </w:rPr>
              <w:t>第三階</w:t>
            </w:r>
          </w:p>
        </w:tc>
        <w:tc>
          <w:tcPr>
            <w:tcW w:w="2475" w:type="dxa"/>
          </w:tcPr>
          <w:p w:rsidR="005E674B" w:rsidRDefault="00833731">
            <w:pPr>
              <w:pStyle w:val="Compact"/>
            </w:pPr>
            <w:r>
              <w:rPr>
                <w:rFonts w:hint="eastAsia"/>
              </w:rPr>
              <w:t>審查差別對待的正當性（平等原則）</w:t>
            </w:r>
          </w:p>
        </w:tc>
        <w:tc>
          <w:tcPr>
            <w:tcW w:w="2475" w:type="dxa"/>
          </w:tcPr>
          <w:p w:rsidR="005E674B" w:rsidRDefault="00833731">
            <w:pPr>
              <w:pStyle w:val="Compact"/>
            </w:pPr>
            <w:r>
              <w:rPr>
                <w:rFonts w:hint="eastAsia"/>
              </w:rPr>
              <w:t>審查干預的合憲性（比例原則）</w:t>
            </w:r>
          </w:p>
        </w:tc>
      </w:tr>
    </w:tbl>
    <w:p w:rsidR="005E674B" w:rsidRDefault="00833731">
      <w:pPr>
        <w:pStyle w:val="3"/>
      </w:pPr>
      <w:bookmarkStart w:id="66" w:name="講了自由權再講財產權"/>
      <w:bookmarkStart w:id="67" w:name="_Toc211785284"/>
      <w:bookmarkEnd w:id="64"/>
      <w:r>
        <w:rPr>
          <w:rFonts w:hint="eastAsia"/>
        </w:rPr>
        <w:t>講了自由權再講財產權</w:t>
      </w:r>
      <w:bookmarkEnd w:id="67"/>
    </w:p>
    <w:p w:rsidR="005E674B" w:rsidRDefault="00833731">
      <w:pPr>
        <w:pStyle w:val="FirstParagraph"/>
      </w:pPr>
      <w:r>
        <w:rPr>
          <w:rFonts w:hint="eastAsia"/>
        </w:rPr>
        <w:t>談到了自由權的審查之後，接下來要進一步談財產權的保障。</w:t>
      </w:r>
      <w:r>
        <w:br/>
      </w:r>
      <w:r>
        <w:rPr>
          <w:rFonts w:hint="eastAsia"/>
        </w:rPr>
        <w:t>因為如同剛剛提過的，必須先理解自由權，才能更清楚財產權究竟在保護什麼。</w:t>
      </w:r>
    </w:p>
    <w:p w:rsidR="005E674B" w:rsidRDefault="00833731">
      <w:r>
        <w:rPr>
          <w:noProof/>
        </w:rPr>
      </w:r>
      <w:r w:rsidR="00833731">
        <w:rPr>
          <w:noProof/>
        </w:rPr>
        <w:pict>
          <v:rect id="_x0000_i1053" alt="" style="width:415.3pt;height:.05pt;mso-width-percent:0;mso-height-percent:0;mso-width-percent:0;mso-height-percent:0" o:hralign="center" o:hrstd="t" o:hr="t"/>
        </w:pict>
      </w:r>
    </w:p>
    <w:p w:rsidR="005E674B" w:rsidRDefault="00833731">
      <w:pPr>
        <w:pStyle w:val="FirstParagraph"/>
      </w:pPr>
      <w:r>
        <w:rPr>
          <w:rFonts w:hint="eastAsia"/>
        </w:rPr>
        <w:lastRenderedPageBreak/>
        <w:t>財產權的保護領域，大致可以分為三個層面：</w:t>
      </w:r>
    </w:p>
    <w:p w:rsidR="005E674B" w:rsidRDefault="00833731">
      <w:pPr>
        <w:numPr>
          <w:ilvl w:val="0"/>
          <w:numId w:val="59"/>
        </w:numPr>
      </w:pPr>
      <w:r>
        <w:rPr>
          <w:rFonts w:hint="eastAsia"/>
          <w:b/>
          <w:bCs/>
        </w:rPr>
        <w:t>財產使用處分的自由保障</w:t>
      </w:r>
      <w:r>
        <w:br/>
      </w:r>
      <w:r>
        <w:rPr>
          <w:rFonts w:hint="eastAsia"/>
        </w:rPr>
        <w:t>財產擁有者對自己財產的使用、收益、處分權限，這一部分屬於自由權的延伸。</w:t>
      </w:r>
      <w:r>
        <w:br/>
      </w:r>
      <w:r>
        <w:rPr>
          <w:rFonts w:hint="eastAsia"/>
        </w:rPr>
        <w:t>我擁有財產，就有權決定如何使用或處分它，不論是事實上的行為還是法律上的處分，這都是自由權保障的內容之一。</w:t>
      </w:r>
      <w:r>
        <w:br/>
      </w:r>
      <w:r>
        <w:rPr>
          <w:rFonts w:hint="eastAsia"/>
        </w:rPr>
        <w:t>因此，在德國基本法中，第</w:t>
      </w:r>
      <w:r>
        <w:rPr>
          <w:rFonts w:hint="eastAsia"/>
        </w:rPr>
        <w:t>4</w:t>
      </w:r>
      <w:r>
        <w:rPr>
          <w:rFonts w:hint="eastAsia"/>
        </w:rPr>
        <w:t>條到第</w:t>
      </w:r>
      <w:r>
        <w:rPr>
          <w:rFonts w:hint="eastAsia"/>
        </w:rPr>
        <w:t>13</w:t>
      </w:r>
      <w:r>
        <w:rPr>
          <w:rFonts w:hint="eastAsia"/>
        </w:rPr>
        <w:t>條主要談自由權的各種形式，而到了第</w:t>
      </w:r>
      <w:r>
        <w:rPr>
          <w:rFonts w:hint="eastAsia"/>
        </w:rPr>
        <w:t>14</w:t>
      </w:r>
      <w:r>
        <w:rPr>
          <w:rFonts w:hint="eastAsia"/>
        </w:rPr>
        <w:t>條才開始談財產權保障。</w:t>
      </w:r>
      <w:r>
        <w:br/>
      </w:r>
      <w:r>
        <w:rPr>
          <w:rFonts w:hint="eastAsia"/>
        </w:rPr>
        <w:t>但第</w:t>
      </w:r>
      <w:r>
        <w:rPr>
          <w:rFonts w:hint="eastAsia"/>
        </w:rPr>
        <w:t>14</w:t>
      </w:r>
      <w:r>
        <w:rPr>
          <w:rFonts w:hint="eastAsia"/>
        </w:rPr>
        <w:t>條中，關於財產「使用處分自由」的部分，其實與前面自由權的保障密切相關。</w:t>
      </w:r>
    </w:p>
    <w:p w:rsidR="005E674B" w:rsidRDefault="00833731">
      <w:pPr>
        <w:numPr>
          <w:ilvl w:val="0"/>
          <w:numId w:val="59"/>
        </w:numPr>
      </w:pPr>
      <w:r>
        <w:rPr>
          <w:rFonts w:hint="eastAsia"/>
          <w:b/>
          <w:bCs/>
        </w:rPr>
        <w:t>財產存續的保障</w:t>
      </w:r>
      <w:r>
        <w:br/>
      </w:r>
      <w:r>
        <w:rPr>
          <w:rFonts w:hint="eastAsia"/>
        </w:rPr>
        <w:t>這是財產權中不屬於自由權的部分。</w:t>
      </w:r>
      <w:r>
        <w:br/>
      </w:r>
      <w:r>
        <w:rPr>
          <w:rFonts w:hint="eastAsia"/>
        </w:rPr>
        <w:t>所謂「存續保障」，指的是財產作為一種權利狀態，其存在本身應受到法律保護。</w:t>
      </w:r>
      <w:r>
        <w:br/>
      </w:r>
      <w:r>
        <w:rPr>
          <w:rFonts w:hint="eastAsia"/>
        </w:rPr>
        <w:t>例如徵收。</w:t>
      </w:r>
      <w:r>
        <w:br/>
      </w:r>
      <w:r>
        <w:rPr>
          <w:rFonts w:hint="eastAsia"/>
        </w:rPr>
        <w:t>當國家對人民的財產進行徵收時，不僅干預了人民對財產的自由使用與處分，也影響了財產能否繼續存在於個人名下。</w:t>
      </w:r>
      <w:r>
        <w:br/>
      </w:r>
      <w:r>
        <w:rPr>
          <w:rFonts w:hint="eastAsia"/>
        </w:rPr>
        <w:t>因此，在德國基本法第</w:t>
      </w:r>
      <w:r>
        <w:rPr>
          <w:rFonts w:hint="eastAsia"/>
        </w:rPr>
        <w:t>14</w:t>
      </w:r>
      <w:r>
        <w:rPr>
          <w:rFonts w:hint="eastAsia"/>
        </w:rPr>
        <w:t>條第</w:t>
      </w:r>
      <w:r>
        <w:rPr>
          <w:rFonts w:hint="eastAsia"/>
        </w:rPr>
        <w:t>2</w:t>
      </w:r>
      <w:r>
        <w:rPr>
          <w:rFonts w:hint="eastAsia"/>
        </w:rPr>
        <w:t>項裡，就規定了公用徵收的原則，因為這涉及財產自由與存續保障的雙重問題。</w:t>
      </w:r>
    </w:p>
    <w:p w:rsidR="005E674B" w:rsidRDefault="00833731">
      <w:pPr>
        <w:numPr>
          <w:ilvl w:val="0"/>
          <w:numId w:val="59"/>
        </w:numPr>
      </w:pPr>
      <w:r>
        <w:rPr>
          <w:rFonts w:hint="eastAsia"/>
          <w:b/>
          <w:bCs/>
        </w:rPr>
        <w:t>財產價值的保障</w:t>
      </w:r>
      <w:r>
        <w:br/>
      </w:r>
      <w:r>
        <w:rPr>
          <w:rFonts w:hint="eastAsia"/>
        </w:rPr>
        <w:t>當國家基於公益之必要，透過徵收剝奪人民的財產時，必須給予相當於市場價格的補償。</w:t>
      </w:r>
      <w:r>
        <w:br/>
      </w:r>
      <w:r>
        <w:rPr>
          <w:rFonts w:hint="eastAsia"/>
        </w:rPr>
        <w:t>這就是所謂的「價值保障」（</w:t>
      </w:r>
      <w:r>
        <w:rPr>
          <w:rFonts w:hint="eastAsia"/>
        </w:rPr>
        <w:t>Wertgarantie</w:t>
      </w:r>
      <w:r>
        <w:rPr>
          <w:rFonts w:hint="eastAsia"/>
        </w:rPr>
        <w:t>）。</w:t>
      </w:r>
      <w:r>
        <w:br/>
      </w:r>
      <w:r>
        <w:rPr>
          <w:rFonts w:hint="eastAsia"/>
        </w:rPr>
        <w:t>它的意義在於：即使國家基於公共利益徵收私人財產，使人民無法繼續保有原有財產，也必須提供等值的金錢補償，維持財產權的經濟價值。</w:t>
      </w:r>
    </w:p>
    <w:p w:rsidR="005E674B" w:rsidRDefault="00833731">
      <w:r>
        <w:rPr>
          <w:noProof/>
        </w:rPr>
      </w:r>
      <w:r w:rsidR="00833731">
        <w:rPr>
          <w:noProof/>
        </w:rPr>
        <w:pict>
          <v:rect id="_x0000_i1054" alt="" style="width:415.3pt;height:.05pt;mso-width-percent:0;mso-height-percent:0;mso-width-percent:0;mso-height-percent:0" o:hralign="center" o:hrstd="t" o:hr="t"/>
        </w:pict>
      </w:r>
    </w:p>
    <w:p w:rsidR="005E674B" w:rsidRDefault="00833731">
      <w:pPr>
        <w:pStyle w:val="FirstParagraph"/>
      </w:pPr>
      <w:r>
        <w:rPr>
          <w:rFonts w:hint="eastAsia"/>
        </w:rPr>
        <w:t>不過，「價值保障」這個概念在學理上存在相當多的爭議。</w:t>
      </w:r>
      <w:r>
        <w:br/>
      </w:r>
      <w:r>
        <w:rPr>
          <w:rFonts w:hint="eastAsia"/>
        </w:rPr>
        <w:t>尤其涉及金錢時，問題特別複雜，因為金錢本身會受通貨膨脹影響而貶值。</w:t>
      </w:r>
    </w:p>
    <w:p w:rsidR="005E674B" w:rsidRDefault="00833731">
      <w:pPr>
        <w:pStyle w:val="a3"/>
      </w:pPr>
      <w:r>
        <w:rPr>
          <w:rFonts w:hint="eastAsia"/>
        </w:rPr>
        <w:t>舉個例子，各位學長姐若對經濟有基本概念，應該知道通貨膨脹會使金錢的購買力逐漸降低。</w:t>
      </w:r>
      <w:r>
        <w:br/>
      </w:r>
      <w:r>
        <w:rPr>
          <w:rFonts w:hint="eastAsia"/>
        </w:rPr>
        <w:t>這種「金錢的實質價值變薄」的現象，是否受到憲法財產權的保護？</w:t>
      </w:r>
      <w:r>
        <w:br/>
      </w:r>
      <w:r>
        <w:rPr>
          <w:rFonts w:hint="eastAsia"/>
        </w:rPr>
        <w:t>國家是否應負責維護貨幣的價值？</w:t>
      </w:r>
      <w:r>
        <w:br/>
      </w:r>
      <w:r>
        <w:rPr>
          <w:rFonts w:hint="eastAsia"/>
        </w:rPr>
        <w:t>這些問題在各國憲法實務中都有討論。</w:t>
      </w:r>
    </w:p>
    <w:p w:rsidR="005E674B" w:rsidRDefault="00833731">
      <w:pPr>
        <w:pStyle w:val="a3"/>
      </w:pPr>
      <w:r>
        <w:rPr>
          <w:rFonts w:hint="eastAsia"/>
        </w:rPr>
        <w:t>例如：</w:t>
      </w:r>
      <w:r>
        <w:br/>
      </w:r>
      <w:r>
        <w:rPr>
          <w:rFonts w:hint="eastAsia"/>
        </w:rPr>
        <w:t>台灣在</w:t>
      </w:r>
      <w:r>
        <w:rPr>
          <w:rFonts w:hint="eastAsia"/>
        </w:rPr>
        <w:t>1945</w:t>
      </w:r>
      <w:r>
        <w:rPr>
          <w:rFonts w:hint="eastAsia"/>
        </w:rPr>
        <w:t>年之後進行「舊台幣換新台幣」的貨幣改革，比例是</w:t>
      </w:r>
      <w:r>
        <w:rPr>
          <w:rFonts w:hint="eastAsia"/>
        </w:rPr>
        <w:t>4</w:t>
      </w:r>
      <w:r>
        <w:rPr>
          <w:rFonts w:hint="eastAsia"/>
        </w:rPr>
        <w:t>萬比</w:t>
      </w:r>
      <w:r>
        <w:rPr>
          <w:rFonts w:hint="eastAsia"/>
        </w:rPr>
        <w:t>1</w:t>
      </w:r>
      <w:r>
        <w:rPr>
          <w:rFonts w:hint="eastAsia"/>
        </w:rPr>
        <w:t>；</w:t>
      </w:r>
      <w:r>
        <w:br/>
      </w:r>
      <w:r>
        <w:rPr>
          <w:rFonts w:hint="eastAsia"/>
        </w:rPr>
        <w:t>德國在</w:t>
      </w:r>
      <w:r>
        <w:rPr>
          <w:rFonts w:hint="eastAsia"/>
        </w:rPr>
        <w:t>2000</w:t>
      </w:r>
      <w:r>
        <w:rPr>
          <w:rFonts w:hint="eastAsia"/>
        </w:rPr>
        <w:t>年引入歐元時，以</w:t>
      </w:r>
      <w:r>
        <w:rPr>
          <w:rFonts w:hint="eastAsia"/>
        </w:rPr>
        <w:t>1</w:t>
      </w:r>
      <w:r>
        <w:rPr>
          <w:rFonts w:hint="eastAsia"/>
        </w:rPr>
        <w:t>歐元兌</w:t>
      </w:r>
      <w:r>
        <w:rPr>
          <w:rFonts w:hint="eastAsia"/>
        </w:rPr>
        <w:t>1.97</w:t>
      </w:r>
      <w:r>
        <w:rPr>
          <w:rFonts w:hint="eastAsia"/>
        </w:rPr>
        <w:t>德國馬克的比例換算；</w:t>
      </w:r>
      <w:r>
        <w:br/>
      </w:r>
      <w:r>
        <w:rPr>
          <w:rFonts w:hint="eastAsia"/>
        </w:rPr>
        <w:t>1989</w:t>
      </w:r>
      <w:r>
        <w:rPr>
          <w:rFonts w:hint="eastAsia"/>
        </w:rPr>
        <w:t>年兩德統一時，西德與東德之間則採取</w:t>
      </w:r>
      <w:r>
        <w:rPr>
          <w:rFonts w:hint="eastAsia"/>
        </w:rPr>
        <w:t>1</w:t>
      </w:r>
      <w:r>
        <w:rPr>
          <w:rFonts w:hint="eastAsia"/>
        </w:rPr>
        <w:t>比</w:t>
      </w:r>
      <w:r>
        <w:rPr>
          <w:rFonts w:hint="eastAsia"/>
        </w:rPr>
        <w:t>1</w:t>
      </w:r>
      <w:r>
        <w:rPr>
          <w:rFonts w:hint="eastAsia"/>
        </w:rPr>
        <w:t>或</w:t>
      </w:r>
      <w:r>
        <w:rPr>
          <w:rFonts w:hint="eastAsia"/>
        </w:rPr>
        <w:t>2</w:t>
      </w:r>
      <w:r>
        <w:rPr>
          <w:rFonts w:hint="eastAsia"/>
        </w:rPr>
        <w:t>比</w:t>
      </w:r>
      <w:r>
        <w:rPr>
          <w:rFonts w:hint="eastAsia"/>
        </w:rPr>
        <w:t>1</w:t>
      </w:r>
      <w:r>
        <w:rPr>
          <w:rFonts w:hint="eastAsia"/>
        </w:rPr>
        <w:t>的匯率兌換政策——</w:t>
      </w:r>
      <w:r>
        <w:br/>
      </w:r>
      <w:r>
        <w:rPr>
          <w:rFonts w:hint="eastAsia"/>
        </w:rPr>
        <w:t>也就是兩個東德馬克可換一個西德馬克。</w:t>
      </w:r>
    </w:p>
    <w:p w:rsidR="005E674B" w:rsidRDefault="00833731">
      <w:pPr>
        <w:pStyle w:val="a3"/>
      </w:pPr>
      <w:r>
        <w:rPr>
          <w:rFonts w:hint="eastAsia"/>
        </w:rPr>
        <w:t>這種政治上為了統一或穩定的貨幣政策，對原本西德人民而言，等於稀釋了自己財產的價值。</w:t>
      </w:r>
      <w:r>
        <w:br/>
      </w:r>
      <w:r>
        <w:rPr>
          <w:rFonts w:hint="eastAsia"/>
        </w:rPr>
        <w:t>有人因此提起憲法訴訟，主張自己的財產價值被侵害。</w:t>
      </w:r>
      <w:r>
        <w:br/>
      </w:r>
      <w:r>
        <w:rPr>
          <w:rFonts w:hint="eastAsia"/>
        </w:rPr>
        <w:t>德國聯邦憲法法院最後的結論是：「這種貨幣價值損失不在財產權保障的範圍內。」</w:t>
      </w:r>
      <w:r>
        <w:br/>
      </w:r>
      <w:r>
        <w:rPr>
          <w:rFonts w:hint="eastAsia"/>
        </w:rPr>
        <w:t>也就是說，國家的貨幣政策造成的金錢貶值，不構成違憲。</w:t>
      </w:r>
    </w:p>
    <w:p w:rsidR="005E674B" w:rsidRDefault="00833731">
      <w:pPr>
        <w:pStyle w:val="a3"/>
      </w:pPr>
      <w:r>
        <w:rPr>
          <w:rFonts w:hint="eastAsia"/>
        </w:rPr>
        <w:lastRenderedPageBreak/>
        <w:t>這就是價值保障中最具爭議的部分——</w:t>
      </w:r>
      <w:r>
        <w:rPr>
          <w:rFonts w:hint="eastAsia"/>
          <w:b/>
          <w:bCs/>
        </w:rPr>
        <w:t>金錢是否作為財產價值受到憲法保護</w:t>
      </w:r>
      <w:r>
        <w:rPr>
          <w:rFonts w:hint="eastAsia"/>
        </w:rPr>
        <w:t>？</w:t>
      </w:r>
      <w:r>
        <w:br/>
      </w:r>
      <w:r>
        <w:rPr>
          <w:rFonts w:hint="eastAsia"/>
        </w:rPr>
        <w:t>特別是當金錢的貶值來自國家政策或市場機制時，是否仍屬於憲法財產權保護的範圍？</w:t>
      </w:r>
      <w:r>
        <w:br/>
      </w:r>
      <w:r>
        <w:rPr>
          <w:rFonts w:hint="eastAsia"/>
        </w:rPr>
        <w:t>學界對此有相當多討論。</w:t>
      </w:r>
    </w:p>
    <w:p w:rsidR="005E674B" w:rsidRDefault="00833731">
      <w:r>
        <w:rPr>
          <w:noProof/>
        </w:rPr>
      </w:r>
      <w:r w:rsidR="00833731">
        <w:rPr>
          <w:noProof/>
        </w:rPr>
        <w:pict>
          <v:rect id="_x0000_i1055" alt="" style="width:415.3pt;height:.05pt;mso-width-percent:0;mso-height-percent:0;mso-width-percent:0;mso-height-percent:0" o:hralign="center" o:hrstd="t" o:hr="t"/>
        </w:pict>
      </w:r>
    </w:p>
    <w:p w:rsidR="005E674B" w:rsidRDefault="00833731">
      <w:pPr>
        <w:pStyle w:val="FirstParagraph"/>
      </w:pPr>
      <w:r>
        <w:rPr>
          <w:rFonts w:hint="eastAsia"/>
        </w:rPr>
        <w:t>為什麼要提這個？</w:t>
      </w:r>
      <w:r>
        <w:br/>
      </w:r>
      <w:r>
        <w:rPr>
          <w:rFonts w:hint="eastAsia"/>
        </w:rPr>
        <w:t>因為「稅捐」正好與金錢有密切關聯。</w:t>
      </w:r>
      <w:r>
        <w:br/>
      </w:r>
      <w:r>
        <w:rPr>
          <w:rFonts w:hint="eastAsia"/>
        </w:rPr>
        <w:t>當通貨膨脹導致金錢價值下跌時，如果立法者在設計稅制時沒有適度反映這個現象，就可能使人民的稅負被過度擴張。</w:t>
      </w:r>
    </w:p>
    <w:p w:rsidR="005E674B" w:rsidRDefault="00833731">
      <w:pPr>
        <w:pStyle w:val="a3"/>
      </w:pPr>
      <w:r>
        <w:rPr>
          <w:rFonts w:hint="eastAsia"/>
        </w:rPr>
        <w:t>例如：</w:t>
      </w:r>
      <w:r>
        <w:br/>
      </w:r>
      <w:r>
        <w:rPr>
          <w:rFonts w:hint="eastAsia"/>
        </w:rPr>
        <w:t>薪水調漲只是為了反映通貨膨脹，實質購買力並沒有增加；</w:t>
      </w:r>
      <w:r>
        <w:br/>
      </w:r>
      <w:r>
        <w:rPr>
          <w:rFonts w:hint="eastAsia"/>
        </w:rPr>
        <w:t>但因為名目所得提高，稅基也隨之增加，結果人民要繳更多稅。</w:t>
      </w:r>
      <w:r>
        <w:br/>
      </w:r>
      <w:r>
        <w:rPr>
          <w:rFonts w:hint="eastAsia"/>
        </w:rPr>
        <w:t>這樣的狀況，就會影響到「量能課稅原則」與「財產權保障」的平衡。</w:t>
      </w:r>
    </w:p>
    <w:p w:rsidR="005E674B" w:rsidRDefault="00833731">
      <w:pPr>
        <w:pStyle w:val="a3"/>
      </w:pPr>
      <w:r>
        <w:rPr>
          <w:rFonts w:hint="eastAsia"/>
        </w:rPr>
        <w:t>因此，財產權保障在涉及稅捐時，價值保障這個面向變得非常重要，也必須在憲法解釋學上嚴謹討論。</w:t>
      </w:r>
    </w:p>
    <w:p w:rsidR="005E674B" w:rsidRDefault="00833731">
      <w:r>
        <w:rPr>
          <w:noProof/>
        </w:rPr>
      </w:r>
      <w:r w:rsidR="00833731">
        <w:rPr>
          <w:noProof/>
        </w:rPr>
        <w:pict>
          <v:rect id="_x0000_i1056" alt="" style="width:415.3pt;height:.05pt;mso-width-percent:0;mso-height-percent:0;mso-width-percent:0;mso-height-percent:0" o:hralign="center" o:hrstd="t" o:hr="t"/>
        </w:pict>
      </w:r>
    </w:p>
    <w:p w:rsidR="005E674B" w:rsidRDefault="00833731">
      <w:pPr>
        <w:pStyle w:val="FirstParagraph"/>
      </w:pPr>
      <w:r>
        <w:rPr>
          <w:rFonts w:hint="eastAsia"/>
        </w:rPr>
        <w:t>簡單整理來說，</w:t>
      </w:r>
      <w:r>
        <w:rPr>
          <w:rFonts w:hint="eastAsia"/>
          <w:b/>
          <w:bCs/>
        </w:rPr>
        <w:t>財產權保障包含三個面向：</w:t>
      </w:r>
    </w:p>
    <w:p w:rsidR="005E674B" w:rsidRDefault="00833731">
      <w:pPr>
        <w:pStyle w:val="Compact"/>
        <w:numPr>
          <w:ilvl w:val="0"/>
          <w:numId w:val="60"/>
        </w:numPr>
      </w:pPr>
      <w:r>
        <w:rPr>
          <w:rFonts w:hint="eastAsia"/>
          <w:b/>
          <w:bCs/>
        </w:rPr>
        <w:t>自由權保障</w:t>
      </w:r>
      <w:r>
        <w:rPr>
          <w:rFonts w:hint="eastAsia"/>
        </w:rPr>
        <w:t>：財產的使用、收益、處分自由。</w:t>
      </w:r>
    </w:p>
    <w:p w:rsidR="005E674B" w:rsidRDefault="00833731">
      <w:pPr>
        <w:pStyle w:val="Compact"/>
        <w:numPr>
          <w:ilvl w:val="0"/>
          <w:numId w:val="60"/>
        </w:numPr>
      </w:pPr>
      <w:r>
        <w:rPr>
          <w:rFonts w:hint="eastAsia"/>
          <w:b/>
          <w:bCs/>
        </w:rPr>
        <w:t>存續保障</w:t>
      </w:r>
      <w:r>
        <w:rPr>
          <w:rFonts w:hint="eastAsia"/>
        </w:rPr>
        <w:t>：財產權利狀態本身的維持與保護。</w:t>
      </w:r>
    </w:p>
    <w:p w:rsidR="005E674B" w:rsidRDefault="00833731">
      <w:pPr>
        <w:pStyle w:val="Compact"/>
        <w:numPr>
          <w:ilvl w:val="0"/>
          <w:numId w:val="60"/>
        </w:numPr>
      </w:pPr>
      <w:r>
        <w:rPr>
          <w:rFonts w:hint="eastAsia"/>
          <w:b/>
          <w:bCs/>
        </w:rPr>
        <w:t>價值保障</w:t>
      </w:r>
      <w:r>
        <w:rPr>
          <w:rFonts w:hint="eastAsia"/>
        </w:rPr>
        <w:t>：當國家基於公共利益剝奪財產時，應給予相當價值的補償。</w:t>
      </w:r>
    </w:p>
    <w:p w:rsidR="005E674B" w:rsidRDefault="00833731">
      <w:pPr>
        <w:pStyle w:val="FirstParagraph"/>
      </w:pPr>
      <w:r>
        <w:rPr>
          <w:rFonts w:hint="eastAsia"/>
        </w:rPr>
        <w:t>前兩者在理論上爭議不大，而第三個——「價值保障」——才是憲法學與稅法學討論中最根本、最困難的問題。</w:t>
      </w:r>
      <w:r>
        <w:br/>
      </w:r>
      <w:r>
        <w:rPr>
          <w:rFonts w:hint="eastAsia"/>
        </w:rPr>
        <w:t>尤其是當稅捐涉及金錢價值時，這個面向就更加重要，也更需要被嚴謹分析與討論。</w:t>
      </w:r>
    </w:p>
    <w:p w:rsidR="005E674B" w:rsidRDefault="00833731">
      <w:pPr>
        <w:pStyle w:val="3"/>
      </w:pPr>
      <w:bookmarkStart w:id="68" w:name="繼承權與財產權的關聯"/>
      <w:bookmarkStart w:id="69" w:name="_Toc211785285"/>
      <w:bookmarkEnd w:id="66"/>
      <w:r>
        <w:rPr>
          <w:rFonts w:hint="eastAsia"/>
        </w:rPr>
        <w:t>繼承權與財產權的關聯</w:t>
      </w:r>
      <w:bookmarkEnd w:id="69"/>
    </w:p>
    <w:p w:rsidR="005E674B" w:rsidRDefault="00833731">
      <w:pPr>
        <w:pStyle w:val="FirstParagraph"/>
      </w:pPr>
      <w:r>
        <w:rPr>
          <w:rFonts w:hint="eastAsia"/>
        </w:rPr>
        <w:t>本件個案——</w:t>
      </w:r>
      <w:r>
        <w:rPr>
          <w:rFonts w:hint="eastAsia"/>
        </w:rPr>
        <w:t>113</w:t>
      </w:r>
      <w:r>
        <w:rPr>
          <w:rFonts w:hint="eastAsia"/>
        </w:rPr>
        <w:t>年憲判字第</w:t>
      </w:r>
      <w:r>
        <w:rPr>
          <w:rFonts w:hint="eastAsia"/>
        </w:rPr>
        <w:t>11</w:t>
      </w:r>
      <w:r>
        <w:rPr>
          <w:rFonts w:hint="eastAsia"/>
        </w:rPr>
        <w:t>號——還有一個地方我認為沒有講得很清楚，就是繼承權和財產權之間的關聯性。</w:t>
      </w:r>
    </w:p>
    <w:p w:rsidR="005E674B" w:rsidRDefault="00833731">
      <w:pPr>
        <w:pStyle w:val="a3"/>
      </w:pPr>
      <w:r>
        <w:rPr>
          <w:rFonts w:hint="eastAsia"/>
        </w:rPr>
        <w:t>這是我覺得本案稍微沒有完全說明清楚的部分：到底繼承權與財產權的保障之間是什麼關係？</w:t>
      </w:r>
      <w:r>
        <w:br/>
      </w:r>
      <w:r>
        <w:rPr>
          <w:rFonts w:hint="eastAsia"/>
        </w:rPr>
        <w:t>簡單來講，繼承權是一種「雙面性的保障」，牽涉到兩個基本權主體：</w:t>
      </w:r>
    </w:p>
    <w:p w:rsidR="005E674B" w:rsidRDefault="00833731">
      <w:r>
        <w:rPr>
          <w:noProof/>
        </w:rPr>
      </w:r>
      <w:r w:rsidR="00833731">
        <w:rPr>
          <w:noProof/>
        </w:rPr>
        <w:pict>
          <v:rect id="_x0000_i1057" alt="" style="width:415.3pt;height:.05pt;mso-width-percent:0;mso-height-percent:0;mso-width-percent:0;mso-height-percent:0" o:hralign="center" o:hrstd="t" o:hr="t"/>
        </w:pict>
      </w:r>
    </w:p>
    <w:p w:rsidR="005E674B" w:rsidRDefault="00833731">
      <w:pPr>
        <w:pStyle w:val="FirstParagraph"/>
      </w:pPr>
      <w:r>
        <w:rPr>
          <w:rFonts w:hint="eastAsia"/>
          <w:b/>
          <w:bCs/>
        </w:rPr>
        <w:t>第一個基本權主體：被繼承人</w:t>
      </w:r>
      <w:r>
        <w:br/>
      </w:r>
      <w:r>
        <w:rPr>
          <w:rFonts w:hint="eastAsia"/>
        </w:rPr>
        <w:t>被繼承人享有的是「財產處分權」。</w:t>
      </w:r>
      <w:r>
        <w:br/>
      </w:r>
      <w:r>
        <w:rPr>
          <w:rFonts w:hint="eastAsia"/>
        </w:rPr>
        <w:t>他可以透過遺囑的制定，對自己死亡時所留下的財產進行最後一次的處分。</w:t>
      </w:r>
      <w:r>
        <w:br/>
      </w:r>
      <w:r>
        <w:rPr>
          <w:rFonts w:hint="eastAsia"/>
        </w:rPr>
        <w:t>這個遺囑的制定，就是他作為財產所有人對自己財產行使最終處分權的表現。</w:t>
      </w:r>
      <w:r>
        <w:br/>
      </w:r>
      <w:r>
        <w:rPr>
          <w:rFonts w:hint="eastAsia"/>
        </w:rPr>
        <w:t>人死之後，當然就不再具有財產處分的能力，但在死亡之前，透過遺囑做出最後的意思表示，這就是典型的財產處分自由的體現。</w:t>
      </w:r>
    </w:p>
    <w:p w:rsidR="005E674B" w:rsidRDefault="00833731">
      <w:r>
        <w:rPr>
          <w:noProof/>
        </w:rPr>
        <w:lastRenderedPageBreak/>
      </w:r>
      <w:r w:rsidR="00833731">
        <w:rPr>
          <w:noProof/>
        </w:rPr>
        <w:pict>
          <v:rect id="_x0000_i1058" alt="" style="width:415.3pt;height:.05pt;mso-width-percent:0;mso-height-percent:0;mso-width-percent:0;mso-height-percent:0" o:hralign="center" o:hrstd="t" o:hr="t"/>
        </w:pict>
      </w:r>
    </w:p>
    <w:p w:rsidR="005E674B" w:rsidRDefault="00833731">
      <w:pPr>
        <w:pStyle w:val="FirstParagraph"/>
      </w:pPr>
      <w:r>
        <w:rPr>
          <w:rFonts w:hint="eastAsia"/>
          <w:b/>
          <w:bCs/>
        </w:rPr>
        <w:t>第二個基本權主體：繼承人</w:t>
      </w:r>
      <w:r>
        <w:br/>
      </w:r>
      <w:r>
        <w:rPr>
          <w:rFonts w:hint="eastAsia"/>
        </w:rPr>
        <w:t>根據法律的規定，繼承人享有繼承權。</w:t>
      </w:r>
      <w:r>
        <w:br/>
      </w:r>
      <w:r>
        <w:rPr>
          <w:rFonts w:hint="eastAsia"/>
        </w:rPr>
        <w:t>也就是說，被繼承人死亡時留下的財產，只要沒有透過遺囑做出另外的處分，原則上就由繼承人依法繼承。</w:t>
      </w:r>
    </w:p>
    <w:p w:rsidR="005E674B" w:rsidRDefault="00833731">
      <w:pPr>
        <w:pStyle w:val="a3"/>
      </w:pPr>
      <w:r>
        <w:rPr>
          <w:rFonts w:hint="eastAsia"/>
        </w:rPr>
        <w:t>我個人認為，我國憲法釋義學在談「繼承權保障」的時候，大多比較偏重繼承人的立場，包括這次的</w:t>
      </w:r>
      <w:r>
        <w:rPr>
          <w:rFonts w:hint="eastAsia"/>
        </w:rPr>
        <w:t>113</w:t>
      </w:r>
      <w:r>
        <w:rPr>
          <w:rFonts w:hint="eastAsia"/>
        </w:rPr>
        <w:t>年憲判字第</w:t>
      </w:r>
      <w:r>
        <w:rPr>
          <w:rFonts w:hint="eastAsia"/>
        </w:rPr>
        <w:t>11</w:t>
      </w:r>
      <w:r>
        <w:rPr>
          <w:rFonts w:hint="eastAsia"/>
        </w:rPr>
        <w:t>號判決，其實也是主要從「繼承人」的角度出發，較少討論被繼承人作為財產所有人所享有的「遺囑制定權」——也就是死亡時對財產最後一次處分的自由。</w:t>
      </w:r>
    </w:p>
    <w:p w:rsidR="005E674B" w:rsidRDefault="00833731">
      <w:pPr>
        <w:pStyle w:val="a3"/>
      </w:pPr>
      <w:r>
        <w:rPr>
          <w:rFonts w:hint="eastAsia"/>
        </w:rPr>
        <w:t>這一點我覺得稍微有一點可惜。</w:t>
      </w:r>
      <w:r>
        <w:br/>
      </w:r>
      <w:r>
        <w:rPr>
          <w:rFonts w:hint="eastAsia"/>
        </w:rPr>
        <w:t>因為只要在憲法審查的三階結構裡，在第一階段就把「本件涉及的基本權」完整列出來，其實財產權與繼承權的交錯關係是可以被充分討論的。</w:t>
      </w:r>
      <w:r>
        <w:br/>
      </w:r>
      <w:r>
        <w:rPr>
          <w:rFonts w:hint="eastAsia"/>
        </w:rPr>
        <w:t>這樣的分析也能讓學界或考試時的作答更有著力點。</w:t>
      </w:r>
      <w:r>
        <w:br/>
      </w:r>
      <w:r>
        <w:rPr>
          <w:rFonts w:hint="eastAsia"/>
        </w:rPr>
        <w:t>畢竟，憲法法庭的判決往往成為考試重點，判決寫得越完整，對學者教學與考生理解就越有幫助。</w:t>
      </w:r>
    </w:p>
    <w:p w:rsidR="005E674B" w:rsidRDefault="00833731">
      <w:r>
        <w:rPr>
          <w:noProof/>
        </w:rPr>
      </w:r>
      <w:r w:rsidR="00833731">
        <w:rPr>
          <w:noProof/>
        </w:rPr>
        <w:pict>
          <v:rect id="_x0000_i1059" alt="" style="width:415.3pt;height:.05pt;mso-width-percent:0;mso-height-percent:0;mso-width-percent:0;mso-height-percent:0" o:hralign="center" o:hrstd="t" o:hr="t"/>
        </w:pict>
      </w:r>
    </w:p>
    <w:p w:rsidR="005E674B" w:rsidRDefault="00833731">
      <w:pPr>
        <w:pStyle w:val="FirstParagraph"/>
      </w:pPr>
      <w:r>
        <w:rPr>
          <w:rFonts w:hint="eastAsia"/>
        </w:rPr>
        <w:t>進一步說明，繼承權從「繼承人」的角度來看，確實是一種「期待權」——期待被繼承人死亡時，依據法律規定可以取得應繼分的財產。</w:t>
      </w:r>
      <w:r>
        <w:br/>
      </w:r>
      <w:r>
        <w:rPr>
          <w:rFonts w:hint="eastAsia"/>
        </w:rPr>
        <w:t>這是一種基於法律所生的財產性權利。</w:t>
      </w:r>
    </w:p>
    <w:p w:rsidR="005E674B" w:rsidRDefault="00833731">
      <w:pPr>
        <w:pStyle w:val="a3"/>
      </w:pPr>
      <w:r>
        <w:rPr>
          <w:rFonts w:hint="eastAsia"/>
        </w:rPr>
        <w:t>即使被繼承人透過遺囑行使最後一次的處分權，也不能完全剝奪繼承人的繼承權。</w:t>
      </w:r>
      <w:r>
        <w:br/>
      </w:r>
      <w:r>
        <w:rPr>
          <w:rFonts w:hint="eastAsia"/>
        </w:rPr>
        <w:t>這就是「特留分」制度。</w:t>
      </w:r>
    </w:p>
    <w:p w:rsidR="005E674B" w:rsidRDefault="00833731">
      <w:r>
        <w:rPr>
          <w:noProof/>
        </w:rPr>
      </w:r>
      <w:r w:rsidR="00833731">
        <w:rPr>
          <w:noProof/>
        </w:rPr>
        <w:pict>
          <v:rect id="_x0000_i1060" alt="" style="width:415.3pt;height:.05pt;mso-width-percent:0;mso-height-percent:0;mso-width-percent:0;mso-height-percent:0" o:hralign="center" o:hrstd="t" o:hr="t"/>
        </w:pict>
      </w:r>
    </w:p>
    <w:p w:rsidR="005E674B" w:rsidRDefault="00833731">
      <w:pPr>
        <w:pStyle w:val="FirstParagraph"/>
      </w:pPr>
      <w:r>
        <w:rPr>
          <w:rFonts w:hint="eastAsia"/>
          <w:b/>
          <w:bCs/>
        </w:rPr>
        <w:t>特留分的意義</w:t>
      </w:r>
      <w:r>
        <w:br/>
      </w:r>
      <w:r>
        <w:rPr>
          <w:rFonts w:hint="eastAsia"/>
        </w:rPr>
        <w:t>特留分，是指法律為保障繼承人的基本權益，而對被繼承人的遺囑自由所設定的限制。</w:t>
      </w:r>
      <w:r>
        <w:br/>
      </w:r>
      <w:r>
        <w:rPr>
          <w:rFonts w:hint="eastAsia"/>
        </w:rPr>
        <w:t>被繼承人雖有遺囑處分權，但只能在一定範圍內減少繼承人的應繼分，不能完全剝奪。</w:t>
      </w:r>
    </w:p>
    <w:p w:rsidR="005E674B" w:rsidRDefault="00833731">
      <w:pPr>
        <w:pStyle w:val="a3"/>
      </w:pPr>
      <w:r>
        <w:rPr>
          <w:rFonts w:hint="eastAsia"/>
        </w:rPr>
        <w:t>換句話說，透過遺囑可以調整部分繼承權的內容，但不得全然排除繼承人的權利。</w:t>
      </w:r>
      <w:r>
        <w:br/>
      </w:r>
      <w:r>
        <w:rPr>
          <w:rFonts w:hint="eastAsia"/>
        </w:rPr>
        <w:t>特留分制度的存在，就是在被繼承人的遺囑自由與繼承人的繼承權之間，取得一個平衡。</w:t>
      </w:r>
    </w:p>
    <w:p w:rsidR="005E674B" w:rsidRDefault="00833731">
      <w:pPr>
        <w:pStyle w:val="a3"/>
      </w:pPr>
      <w:r>
        <w:rPr>
          <w:rFonts w:hint="eastAsia"/>
        </w:rPr>
        <w:t>我們雖然在民法中沒有明文使用「特留分權」這個名稱，但它實質上就是一種「權利」。</w:t>
      </w:r>
      <w:r>
        <w:br/>
      </w:r>
      <w:r>
        <w:rPr>
          <w:rFonts w:hint="eastAsia"/>
        </w:rPr>
        <w:t>在德文裡也使用「</w:t>
      </w:r>
      <w:r>
        <w:rPr>
          <w:rFonts w:hint="eastAsia"/>
        </w:rPr>
        <w:t>Recht</w:t>
      </w:r>
      <w:r>
        <w:rPr>
          <w:rFonts w:hint="eastAsia"/>
        </w:rPr>
        <w:t>」這個字眼來表達，明確地將其視為一種「特留分權利」。</w:t>
      </w:r>
    </w:p>
    <w:p w:rsidR="005E674B" w:rsidRDefault="00833731">
      <w:pPr>
        <w:pStyle w:val="a3"/>
      </w:pPr>
      <w:r>
        <w:rPr>
          <w:rFonts w:hint="eastAsia"/>
        </w:rPr>
        <w:t>這個特留分權利，正是折衷於被繼承人的遺囑處分權與繼承人的繼承權之間的制度安排。</w:t>
      </w:r>
      <w:r>
        <w:br/>
      </w:r>
      <w:r>
        <w:rPr>
          <w:rFonts w:hint="eastAsia"/>
        </w:rPr>
        <w:t>也就是說，無論被繼承人如何透過遺囑處分財產，都不得侵害繼承人依法應保有的特留分。</w:t>
      </w:r>
    </w:p>
    <w:p w:rsidR="005E674B" w:rsidRDefault="00833731">
      <w:r>
        <w:rPr>
          <w:noProof/>
        </w:rPr>
      </w:r>
      <w:r w:rsidR="00833731">
        <w:rPr>
          <w:noProof/>
        </w:rPr>
        <w:pict>
          <v:rect id="_x0000_i1061" alt="" style="width:415.3pt;height:.05pt;mso-width-percent:0;mso-height-percent:0;mso-width-percent:0;mso-height-percent:0" o:hralign="center" o:hrstd="t" o:hr="t"/>
        </w:pict>
      </w:r>
    </w:p>
    <w:p w:rsidR="005E674B" w:rsidRDefault="00833731">
      <w:pPr>
        <w:pStyle w:val="FirstParagraph"/>
      </w:pPr>
      <w:r>
        <w:rPr>
          <w:rFonts w:hint="eastAsia"/>
        </w:rPr>
        <w:t>當繼承人依照法律或遺囑取得繼承財產時，他就進入了另一個層次的基本權保護——這時候他的財產權已經具體化，成為他自己名下的財產。</w:t>
      </w:r>
      <w:r>
        <w:br/>
      </w:r>
      <w:r>
        <w:rPr>
          <w:rFonts w:hint="eastAsia"/>
        </w:rPr>
        <w:t>從這個時候起，繼承人作為財產所有者，受的是「財產權保障」；</w:t>
      </w:r>
      <w:r>
        <w:br/>
      </w:r>
      <w:r>
        <w:rPr>
          <w:rFonts w:hint="eastAsia"/>
        </w:rPr>
        <w:t>在繼承發生之前，他受的則是「繼承權保障」。</w:t>
      </w:r>
    </w:p>
    <w:p w:rsidR="005E674B" w:rsidRDefault="00833731">
      <w:pPr>
        <w:pStyle w:val="a3"/>
      </w:pPr>
      <w:r>
        <w:rPr>
          <w:rFonts w:hint="eastAsia"/>
        </w:rPr>
        <w:t>這樣的區分，有助於釐清在具體個案中，到底是「繼承權」受到侵害，還是「財產權」受到侵害。</w:t>
      </w:r>
    </w:p>
    <w:p w:rsidR="005E674B" w:rsidRDefault="00833731">
      <w:r>
        <w:rPr>
          <w:noProof/>
        </w:rPr>
        <w:lastRenderedPageBreak/>
      </w:r>
      <w:r w:rsidR="00833731">
        <w:rPr>
          <w:noProof/>
        </w:rPr>
        <w:pict>
          <v:rect id="_x0000_i1062" alt="" style="width:415.3pt;height:.05pt;mso-width-percent:0;mso-height-percent:0;mso-width-percent:0;mso-height-percent:0" o:hralign="center" o:hrstd="t" o:hr="t"/>
        </w:pict>
      </w:r>
    </w:p>
    <w:p w:rsidR="005E674B" w:rsidRDefault="00833731">
      <w:pPr>
        <w:pStyle w:val="FirstParagraph"/>
      </w:pPr>
      <w:r>
        <w:rPr>
          <w:rFonts w:hint="eastAsia"/>
        </w:rPr>
        <w:t>例如在本件</w:t>
      </w:r>
      <w:r>
        <w:rPr>
          <w:rFonts w:hint="eastAsia"/>
        </w:rPr>
        <w:t>113</w:t>
      </w:r>
      <w:r>
        <w:rPr>
          <w:rFonts w:hint="eastAsia"/>
        </w:rPr>
        <w:t>年憲判字第</w:t>
      </w:r>
      <w:r>
        <w:rPr>
          <w:rFonts w:hint="eastAsia"/>
        </w:rPr>
        <w:t>11</w:t>
      </w:r>
      <w:r>
        <w:rPr>
          <w:rFonts w:hint="eastAsia"/>
        </w:rPr>
        <w:t>號判決中，主文提到「其使繼承人繼承權之經濟價值嚴重減損者，於此範圍內，並侵害人民受憲法第</w:t>
      </w:r>
      <w:r>
        <w:rPr>
          <w:rFonts w:hint="eastAsia"/>
        </w:rPr>
        <w:t>15</w:t>
      </w:r>
      <w:r>
        <w:rPr>
          <w:rFonts w:hint="eastAsia"/>
        </w:rPr>
        <w:t>條保障之財產權」。</w:t>
      </w:r>
      <w:r>
        <w:br/>
      </w:r>
      <w:r>
        <w:rPr>
          <w:rFonts w:hint="eastAsia"/>
        </w:rPr>
        <w:t>這一句話，其實就引出了剛剛所說的問題：</w:t>
      </w:r>
      <w:r>
        <w:br/>
      </w:r>
      <w:r>
        <w:rPr>
          <w:rFonts w:hint="eastAsia"/>
        </w:rPr>
        <w:t>究竟是繼承權受到侵害，還是財產權受到侵害？</w:t>
      </w:r>
    </w:p>
    <w:p w:rsidR="005E674B" w:rsidRDefault="00833731">
      <w:pPr>
        <w:pStyle w:val="a3"/>
      </w:pPr>
      <w:r>
        <w:rPr>
          <w:rFonts w:hint="eastAsia"/>
        </w:rPr>
        <w:t>若從憲法的角度來看，繼承權本身具有經濟價值，但尚未轉化為具體財產；</w:t>
      </w:r>
      <w:r>
        <w:br/>
      </w:r>
      <w:r>
        <w:rPr>
          <w:rFonts w:hint="eastAsia"/>
        </w:rPr>
        <w:t>而當這個權利被行使、財產進入繼承人名下後，才成為受憲法第</w:t>
      </w:r>
      <w:r>
        <w:rPr>
          <w:rFonts w:hint="eastAsia"/>
        </w:rPr>
        <w:t>15</w:t>
      </w:r>
      <w:r>
        <w:rPr>
          <w:rFonts w:hint="eastAsia"/>
        </w:rPr>
        <w:t>條保障的財產權。</w:t>
      </w:r>
    </w:p>
    <w:p w:rsidR="005E674B" w:rsidRDefault="00833731">
      <w:pPr>
        <w:pStyle w:val="a3"/>
      </w:pPr>
      <w:r>
        <w:rPr>
          <w:rFonts w:hint="eastAsia"/>
        </w:rPr>
        <w:t>所以，必須清楚區分：</w:t>
      </w:r>
    </w:p>
    <w:p w:rsidR="005E674B" w:rsidRDefault="00833731">
      <w:pPr>
        <w:pStyle w:val="Compact"/>
        <w:numPr>
          <w:ilvl w:val="0"/>
          <w:numId w:val="61"/>
        </w:numPr>
      </w:pPr>
      <w:r>
        <w:rPr>
          <w:rFonts w:hint="eastAsia"/>
        </w:rPr>
        <w:t>繼承人繼承前的權利，是「繼承權保障」；</w:t>
      </w:r>
    </w:p>
    <w:p w:rsidR="005E674B" w:rsidRDefault="00833731">
      <w:pPr>
        <w:pStyle w:val="Compact"/>
        <w:numPr>
          <w:ilvl w:val="0"/>
          <w:numId w:val="61"/>
        </w:numPr>
      </w:pPr>
      <w:r>
        <w:rPr>
          <w:rFonts w:hint="eastAsia"/>
        </w:rPr>
        <w:t>繼承完成、取得財產之後的權利，才是「財產權保障」。</w:t>
      </w:r>
    </w:p>
    <w:p w:rsidR="005E674B" w:rsidRDefault="00833731">
      <w:pPr>
        <w:pStyle w:val="FirstParagraph"/>
      </w:pPr>
      <w:r>
        <w:rPr>
          <w:rFonts w:hint="eastAsia"/>
        </w:rPr>
        <w:t>只有這樣，才能在具體個案中明確分析，到底違憲的干預發生在哪一個層次。</w:t>
      </w:r>
      <w:r>
        <w:br/>
      </w:r>
      <w:r>
        <w:rPr>
          <w:rFonts w:hint="eastAsia"/>
        </w:rPr>
        <w:t>這樣的區分，也讓我們更清楚理解，繼承權與財產權雖然密切相關，但在憲法保障的層次上，仍然是兩個不同的概念與權利領域。</w:t>
      </w:r>
    </w:p>
    <w:p w:rsidR="005E674B" w:rsidRDefault="00833731">
      <w:pPr>
        <w:pStyle w:val="3"/>
      </w:pPr>
      <w:bookmarkStart w:id="70" w:name="稅法憲法審查"/>
      <w:bookmarkStart w:id="71" w:name="_Toc211785286"/>
      <w:bookmarkEnd w:id="68"/>
      <w:r>
        <w:rPr>
          <w:rFonts w:hint="eastAsia"/>
        </w:rPr>
        <w:t>稅法憲法審查</w:t>
      </w:r>
      <w:bookmarkEnd w:id="71"/>
    </w:p>
    <w:p w:rsidR="005E674B" w:rsidRDefault="00833731">
      <w:pPr>
        <w:pStyle w:val="4"/>
      </w:pPr>
      <w:bookmarkStart w:id="72" w:name="平等原則的優先性"/>
      <w:bookmarkStart w:id="73" w:name="_Toc211785287"/>
      <w:r>
        <w:rPr>
          <w:rFonts w:hint="eastAsia"/>
        </w:rPr>
        <w:t>平等原則的優先性</w:t>
      </w:r>
      <w:bookmarkEnd w:id="73"/>
    </w:p>
    <w:p w:rsidR="005E674B" w:rsidRDefault="00833731">
      <w:pPr>
        <w:pStyle w:val="FirstParagraph"/>
      </w:pPr>
      <w:r>
        <w:rPr>
          <w:rFonts w:hint="eastAsia"/>
        </w:rPr>
        <w:t>那我接下來先回答第一個問題：稅法規範到底是平等權的平等原則的憲法審查優先，還是自由權、財產權保護的比例原則的憲法審查優先？</w:t>
      </w:r>
    </w:p>
    <w:p w:rsidR="005E674B" w:rsidRDefault="00833731">
      <w:pPr>
        <w:pStyle w:val="a3"/>
      </w:pPr>
      <w:r>
        <w:rPr>
          <w:rFonts w:hint="eastAsia"/>
        </w:rPr>
        <w:t>簡單講，租稅因為在定義上就是金錢給付，它是以金錢為內容的給付義務。金錢是一種可被高度替代的東西——你拿出一千塊，上面有五個小朋友，它本身沒有個別性。但金錢明顯是現代社會衡量財富時最重要的計算工具。</w:t>
      </w:r>
      <w:r>
        <w:br/>
      </w:r>
      <w:r>
        <w:rPr>
          <w:rFonts w:hint="eastAsia"/>
        </w:rPr>
        <w:t>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sidR="005E674B" w:rsidRDefault="00833731">
      <w:r>
        <w:rPr>
          <w:noProof/>
        </w:rPr>
      </w:r>
      <w:r w:rsidR="00833731">
        <w:rPr>
          <w:noProof/>
        </w:rPr>
        <w:pict>
          <v:rect id="_x0000_i1063" alt="" style="width:415.3pt;height:.05pt;mso-width-percent:0;mso-height-percent:0;mso-width-percent:0;mso-height-percent:0" o:hralign="center" o:hrstd="t" o:hr="t"/>
        </w:pict>
      </w:r>
    </w:p>
    <w:p w:rsidR="005E674B" w:rsidRDefault="00833731">
      <w:pPr>
        <w:pStyle w:val="FirstParagraph"/>
      </w:pPr>
      <w:r>
        <w:rPr>
          <w:rFonts w:hint="eastAsia"/>
        </w:rPr>
        <w:t>稅法憲法審查，通常以平等權的平等原則的作為憲法審查的對象。</w:t>
      </w:r>
    </w:p>
    <w:p w:rsidR="005E674B" w:rsidRDefault="00833731">
      <w:r>
        <w:rPr>
          <w:noProof/>
        </w:rPr>
      </w:r>
      <w:r w:rsidR="00833731">
        <w:rPr>
          <w:noProof/>
        </w:rPr>
        <w:pict>
          <v:rect id="_x0000_i1064" alt="" style="width:415.3pt;height:.05pt;mso-width-percent:0;mso-height-percent:0;mso-width-percent:0;mso-height-percent:0" o:hralign="center" o:hrstd="t" o:hr="t"/>
        </w:pict>
      </w:r>
    </w:p>
    <w:p w:rsidR="005E674B" w:rsidRDefault="00833731">
      <w:pPr>
        <w:pStyle w:val="FirstParagraph"/>
      </w:pPr>
      <w:r>
        <w:rPr>
          <w:rFonts w:hint="eastAsia"/>
        </w:rPr>
        <w:t>那為什麼在實務上，卻沒有辦法以財產權或自由權、比例原則作為優先審查的對象？原因有兩個：</w:t>
      </w:r>
    </w:p>
    <w:p w:rsidR="005E674B" w:rsidRDefault="00833731">
      <w:pPr>
        <w:pStyle w:val="a3"/>
      </w:pPr>
      <w:r>
        <w:rPr>
          <w:rFonts w:hint="eastAsia"/>
        </w:rPr>
        <w:t>第一，租稅跟國家的存在具有高度連結，它沒辦法防止國家介入。只要有國家存在，它就需要租稅。換句話說，國家介入人民的金錢這件事情，已經是無法避免的。</w:t>
      </w:r>
      <w:r>
        <w:br/>
      </w:r>
      <w:r>
        <w:rPr>
          <w:rFonts w:hint="eastAsia"/>
        </w:rPr>
        <w:t>第二，比例原則能防止的只是「過度干預」。基本權審查中的比例原則通常包括兩個層面：一是是否介入，二是介入是否過度。租稅制度本身已經在「介入」的層面不可避免，那剩下要防止的就是過度干預。</w:t>
      </w:r>
      <w:r>
        <w:br/>
      </w:r>
      <w:r>
        <w:rPr>
          <w:rFonts w:hint="eastAsia"/>
        </w:rPr>
        <w:t>當課稅過度干預時，就會形成所謂的「絞殺稅」。也就是國家透過課稅的方式，把一個人的全部經</w:t>
      </w:r>
      <w:r>
        <w:rPr>
          <w:rFonts w:hint="eastAsia"/>
        </w:rPr>
        <w:lastRenderedPageBreak/>
        <w:t>濟活動成果，用徵稅的方式全面剝奪。這樣的情況就構成了絞殺稅禁止原則，這是比例原則衍生出的「過當禁止」（</w:t>
      </w:r>
      <w:r>
        <w:rPr>
          <w:rFonts w:hint="eastAsia"/>
        </w:rPr>
        <w:t>Übermaßverbot</w:t>
      </w:r>
      <w:r>
        <w:rPr>
          <w:rFonts w:hint="eastAsia"/>
        </w:rPr>
        <w:t>）所保護的範圍。</w:t>
      </w:r>
    </w:p>
    <w:p w:rsidR="005E674B" w:rsidRDefault="00833731">
      <w:pPr>
        <w:pStyle w:val="a3"/>
      </w:pPr>
      <w:r>
        <w:rPr>
          <w:rFonts w:hint="eastAsia"/>
        </w:rPr>
        <w:t>也就是說，國家不能透過課稅的方式，把人民所享有的財產權或繼承權全面性干預、全面性徵收。</w:t>
      </w:r>
    </w:p>
    <w:p w:rsidR="005E674B" w:rsidRDefault="00833731">
      <w:pPr>
        <w:pStyle w:val="a3"/>
      </w:pPr>
      <w:r>
        <w:rPr>
          <w:rFonts w:hint="eastAsia"/>
        </w:rPr>
        <w:t>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rPr>
          <w:rFonts w:hint="eastAsia"/>
        </w:rPr>
        <w:t>也就是說，國家透過課稅的方式，把原本繼承來的四千萬元繼承權全部徵收掉。各位就會明白，為什麼在那個個案中會講「絞殺」的問題——因為遺產稅加計「視為遺產」的範圍之後，導致那個繼承人，原本繼承來的遺產全部被徵收完了。</w:t>
      </w:r>
    </w:p>
    <w:p w:rsidR="005E674B" w:rsidRDefault="00833731">
      <w:pPr>
        <w:pStyle w:val="a3"/>
      </w:pPr>
      <w:r>
        <w:rPr>
          <w:rFonts w:hint="eastAsia"/>
        </w:rPr>
        <w:t>他當然沒有損失他自己固有的財產，但他從父親那裡繼承來的那四千萬元，因為課稅規定被併入配偶受贈財產後的課稅總額，結果整個被「絞殺」掉了——這就是全面性的徵收。</w:t>
      </w:r>
      <w:r>
        <w:br/>
      </w:r>
      <w:r>
        <w:rPr>
          <w:rFonts w:hint="eastAsia"/>
        </w:rPr>
        <w:t>所以這個個案是非常罕見的例子。如果繼承的遺產金額沒有高過遺產稅額，就不會發生這種情形。這也是我們目前在實務上面臨的問題。</w:t>
      </w:r>
    </w:p>
    <w:p w:rsidR="005E674B" w:rsidRDefault="00833731">
      <w:pPr>
        <w:pStyle w:val="a3"/>
      </w:pPr>
      <w:r>
        <w:rPr>
          <w:rFonts w:hint="eastAsia"/>
        </w:rPr>
        <w:t>一般而言，國家的課稅不會把人民的經濟活動成果全部徵走。舉例來說，沒有一個國家的所得稅率會是百分之百，所以一般情況不會構成「絞殺稅」。</w:t>
      </w:r>
      <w:r>
        <w:br/>
      </w:r>
      <w:r>
        <w:rPr>
          <w:rFonts w:hint="eastAsia"/>
        </w:rPr>
        <w:t>即便稅率再高，只要未達到「全面絞殺」的程度，就不違反比例原則。因此，比例原則在稅法審查中的適用空間相當有限。</w:t>
      </w:r>
    </w:p>
    <w:p w:rsidR="005E674B" w:rsidRDefault="00833731">
      <w:pPr>
        <w:pStyle w:val="a3"/>
      </w:pPr>
      <w:r>
        <w:rPr>
          <w:rFonts w:hint="eastAsia"/>
        </w:rPr>
        <w:t>有人會提到德國的「半數原則」（</w:t>
      </w:r>
      <w:r>
        <w:rPr>
          <w:rFonts w:hint="eastAsia"/>
        </w:rPr>
        <w:t>Halbteilungsgrundsatz</w:t>
      </w:r>
      <w:r>
        <w:rPr>
          <w:rFonts w:hint="eastAsia"/>
        </w:rPr>
        <w:t>）。這個原則最早見於德國聯邦憲法法院</w:t>
      </w:r>
      <w:r>
        <w:rPr>
          <w:rFonts w:hint="eastAsia"/>
        </w:rPr>
        <w:t>1995</w:t>
      </w:r>
      <w:r>
        <w:rPr>
          <w:rFonts w:hint="eastAsia"/>
        </w:rPr>
        <w:t>年的遺產稅判決，提到課稅不應超過人民所得的一半。然而這個原則在</w:t>
      </w:r>
      <w:r>
        <w:rPr>
          <w:rFonts w:hint="eastAsia"/>
        </w:rPr>
        <w:t>2006</w:t>
      </w:r>
      <w:r>
        <w:rPr>
          <w:rFonts w:hint="eastAsia"/>
        </w:rPr>
        <w:t>年時，德國聯邦憲法法院第二庭已經不再採用。</w:t>
      </w:r>
      <w:r>
        <w:br/>
      </w:r>
      <w:r>
        <w:rPr>
          <w:rFonts w:hint="eastAsia"/>
        </w:rPr>
        <w:t>所以你可以這樣理解：除非是全面性的絞殺構成過當禁止，否則連「半數原則」都不構成一個具體的憲法原則。</w:t>
      </w:r>
      <w:r>
        <w:br/>
      </w:r>
      <w:r>
        <w:rPr>
          <w:rFonts w:hint="eastAsia"/>
        </w:rPr>
        <w:t>換言之，比例原則難以清楚界定國家課稅干預到什麼程度才算過當，因此稅法憲法審查往往轉向另一個更具體的核心問題——「稅負是否平等」。</w:t>
      </w:r>
    </w:p>
    <w:p w:rsidR="005E674B" w:rsidRDefault="00833731">
      <w:r>
        <w:rPr>
          <w:noProof/>
        </w:rPr>
      </w:r>
      <w:r w:rsidR="00833731">
        <w:rPr>
          <w:noProof/>
        </w:rPr>
        <w:pict>
          <v:rect id="_x0000_i1065" alt="" style="width:415.3pt;height:.05pt;mso-width-percent:0;mso-height-percent:0;mso-width-percent:0;mso-height-percent:0" o:hralign="center" o:hrstd="t" o:hr="t"/>
        </w:pict>
      </w:r>
    </w:p>
    <w:p w:rsidR="005E674B" w:rsidRDefault="00833731">
      <w:pPr>
        <w:pStyle w:val="FirstParagraph"/>
      </w:pPr>
      <w:r>
        <w:rPr>
          <w:rFonts w:hint="eastAsia"/>
        </w:rPr>
        <w:t>人民關心的倒還往不是「我有沒有被全面絞殺」，而是「稅負是否平等」。</w:t>
      </w:r>
      <w:r>
        <w:br/>
      </w:r>
      <w:r>
        <w:rPr>
          <w:rFonts w:hint="eastAsia"/>
        </w:rPr>
        <w:t>例如，同樣賺一百萬元，為什麼甲與乙繳的稅不一樣？這就是「稅捐負擔是否平等」的問題。</w:t>
      </w:r>
      <w:r>
        <w:br/>
      </w:r>
      <w:r>
        <w:rPr>
          <w:rFonts w:hint="eastAsia"/>
        </w:rPr>
        <w:t>因此，稅法憲法審查逐漸以「平等原則」作為核心的判斷標準。</w:t>
      </w:r>
      <w:r>
        <w:br/>
      </w:r>
      <w:r>
        <w:rPr>
          <w:rFonts w:hint="eastAsia"/>
        </w:rPr>
        <w:t>在這樣的脈絡下，平等權的被侵害，以平等原則作為憲法審查標準，成為了主要依據。</w:t>
      </w:r>
    </w:p>
    <w:p w:rsidR="005E674B" w:rsidRDefault="00833731">
      <w:pPr>
        <w:pStyle w:val="a3"/>
      </w:pPr>
      <w:r>
        <w:rPr>
          <w:rFonts w:hint="eastAsia"/>
        </w:rPr>
        <w:t>這也是我國在憲法審查上，特別是面對稅捐問題時，基本上不再用比例原則，而是用平等原則的主要原因。</w:t>
      </w:r>
    </w:p>
    <w:p w:rsidR="005E674B" w:rsidRDefault="00833731">
      <w:pPr>
        <w:pStyle w:val="a3"/>
      </w:pPr>
      <w:r>
        <w:rPr>
          <w:rFonts w:hint="eastAsia"/>
        </w:rPr>
        <w:t>不過，我國釋憲實務上，德國的平等原則概念基本上被掏空了，不太常用。</w:t>
      </w:r>
    </w:p>
    <w:p w:rsidR="005E674B" w:rsidRDefault="00833731">
      <w:pPr>
        <w:pStyle w:val="a3"/>
      </w:pPr>
      <w:r>
        <w:rPr>
          <w:rFonts w:hint="eastAsia"/>
        </w:rPr>
        <w:t>我國釋憲實務上所談到平等原則的保障，主要是用美式的「三重審查密度」模式，也就是合理關聯性、實質關聯性、或嚴格關聯性這三種審查標準。</w:t>
      </w:r>
    </w:p>
    <w:p w:rsidR="005E674B" w:rsidRDefault="00833731">
      <w:r>
        <w:rPr>
          <w:noProof/>
        </w:rPr>
      </w:r>
      <w:r w:rsidR="00833731">
        <w:rPr>
          <w:noProof/>
        </w:rPr>
        <w:pict>
          <v:rect id="_x0000_i1066" alt="" style="width:415.3pt;height:.05pt;mso-width-percent:0;mso-height-percent:0;mso-width-percent:0;mso-height-percent:0" o:hralign="center" o:hrstd="t" o:hr="t"/>
        </w:pict>
      </w:r>
    </w:p>
    <w:p w:rsidR="005E674B" w:rsidRDefault="00833731">
      <w:bookmarkStart w:id="74" w:name="本案從美式平等原則轉入德國式的量能課稅原則"/>
      <w:bookmarkEnd w:id="72"/>
      <w:bookmarkEnd w:id="70"/>
      <w:bookmarkEnd w:id="34"/>
      <w:r>
        <w:br w:type="page"/>
      </w:r>
    </w:p>
    <w:p w:rsidR="005E674B" w:rsidRDefault="00833731">
      <w:pPr>
        <w:pStyle w:val="2"/>
      </w:pPr>
      <w:bookmarkStart w:id="75" w:name="_Toc211785288"/>
      <w:r>
        <w:rPr>
          <w:rFonts w:hint="eastAsia"/>
        </w:rPr>
        <w:lastRenderedPageBreak/>
        <w:t>本案：從美式平等原則轉入德國式的量能課稅原則</w:t>
      </w:r>
      <w:bookmarkEnd w:id="75"/>
    </w:p>
    <w:p w:rsidR="005E674B" w:rsidRDefault="00833731">
      <w:pPr>
        <w:pStyle w:val="FirstParagraph"/>
      </w:pPr>
      <w:r>
        <w:rPr>
          <w:rFonts w:hint="eastAsia"/>
        </w:rPr>
        <w:t>這一次的憲法法庭判決（</w:t>
      </w:r>
      <w:r>
        <w:rPr>
          <w:rFonts w:hint="eastAsia"/>
        </w:rPr>
        <w:t>113</w:t>
      </w:r>
      <w:r>
        <w:rPr>
          <w:rFonts w:hint="eastAsia"/>
        </w:rPr>
        <w:t>年憲判字第</w:t>
      </w:r>
      <w:r>
        <w:rPr>
          <w:rFonts w:hint="eastAsia"/>
        </w:rPr>
        <w:t>11</w:t>
      </w:r>
      <w:r>
        <w:rPr>
          <w:rFonts w:hint="eastAsia"/>
        </w:rPr>
        <w:t>號）是一個非常巧妙的轉換。</w:t>
      </w:r>
      <w:r>
        <w:br/>
      </w:r>
      <w:r>
        <w:rPr>
          <w:rFonts w:hint="eastAsia"/>
        </w:rPr>
        <w:t>它先在段碼</w:t>
      </w:r>
      <w:r>
        <w:rPr>
          <w:rFonts w:hint="eastAsia"/>
        </w:rPr>
        <w:t>31</w:t>
      </w:r>
      <w:r>
        <w:rPr>
          <w:rFonts w:hint="eastAsia"/>
        </w:rPr>
        <w:t>以一般平鋪直敘的美式平等原則做開場，接著在段碼</w:t>
      </w:r>
      <w:r>
        <w:rPr>
          <w:rFonts w:hint="eastAsia"/>
        </w:rPr>
        <w:t>32</w:t>
      </w:r>
      <w:r>
        <w:rPr>
          <w:rFonts w:hint="eastAsia"/>
        </w:rPr>
        <w:t>直接轉入德國式的「量能課稅原則」審查。</w:t>
      </w:r>
      <w:r>
        <w:br/>
      </w:r>
      <w:r>
        <w:rPr>
          <w:rFonts w:hint="eastAsia"/>
        </w:rPr>
        <w:t>我個人認為，這是本案最有趣的地方：它從美式平等原則的敘述，順勢轉入量能課稅原則的架構。</w:t>
      </w:r>
    </w:p>
    <w:p w:rsidR="005E674B" w:rsidRDefault="00833731">
      <w:pPr>
        <w:pStyle w:val="a3"/>
      </w:pPr>
      <w:r>
        <w:rPr>
          <w:rFonts w:hint="eastAsia"/>
        </w:rPr>
        <w:t>在稅法領域中，量能課稅原則就是衡量標準的審查模式。</w:t>
      </w:r>
      <w:r>
        <w:br/>
      </w:r>
      <w:r>
        <w:rPr>
          <w:rFonts w:hint="eastAsia"/>
        </w:rPr>
        <w:t>所得稅的課徵是基於「有所得即有繳稅能力」，營業稅則是以「有消費能力」為基礎，只是透過間接稅的方式由營業人負擔。</w:t>
      </w:r>
      <w:r>
        <w:br/>
      </w:r>
      <w:r>
        <w:rPr>
          <w:rFonts w:hint="eastAsia"/>
        </w:rPr>
        <w:t>因此，量能課稅原則是整個租稅制度的基礎：你有能力，就要繳稅；要例外脫離這個原則，必須具備合理關聯性或正當理由。</w:t>
      </w:r>
    </w:p>
    <w:p w:rsidR="005E674B" w:rsidRDefault="00833731">
      <w:pPr>
        <w:pStyle w:val="a3"/>
      </w:pPr>
      <w:r>
        <w:rPr>
          <w:rFonts w:hint="eastAsia"/>
        </w:rPr>
        <w:t>這一號憲法法庭判決的創新之處在於，它讓「平等原則」與「量能課稅原則」在稅法審查中合而為一。</w:t>
      </w:r>
      <w:r>
        <w:br/>
      </w:r>
      <w:r>
        <w:rPr>
          <w:rFonts w:hint="eastAsia"/>
        </w:rPr>
        <w:t>過去我們談平等原則，幾乎都是美式的審查結構，很少看到量能課稅原則被明確引用。</w:t>
      </w:r>
      <w:r>
        <w:br/>
      </w:r>
      <w:r>
        <w:rPr>
          <w:rFonts w:hint="eastAsia"/>
        </w:rPr>
        <w:t>我這裡特別指出，量能課稅原則在我國過去最明確的出現，大概是釋字第</w:t>
      </w:r>
      <w:r>
        <w:rPr>
          <w:rFonts w:hint="eastAsia"/>
        </w:rPr>
        <w:t>745</w:t>
      </w:r>
      <w:r>
        <w:rPr>
          <w:rFonts w:hint="eastAsia"/>
        </w:rPr>
        <w:t>號解釋。但自那之後，我們的憲法法庭很長一段時間都沒有再談這個概念，這其實是相當可惜的。</w:t>
      </w:r>
    </w:p>
    <w:p w:rsidR="005E674B" w:rsidRDefault="00833731">
      <w:pPr>
        <w:pStyle w:val="a3"/>
      </w:pPr>
      <w:r>
        <w:rPr>
          <w:rFonts w:hint="eastAsia"/>
        </w:rPr>
        <w:t>一直到</w:t>
      </w:r>
      <w:r>
        <w:rPr>
          <w:rFonts w:hint="eastAsia"/>
        </w:rPr>
        <w:t>113</w:t>
      </w:r>
      <w:r>
        <w:rPr>
          <w:rFonts w:hint="eastAsia"/>
        </w:rPr>
        <w:t>年憲判字第</w:t>
      </w:r>
      <w:r>
        <w:rPr>
          <w:rFonts w:hint="eastAsia"/>
        </w:rPr>
        <w:t>11</w:t>
      </w:r>
      <w:r>
        <w:rPr>
          <w:rFonts w:hint="eastAsia"/>
        </w:rPr>
        <w:t>號，量能課稅原則才又被重新提出。</w:t>
      </w:r>
      <w:r>
        <w:br/>
      </w:r>
      <w:r>
        <w:rPr>
          <w:rFonts w:hint="eastAsia"/>
        </w:rPr>
        <w:t>相較於憲法法庭的保守取向，最高行政法院的實務判決其實更常運用量能課稅原則。</w:t>
      </w:r>
      <w:r>
        <w:br/>
      </w:r>
      <w:r>
        <w:rPr>
          <w:rFonts w:hint="eastAsia"/>
        </w:rPr>
        <w:t>我很佩服最高行政法院的學長姐們，他們在處理稅務案件時，常引用這個原則作為審查基準，這當然與深受德國稅法學的影響有關。</w:t>
      </w:r>
    </w:p>
    <w:p w:rsidR="005E674B" w:rsidRDefault="00833731">
      <w:pPr>
        <w:pStyle w:val="a3"/>
      </w:pPr>
      <w:r>
        <w:rPr>
          <w:rFonts w:hint="eastAsia"/>
        </w:rPr>
        <w:t>不過，如果我們排除大法官的個別協同或不同意見書，在憲法法庭判決的主文與理由部分，實際上真正提到量能課稅原則的案例是非常少的。</w:t>
      </w:r>
      <w:r>
        <w:br/>
      </w:r>
      <w:r>
        <w:rPr>
          <w:rFonts w:hint="eastAsia"/>
        </w:rPr>
        <w:t>113</w:t>
      </w:r>
      <w:r>
        <w:rPr>
          <w:rFonts w:hint="eastAsia"/>
        </w:rPr>
        <w:t>年憲判字第</w:t>
      </w:r>
      <w:r>
        <w:rPr>
          <w:rFonts w:hint="eastAsia"/>
        </w:rPr>
        <w:t>11</w:t>
      </w:r>
      <w:r>
        <w:rPr>
          <w:rFonts w:hint="eastAsia"/>
        </w:rPr>
        <w:t>號，無疑是近年來重新把這個原則明確帶回到憲法審查架構中的一個重要里程碑。</w:t>
      </w:r>
    </w:p>
    <w:p w:rsidR="005E674B" w:rsidRDefault="00833731">
      <w:pPr>
        <w:pStyle w:val="3"/>
      </w:pPr>
      <w:bookmarkStart w:id="76" w:name="本案量能課稅的適用主文一的啟示"/>
      <w:bookmarkStart w:id="77" w:name="_Toc211785289"/>
      <w:r>
        <w:rPr>
          <w:rFonts w:hint="eastAsia"/>
        </w:rPr>
        <w:t>本案量能課稅的適用：主文一的啟示</w:t>
      </w:r>
      <w:bookmarkEnd w:id="77"/>
    </w:p>
    <w:p w:rsidR="005E674B" w:rsidRDefault="00833731">
      <w:pPr>
        <w:pStyle w:val="FirstParagraph"/>
      </w:pPr>
      <w:r>
        <w:rPr>
          <w:rFonts w:hint="eastAsia"/>
        </w:rPr>
        <w:t>113</w:t>
      </w:r>
      <w:r>
        <w:rPr>
          <w:rFonts w:hint="eastAsia"/>
        </w:rPr>
        <w:t>年憲判字第</w:t>
      </w:r>
      <w:r>
        <w:rPr>
          <w:rFonts w:hint="eastAsia"/>
        </w:rPr>
        <w:t>11</w:t>
      </w:r>
      <w:r>
        <w:rPr>
          <w:rFonts w:hint="eastAsia"/>
        </w:rPr>
        <w:t>號判決，如果從量能課稅原則的角度來看，其核心概念非常簡單：</w:t>
      </w:r>
      <w:r>
        <w:rPr>
          <w:rFonts w:hint="eastAsia"/>
          <w:b/>
          <w:bCs/>
        </w:rPr>
        <w:t>誰拿走遺產，誰就應該負擔遺產稅。</w:t>
      </w:r>
      <w:r>
        <w:br/>
      </w:r>
      <w:r>
        <w:rPr>
          <w:rFonts w:hint="eastAsia"/>
        </w:rPr>
        <w:t>被繼承人生前贈與給配偶的財產，理論上這位配偶就應該要負擔該部分「視為遺產」所產生的遺產稅。因為量能課稅原則最基本的邏輯就是：</w:t>
      </w:r>
      <w:r>
        <w:rPr>
          <w:rFonts w:hint="eastAsia"/>
          <w:b/>
          <w:bCs/>
        </w:rPr>
        <w:t>你取得了遺產，你就有繳稅的量能。</w:t>
      </w:r>
    </w:p>
    <w:p w:rsidR="005E674B" w:rsidRDefault="00833731">
      <w:pPr>
        <w:pStyle w:val="a3"/>
      </w:pPr>
      <w:r>
        <w:rPr>
          <w:rFonts w:hint="eastAsia"/>
        </w:rPr>
        <w:t>舉例來說，小三的孩子（非婚生子女）繼承了四千多萬的遺產，他自然應該就這部分負擔遺產稅，這沒有問題。</w:t>
      </w:r>
      <w:r>
        <w:br/>
      </w:r>
      <w:r>
        <w:rPr>
          <w:rFonts w:hint="eastAsia"/>
        </w:rPr>
        <w:t>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rPr>
          <w:rFonts w:hint="eastAsia"/>
        </w:rPr>
        <w:t>因此，本案正是侵害了憲法第</w:t>
      </w:r>
      <w:r>
        <w:rPr>
          <w:rFonts w:hint="eastAsia"/>
        </w:rPr>
        <w:t>7</w:t>
      </w:r>
      <w:r>
        <w:rPr>
          <w:rFonts w:hint="eastAsia"/>
        </w:rPr>
        <w:t>條所保障的平等權，因為「量能」的概念本身就是平等原則在稅法領域的具體化。</w:t>
      </w:r>
    </w:p>
    <w:p w:rsidR="005E674B" w:rsidRDefault="00833731">
      <w:pPr>
        <w:pStyle w:val="a3"/>
      </w:pPr>
      <w:r>
        <w:rPr>
          <w:rFonts w:hint="eastAsia"/>
        </w:rPr>
        <w:t>在這裡，我們必須看到主文一的核心意思：</w:t>
      </w:r>
      <w:r>
        <w:rPr>
          <w:rFonts w:hint="eastAsia"/>
          <w:b/>
          <w:bCs/>
        </w:rPr>
        <w:t>你拿走遺產的人應該負遺產稅，但法律卻讓沒拿遺產的人去繳稅。</w:t>
      </w:r>
      <w:r>
        <w:br/>
      </w:r>
      <w:r>
        <w:rPr>
          <w:rFonts w:hint="eastAsia"/>
        </w:rPr>
        <w:lastRenderedPageBreak/>
        <w:t>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rPr>
          <w:rFonts w:hint="eastAsia"/>
        </w:rPr>
        <w:t>這孩子繼承了四千萬，卻要負擔五千萬的遺產稅，等於被全面絞殺。他失去的不是自己的固有財產，而是因繼承而取得的財產——即繼承權的經濟價值。</w:t>
      </w:r>
      <w:r>
        <w:br/>
      </w:r>
      <w:r>
        <w:rPr>
          <w:rFonts w:hint="eastAsia"/>
        </w:rPr>
        <w:t>由於我國憲法第</w:t>
      </w:r>
      <w:r>
        <w:rPr>
          <w:rFonts w:hint="eastAsia"/>
        </w:rPr>
        <w:t>15</w:t>
      </w:r>
      <w:r>
        <w:rPr>
          <w:rFonts w:hint="eastAsia"/>
        </w:rPr>
        <w:t>條僅保障「財產權」，並未像德國基本法第</w:t>
      </w:r>
      <w:r>
        <w:rPr>
          <w:rFonts w:hint="eastAsia"/>
        </w:rPr>
        <w:t>14</w:t>
      </w:r>
      <w:r>
        <w:rPr>
          <w:rFonts w:hint="eastAsia"/>
        </w:rPr>
        <w:t>條那樣將「財產權」與「繼承權」分立，因此這部分侵害仍應視為對財產權的侵害。</w:t>
      </w:r>
    </w:p>
    <w:p w:rsidR="005E674B" w:rsidRDefault="00833731">
      <w:r>
        <w:rPr>
          <w:noProof/>
        </w:rPr>
      </w:r>
      <w:r w:rsidR="00833731">
        <w:rPr>
          <w:noProof/>
        </w:rPr>
        <w:pict>
          <v:rect id="_x0000_i1067" alt="" style="width:415.3pt;height:.05pt;mso-width-percent:0;mso-height-percent:0;mso-width-percent:0;mso-height-percent:0" o:hralign="center" o:hrstd="t" o:hr="t"/>
        </w:pict>
      </w:r>
    </w:p>
    <w:p w:rsidR="005E674B" w:rsidRDefault="00833731">
      <w:pPr>
        <w:pStyle w:val="3"/>
      </w:pPr>
      <w:bookmarkStart w:id="78" w:name="主文一平等權與量能課稅"/>
      <w:bookmarkStart w:id="79" w:name="_Toc211785290"/>
      <w:bookmarkEnd w:id="76"/>
      <w:r>
        <w:rPr>
          <w:rFonts w:hint="eastAsia"/>
        </w:rPr>
        <w:t>主文一：平等權與量能課稅</w:t>
      </w:r>
      <w:bookmarkEnd w:id="79"/>
    </w:p>
    <w:p w:rsidR="005E674B" w:rsidRDefault="00833731">
      <w:pPr>
        <w:pStyle w:val="FirstParagraph"/>
      </w:pPr>
      <w:r>
        <w:rPr>
          <w:rFonts w:hint="eastAsia"/>
        </w:rPr>
        <w:t>主文一後半段進一步指出，國家讓非受益人承擔遺產稅，構成平等權侵害。</w:t>
      </w:r>
      <w:r>
        <w:br/>
      </w:r>
      <w:r>
        <w:rPr>
          <w:rFonts w:hint="eastAsia"/>
        </w:rPr>
        <w:t>以本案為例，拿走「視為遺產」財產的配偶，本應負擔相應稅負，但因拋棄繼承而不必繳稅；反而讓唯一繼承的小三之子全數負擔，導致量能課稅原則錯置。</w:t>
      </w:r>
      <w:r>
        <w:br/>
      </w:r>
      <w:r>
        <w:rPr>
          <w:rFonts w:hint="eastAsia"/>
        </w:rPr>
        <w:t>北高行在審理時也面臨此困難——想把配偶「拉回來」作為納稅義務人，但現行法律並無明文可據，這正是聲請釋憲的原因。</w:t>
      </w:r>
    </w:p>
    <w:p w:rsidR="005E674B" w:rsidRDefault="00833731">
      <w:pPr>
        <w:pStyle w:val="a3"/>
      </w:pPr>
      <w:r>
        <w:rPr>
          <w:rFonts w:hint="eastAsia"/>
        </w:rPr>
        <w:t>因此，主文一的啟示非常清楚：</w:t>
      </w:r>
      <w:r>
        <w:br/>
      </w:r>
      <w:r>
        <w:rPr>
          <w:rFonts w:hint="eastAsia"/>
          <w:b/>
          <w:bCs/>
        </w:rPr>
        <w:t>「拿走遺產的人，應該繳納相對應的遺產稅。」</w:t>
      </w:r>
      <w:r>
        <w:br/>
      </w:r>
      <w:r>
        <w:rPr>
          <w:rFonts w:hint="eastAsia"/>
        </w:rPr>
        <w:t>這是量能課稅原則最公平、最符合人性直覺的表現。</w:t>
      </w:r>
      <w:r>
        <w:br/>
      </w:r>
      <w:r>
        <w:rPr>
          <w:rFonts w:hint="eastAsia"/>
        </w:rPr>
        <w:t>如果拿走遺產的人不負稅，而讓他人代繳，顯然違背平等原則。</w:t>
      </w:r>
      <w:r>
        <w:br/>
      </w:r>
      <w:r>
        <w:rPr>
          <w:rFonts w:hint="eastAsia"/>
        </w:rPr>
        <w:t>因此，應將「生前受贈並被視為遺產」的配偶，在法律上視為繼承人之一，負擔該部分的遺產稅。</w:t>
      </w:r>
      <w:r>
        <w:br/>
      </w:r>
      <w:r>
        <w:rPr>
          <w:rFonts w:hint="eastAsia"/>
        </w:rPr>
        <w:t>即使拋棄繼承，也應就自己受贈的部分被視為遺產，負擔相應稅負。這樣的制度設計，才符合量能課稅與平等權保障的精神。</w:t>
      </w:r>
    </w:p>
    <w:p w:rsidR="005E674B" w:rsidRDefault="00833731">
      <w:pPr>
        <w:pStyle w:val="a3"/>
      </w:pPr>
      <w:r>
        <w:rPr>
          <w:rFonts w:hint="eastAsia"/>
        </w:rPr>
        <w:t>本案的另一層意義在於，國家的稅捐債權行使方向錯誤。國家本應向「視為遺產」的受贈配偶課稅，卻因法律規範不明，轉向唯一繼承人課稅。</w:t>
      </w:r>
      <w:r>
        <w:br/>
      </w:r>
      <w:r>
        <w:rPr>
          <w:rFonts w:hint="eastAsia"/>
        </w:rPr>
        <w:t>結果該繼承人因繼承而遭全面課稅，財產權被「絞殺」；而真正享有財產利益的配偶則免於負擔。這顯然不符量能課稅與平等原則。</w:t>
      </w:r>
    </w:p>
    <w:p w:rsidR="005E674B" w:rsidRDefault="00833731">
      <w:pPr>
        <w:pStyle w:val="a3"/>
      </w:pPr>
      <w:r>
        <w:rPr>
          <w:rFonts w:hint="eastAsia"/>
        </w:rPr>
        <w:t>聲請人二的案件則不同，因為該案中的配偶並未拋棄繼承，只是涉及「剩餘財產差額分配請求權」是否可從遺產總額中扣除的問題。</w:t>
      </w:r>
      <w:r>
        <w:br/>
      </w:r>
      <w:r>
        <w:rPr>
          <w:rFonts w:hint="eastAsia"/>
        </w:rPr>
        <w:t>這兩案的對照，也清楚呈現法律漏洞造成的不同結果。</w:t>
      </w:r>
    </w:p>
    <w:p w:rsidR="005E674B" w:rsidRDefault="00833731">
      <w:r>
        <w:rPr>
          <w:noProof/>
        </w:rPr>
      </w:r>
      <w:r w:rsidR="00833731">
        <w:rPr>
          <w:noProof/>
        </w:rPr>
        <w:pict>
          <v:rect id="_x0000_i1068" alt="" style="width:415.3pt;height:.05pt;mso-width-percent:0;mso-height-percent:0;mso-width-percent:0;mso-height-percent:0" o:hralign="center" o:hrstd="t" o:hr="t"/>
        </w:pict>
      </w:r>
    </w:p>
    <w:p w:rsidR="005E674B" w:rsidRDefault="00833731">
      <w:pPr>
        <w:pStyle w:val="3"/>
      </w:pPr>
      <w:bookmarkStart w:id="80" w:name="絞殺稅與比例原則"/>
      <w:bookmarkStart w:id="81" w:name="_Toc211785291"/>
      <w:bookmarkEnd w:id="78"/>
      <w:r>
        <w:rPr>
          <w:rFonts w:hint="eastAsia"/>
        </w:rPr>
        <w:t>絞殺稅與比例原則</w:t>
      </w:r>
      <w:bookmarkEnd w:id="81"/>
    </w:p>
    <w:p w:rsidR="005E674B" w:rsidRDefault="00833731">
      <w:pPr>
        <w:pStyle w:val="FirstParagraph"/>
      </w:pPr>
      <w:r>
        <w:rPr>
          <w:rFonts w:hint="eastAsia"/>
        </w:rPr>
        <w:t>回到比例原則，主文一也同時指出，若課稅結果使繼承人因繼承而取得的財產被全面徵收殆盡，則構成「絞殺稅」——這是比例原則下「過當禁止」的具體表現。</w:t>
      </w:r>
      <w:r>
        <w:br/>
      </w:r>
      <w:r>
        <w:rPr>
          <w:rFonts w:hint="eastAsia"/>
        </w:rPr>
        <w:t>因此，本案同時涉及兩層憲法保障：</w:t>
      </w:r>
      <w:r>
        <w:br/>
      </w:r>
      <w:r>
        <w:rPr>
          <w:rFonts w:hint="eastAsia"/>
        </w:rPr>
        <w:t>一是平等權下的量能課稅原則被違反；</w:t>
      </w:r>
      <w:r>
        <w:br/>
      </w:r>
      <w:r>
        <w:rPr>
          <w:rFonts w:hint="eastAsia"/>
        </w:rPr>
        <w:t>二是財產權下的比例原則被踰越。</w:t>
      </w:r>
    </w:p>
    <w:p w:rsidR="005E674B" w:rsidRDefault="00833731">
      <w:pPr>
        <w:pStyle w:val="a3"/>
      </w:pPr>
      <w:r>
        <w:rPr>
          <w:rFonts w:hint="eastAsia"/>
        </w:rPr>
        <w:t>總結來說，從量能課稅原則出發：</w:t>
      </w:r>
      <w:r>
        <w:br/>
      </w:r>
      <w:r>
        <w:rPr>
          <w:rFonts w:hint="eastAsia"/>
        </w:rPr>
        <w:t>「拿走遺產的人負擔該部分遺產稅」沒有問題；</w:t>
      </w:r>
      <w:r>
        <w:br/>
      </w:r>
      <w:r>
        <w:rPr>
          <w:rFonts w:hint="eastAsia"/>
        </w:rPr>
        <w:lastRenderedPageBreak/>
        <w:t>「讓錯的人負擔稅」才有問題。</w:t>
      </w:r>
      <w:r>
        <w:br/>
      </w:r>
      <w:r>
        <w:rPr>
          <w:rFonts w:hint="eastAsia"/>
        </w:rPr>
        <w:t>而從比例原則出發，若稅負導致繼承財產全面被課徵殆盡，就構成過當禁止。</w:t>
      </w:r>
    </w:p>
    <w:p w:rsidR="005E674B" w:rsidRDefault="00833731">
      <w:r>
        <w:rPr>
          <w:noProof/>
        </w:rPr>
      </w:r>
      <w:r w:rsidR="00833731">
        <w:rPr>
          <w:noProof/>
        </w:rPr>
        <w:pict>
          <v:rect id="_x0000_i1069" alt="" style="width:415.3pt;height:.05pt;mso-width-percent:0;mso-height-percent:0;mso-width-percent:0;mso-height-percent:0" o:hralign="center" o:hrstd="t" o:hr="t"/>
        </w:pict>
      </w:r>
    </w:p>
    <w:p w:rsidR="005E674B" w:rsidRDefault="00833731">
      <w:pPr>
        <w:pStyle w:val="3"/>
      </w:pPr>
      <w:bookmarkStart w:id="82" w:name="立法補正與實務挑戰"/>
      <w:bookmarkStart w:id="83" w:name="_Toc211785292"/>
      <w:bookmarkEnd w:id="80"/>
      <w:r>
        <w:rPr>
          <w:rFonts w:hint="eastAsia"/>
        </w:rPr>
        <w:t>立法補正與實務挑戰</w:t>
      </w:r>
      <w:bookmarkEnd w:id="83"/>
    </w:p>
    <w:p w:rsidR="005E674B" w:rsidRDefault="00833731">
      <w:pPr>
        <w:pStyle w:val="FirstParagraph"/>
      </w:pPr>
      <w:r>
        <w:rPr>
          <w:rFonts w:hint="eastAsia"/>
        </w:rPr>
        <w:t>所以，簡單來講，就是你法律規定得如此不完善，這也是本件個案中，我非常強烈認為我們遺產及贈與稅法第</w:t>
      </w:r>
      <w:r>
        <w:rPr>
          <w:rFonts w:hint="eastAsia"/>
        </w:rPr>
        <w:t>15</w:t>
      </w:r>
      <w:r>
        <w:rPr>
          <w:rFonts w:hint="eastAsia"/>
        </w:rPr>
        <w:t>條規定是一個很不完整的條文。</w:t>
      </w:r>
      <w:r>
        <w:br/>
      </w:r>
      <w:r>
        <w:rPr>
          <w:rFonts w:hint="eastAsia"/>
        </w:rPr>
        <w:t>沒有錯，它原本的立法目的，是為了保護國家的稅捐債權，把一定範圍內的生前贈與金額納入課稅，從最早的五年，後來一路縮短成三年，到民國</w:t>
      </w:r>
      <w:r>
        <w:rPr>
          <w:rFonts w:hint="eastAsia"/>
        </w:rPr>
        <w:t>88</w:t>
      </w:r>
      <w:r>
        <w:rPr>
          <w:rFonts w:hint="eastAsia"/>
        </w:rPr>
        <w:t>年再降為兩年。這個修法理由很清楚，就是要避免「被繼承人死前贈與」造成遺產稅基流失，這樣的規定當然有它的正當性。</w:t>
      </w:r>
      <w:r>
        <w:br/>
      </w:r>
      <w:r>
        <w:rPr>
          <w:rFonts w:hint="eastAsia"/>
        </w:rPr>
        <w:t>可是問題在於，當國家把這些金額算回遺產稅範圍時，</w:t>
      </w:r>
      <w:r>
        <w:rPr>
          <w:rFonts w:hint="eastAsia"/>
          <w:b/>
          <w:bCs/>
        </w:rPr>
        <w:t>你總要找對的人來負責繳稅。</w:t>
      </w:r>
    </w:p>
    <w:p w:rsidR="005E674B" w:rsidRDefault="00833731">
      <w:pPr>
        <w:pStyle w:val="a3"/>
      </w:pPr>
      <w:r>
        <w:rPr>
          <w:rFonts w:hint="eastAsia"/>
        </w:rPr>
        <w:t>什麼叫「對的人」？就是那個真正有能力繳納、實際受益、拿走財產的人。你要叫有量能的人負擔稅，這才符合量能課稅原則的本意。</w:t>
      </w:r>
      <w:r>
        <w:br/>
      </w:r>
      <w:r>
        <w:rPr>
          <w:rFonts w:hint="eastAsia"/>
        </w:rPr>
        <w:t>量能課稅原則講的是「無償獲得財產增益的人，應該負擔相應的稅捐」。這難道不正是最素樸、最符合公平正義精神的原則嗎？</w:t>
      </w:r>
      <w:r>
        <w:br/>
      </w:r>
      <w:r>
        <w:rPr>
          <w:rFonts w:hint="eastAsia"/>
        </w:rPr>
        <w:t>量能課稅，其實只是說——</w:t>
      </w:r>
      <w:r>
        <w:rPr>
          <w:rFonts w:hint="eastAsia"/>
          <w:b/>
          <w:bCs/>
        </w:rPr>
        <w:t>你拿走錢，就要付出你該付的稅。</w:t>
      </w:r>
      <w:r>
        <w:br/>
      </w:r>
      <w:r>
        <w:rPr>
          <w:rFonts w:hint="eastAsia"/>
        </w:rPr>
        <w:t>這麼簡單的道理，我實在不能理解為什麼會在實務上出現那麼多困難。問題就在於，法律沒有明文規定，導致你根本沒有辦法直接去找「拿走生前贈與、被視為遺產」的人，要求他負擔遺產稅。</w:t>
      </w:r>
      <w:r>
        <w:br/>
      </w:r>
      <w:r>
        <w:rPr>
          <w:rFonts w:hint="eastAsia"/>
        </w:rPr>
        <w:t>因此，我認為第</w:t>
      </w:r>
      <w:r>
        <w:rPr>
          <w:rFonts w:hint="eastAsia"/>
        </w:rPr>
        <w:t>15</w:t>
      </w:r>
      <w:r>
        <w:rPr>
          <w:rFonts w:hint="eastAsia"/>
        </w:rPr>
        <w:t>條規定必須趕快加上這樣的條文，讓「誰拿走遺產，誰就要負擔相對應部分的遺產稅」，這樣稅制才完整。這件事沒辦法透過法院的判決直接補救，因為北高行的學長姐在實務上也不能用意見方式補法。</w:t>
      </w:r>
      <w:r>
        <w:br/>
      </w:r>
      <w:r>
        <w:rPr>
          <w:rFonts w:hint="eastAsia"/>
        </w:rPr>
        <w:t>當然，也許可以透過目的性解釋或體系解釋嘗試補足，但我這裡不把話題岔開。</w:t>
      </w:r>
    </w:p>
    <w:p w:rsidR="005E674B" w:rsidRDefault="00833731">
      <w:r>
        <w:rPr>
          <w:noProof/>
        </w:rPr>
      </w:r>
      <w:r w:rsidR="00833731">
        <w:rPr>
          <w:noProof/>
        </w:rPr>
        <w:pict>
          <v:rect id="_x0000_i1070" alt="" style="width:415.3pt;height:.05pt;mso-width-percent:0;mso-height-percent:0;mso-width-percent:0;mso-height-percent:0" o:hralign="center" o:hrstd="t" o:hr="t"/>
        </w:pict>
      </w:r>
    </w:p>
    <w:p w:rsidR="005E674B" w:rsidRDefault="00833731">
      <w:pPr>
        <w:pStyle w:val="3"/>
      </w:pPr>
      <w:bookmarkStart w:id="84" w:name="憲審評價與案例意義"/>
      <w:bookmarkStart w:id="85" w:name="_Toc211785293"/>
      <w:bookmarkEnd w:id="82"/>
      <w:r>
        <w:rPr>
          <w:rFonts w:hint="eastAsia"/>
        </w:rPr>
        <w:t>憲審評價與案例意義</w:t>
      </w:r>
      <w:bookmarkEnd w:id="85"/>
    </w:p>
    <w:p w:rsidR="005E674B" w:rsidRDefault="00833731">
      <w:pPr>
        <w:pStyle w:val="FirstParagraph"/>
      </w:pPr>
      <w:r>
        <w:rPr>
          <w:rFonts w:hint="eastAsia"/>
        </w:rPr>
        <w:t>簡單來講，我對這個案子可以說是「見獵心喜」。能看到一個違反量能課稅原則的案例被正式宣告違憲，這實在是非常罕見的事。</w:t>
      </w:r>
      <w:r>
        <w:br/>
      </w:r>
      <w:r>
        <w:rPr>
          <w:rFonts w:hint="eastAsia"/>
        </w:rPr>
        <w:t>要在實務上找到一個「絞殺稅」的案例非常困難，這次的判決正好出現這樣的情況，讓我們可以有個實例作為參照。</w:t>
      </w:r>
      <w:r>
        <w:br/>
      </w:r>
      <w:r>
        <w:rPr>
          <w:rFonts w:hint="eastAsia"/>
        </w:rPr>
        <w:t>我自己在研究時，也注意過釋字第</w:t>
      </w:r>
      <w:r>
        <w:rPr>
          <w:rFonts w:hint="eastAsia"/>
        </w:rPr>
        <w:t>810</w:t>
      </w:r>
      <w:r>
        <w:rPr>
          <w:rFonts w:hint="eastAsia"/>
        </w:rPr>
        <w:t>號關於原住民就業代金公課的案子，但那裡其實並沒有明確談到「絞殺公課」的問題。</w:t>
      </w:r>
    </w:p>
    <w:p w:rsidR="005E674B" w:rsidRDefault="00833731">
      <w:pPr>
        <w:pStyle w:val="a3"/>
      </w:pPr>
      <w:r>
        <w:rPr>
          <w:rFonts w:hint="eastAsia"/>
        </w:rPr>
        <w:t>這裡的「絞殺稅」或「絞殺公課禁止原則」，其實是從憲法第</w:t>
      </w:r>
      <w:r>
        <w:rPr>
          <w:rFonts w:hint="eastAsia"/>
        </w:rPr>
        <w:t>23</w:t>
      </w:r>
      <w:r>
        <w:rPr>
          <w:rFonts w:hint="eastAsia"/>
        </w:rPr>
        <w:t>條的比例原則裡面「過當禁止」延伸出來的。國家對人民的經濟成果不管是課稅還是課公課，都不能過度，不可以讓人民的經濟成果被全面性地徵收。</w:t>
      </w:r>
      <w:r>
        <w:br/>
      </w:r>
      <w:r>
        <w:rPr>
          <w:rFonts w:hint="eastAsia"/>
        </w:rPr>
        <w:t>這是一個從比例原則在憲法層次所導出的基本原則。</w:t>
      </w:r>
      <w:r>
        <w:br/>
      </w:r>
      <w:r>
        <w:rPr>
          <w:rFonts w:hint="eastAsia"/>
        </w:rPr>
        <w:t>我相信各位學長姐在結論上也會同意，</w:t>
      </w:r>
      <w:r>
        <w:rPr>
          <w:rFonts w:hint="eastAsia"/>
        </w:rPr>
        <w:t>113</w:t>
      </w:r>
      <w:r>
        <w:rPr>
          <w:rFonts w:hint="eastAsia"/>
        </w:rPr>
        <w:t>年憲判字第</w:t>
      </w:r>
      <w:r>
        <w:rPr>
          <w:rFonts w:hint="eastAsia"/>
        </w:rPr>
        <w:t>11</w:t>
      </w:r>
      <w:r>
        <w:rPr>
          <w:rFonts w:hint="eastAsia"/>
        </w:rPr>
        <w:t>號判決，正是從這個角度指出：遺產稅的徵收造成繼承人繼承的財產權被全面「絞殺」，因此構成對憲法第</w:t>
      </w:r>
      <w:r>
        <w:rPr>
          <w:rFonts w:hint="eastAsia"/>
        </w:rPr>
        <w:t>15</w:t>
      </w:r>
      <w:r>
        <w:rPr>
          <w:rFonts w:hint="eastAsia"/>
        </w:rPr>
        <w:t>條財產權的侵害。</w:t>
      </w:r>
    </w:p>
    <w:p w:rsidR="005E674B" w:rsidRDefault="00833731">
      <w:pPr>
        <w:pStyle w:val="a3"/>
      </w:pPr>
      <w:r>
        <w:rPr>
          <w:rFonts w:hint="eastAsia"/>
        </w:rPr>
        <w:t>因為我國憲法沒有像德國《基本法》第</w:t>
      </w:r>
      <w:r>
        <w:rPr>
          <w:rFonts w:hint="eastAsia"/>
        </w:rPr>
        <w:t>14</w:t>
      </w:r>
      <w:r>
        <w:rPr>
          <w:rFonts w:hint="eastAsia"/>
        </w:rPr>
        <w:t>條那樣，把財產權與繼承權分開，而是統一在第</w:t>
      </w:r>
      <w:r>
        <w:rPr>
          <w:rFonts w:hint="eastAsia"/>
        </w:rPr>
        <w:t>15</w:t>
      </w:r>
      <w:r>
        <w:rPr>
          <w:rFonts w:hint="eastAsia"/>
        </w:rPr>
        <w:t>條「財產權」的保障之下。</w:t>
      </w:r>
      <w:r>
        <w:br/>
      </w:r>
      <w:r>
        <w:rPr>
          <w:rFonts w:hint="eastAsia"/>
        </w:rPr>
        <w:lastRenderedPageBreak/>
        <w:t>所以從解釋上來說，繼承權是包含在財產權裡面。這條文既保障被繼承人生前財產的處分自由，也保護繼承人繼承財產後的權利。</w:t>
      </w:r>
      <w:r>
        <w:br/>
      </w:r>
      <w:r>
        <w:rPr>
          <w:rFonts w:hint="eastAsia"/>
        </w:rPr>
        <w:t>因此，當國家的課稅行為導致繼承人因繼承而取得的財產被全面徵收時，當然就是侵害了財產權。</w:t>
      </w:r>
      <w:r>
        <w:br/>
      </w:r>
      <w:r>
        <w:rPr>
          <w:rFonts w:hint="eastAsia"/>
        </w:rPr>
        <w:t>而從憲法審查結構上來看，財產權的審查標準就是比例原則，所以這部分是以憲法第</w:t>
      </w:r>
      <w:r>
        <w:rPr>
          <w:rFonts w:hint="eastAsia"/>
        </w:rPr>
        <w:t>15</w:t>
      </w:r>
      <w:r>
        <w:rPr>
          <w:rFonts w:hint="eastAsia"/>
        </w:rPr>
        <w:t>條作為依據。</w:t>
      </w:r>
    </w:p>
    <w:p w:rsidR="005E674B" w:rsidRDefault="00833731">
      <w:pPr>
        <w:pStyle w:val="a3"/>
      </w:pPr>
      <w:r>
        <w:rPr>
          <w:rFonts w:hint="eastAsia"/>
        </w:rPr>
        <w:t>我後面有幾張圖表，其實都是在說這件事：</w:t>
      </w:r>
      <w:r>
        <w:rPr>
          <w:rFonts w:hint="eastAsia"/>
          <w:b/>
          <w:bCs/>
        </w:rPr>
        <w:t>「絞殺」的部分主要是針對繼承權，也就是財產權保障的層面；而「平等原則」的侵害，則是針對量能課稅原則的違反。</w:t>
      </w:r>
      <w:r>
        <w:br/>
      </w:r>
      <w:r>
        <w:rPr>
          <w:rFonts w:hint="eastAsia"/>
        </w:rPr>
        <w:t>以聲請人一的案子來說，它涉及的就是遺產及贈與稅法第</w:t>
      </w:r>
      <w:r>
        <w:rPr>
          <w:rFonts w:hint="eastAsia"/>
        </w:rPr>
        <w:t>15</w:t>
      </w:r>
      <w:r>
        <w:rPr>
          <w:rFonts w:hint="eastAsia"/>
        </w:rPr>
        <w:t>條第</w:t>
      </w:r>
      <w:r>
        <w:rPr>
          <w:rFonts w:hint="eastAsia"/>
        </w:rPr>
        <w:t>1</w:t>
      </w:r>
      <w:r>
        <w:rPr>
          <w:rFonts w:hint="eastAsia"/>
        </w:rPr>
        <w:t>項第</w:t>
      </w:r>
      <w:r>
        <w:rPr>
          <w:rFonts w:hint="eastAsia"/>
        </w:rPr>
        <w:t>1</w:t>
      </w:r>
      <w:r>
        <w:rPr>
          <w:rFonts w:hint="eastAsia"/>
        </w:rPr>
        <w:t>款的適用問題，也就是國家在課遺產稅時把生前贈與拉回來，但沒說清楚應該由誰繳稅。</w:t>
      </w:r>
    </w:p>
    <w:p w:rsidR="005E674B" w:rsidRDefault="00833731">
      <w:r>
        <w:rPr>
          <w:noProof/>
        </w:rPr>
      </w:r>
      <w:r w:rsidR="00833731">
        <w:rPr>
          <w:noProof/>
        </w:rPr>
        <w:pict>
          <v:rect id="_x0000_i1071" alt="" style="width:415.3pt;height:.05pt;mso-width-percent:0;mso-height-percent:0;mso-width-percent:0;mso-height-percent:0" o:hralign="center" o:hrstd="t" o:hr="t"/>
        </w:pict>
      </w:r>
    </w:p>
    <w:p w:rsidR="005E674B" w:rsidRDefault="00833731">
      <w:pPr>
        <w:pStyle w:val="3"/>
      </w:pPr>
      <w:bookmarkStart w:id="86" w:name="主文二聲請人二與第17-1條爭點"/>
      <w:bookmarkStart w:id="87" w:name="_Toc211785294"/>
      <w:bookmarkEnd w:id="84"/>
      <w:r>
        <w:rPr>
          <w:rFonts w:hint="eastAsia"/>
        </w:rPr>
        <w:t>主文二：聲請人二與第</w:t>
      </w:r>
      <w:r>
        <w:rPr>
          <w:rFonts w:hint="eastAsia"/>
        </w:rPr>
        <w:t>17-1</w:t>
      </w:r>
      <w:r>
        <w:rPr>
          <w:rFonts w:hint="eastAsia"/>
        </w:rPr>
        <w:t>條爭點</w:t>
      </w:r>
      <w:bookmarkEnd w:id="87"/>
    </w:p>
    <w:p w:rsidR="005E674B" w:rsidRDefault="00833731">
      <w:pPr>
        <w:pStyle w:val="FirstParagraph"/>
      </w:pPr>
      <w:r>
        <w:rPr>
          <w:rFonts w:hint="eastAsia"/>
        </w:rPr>
        <w:t>至於聲請人二的案件，則牽涉到遺產及贈與稅法第</w:t>
      </w:r>
      <w:r>
        <w:rPr>
          <w:rFonts w:hint="eastAsia"/>
        </w:rPr>
        <w:t>17-1</w:t>
      </w:r>
      <w:r>
        <w:rPr>
          <w:rFonts w:hint="eastAsia"/>
        </w:rPr>
        <w:t>條的適用。這一條是關於剩餘財產差額分配請求權的問題。</w:t>
      </w:r>
      <w:r>
        <w:br/>
      </w:r>
      <w:r>
        <w:rPr>
          <w:rFonts w:hint="eastAsia"/>
        </w:rPr>
        <w:t>這部分兩位大法官有不同的意見。主要的爭點是：生前贈與既然是被拉回來視為遺產，那還可不可以適用第</w:t>
      </w:r>
      <w:r>
        <w:rPr>
          <w:rFonts w:hint="eastAsia"/>
        </w:rPr>
        <w:t>17-1</w:t>
      </w:r>
      <w:r>
        <w:rPr>
          <w:rFonts w:hint="eastAsia"/>
        </w:rPr>
        <w:t>條的「半數課稅」原則？</w:t>
      </w:r>
    </w:p>
    <w:p w:rsidR="005E674B" w:rsidRDefault="00833731">
      <w:pPr>
        <w:pStyle w:val="a3"/>
      </w:pPr>
      <w:r>
        <w:rPr>
          <w:rFonts w:hint="eastAsia"/>
        </w:rPr>
        <w:t>兩位不同意見的大法官——我記得是楊蕙卿和游伯祥——主張說，既然生前贈與的財產已經拿走，從民法角度講，它不屬於「現存遺產」，所以就不應再適用差額分配請求權的半數課稅。</w:t>
      </w:r>
      <w:r>
        <w:br/>
      </w:r>
      <w:r>
        <w:rPr>
          <w:rFonts w:hint="eastAsia"/>
        </w:rPr>
        <w:t>他們的邏輯是：民法第</w:t>
      </w:r>
      <w:r>
        <w:rPr>
          <w:rFonts w:hint="eastAsia"/>
        </w:rPr>
        <w:t>1030-1</w:t>
      </w:r>
      <w:r>
        <w:rPr>
          <w:rFonts w:hint="eastAsia"/>
        </w:rPr>
        <w:t>條所說的「剩餘財產差額分配請求權」是針對婚姻關係結束時現存財產的調整，重點在於公平分配兩人婚姻期間的貢獻（內助之功）。</w:t>
      </w:r>
      <w:r>
        <w:br/>
      </w:r>
      <w:r>
        <w:rPr>
          <w:rFonts w:hint="eastAsia"/>
        </w:rPr>
        <w:t>這是以「現存財產」為前提的制度，所以既然「視為遺產」並非現存財產，就不應適用這條。</w:t>
      </w:r>
    </w:p>
    <w:p w:rsidR="005E674B" w:rsidRDefault="00833731">
      <w:pPr>
        <w:pStyle w:val="a3"/>
      </w:pPr>
      <w:r>
        <w:rPr>
          <w:rFonts w:hint="eastAsia"/>
        </w:rPr>
        <w:t>但多數大法官認為這樣會導致不平等。因為現存遺產可以適用差額分配請求權，而拉回來的視為遺產卻不行，那就變成現存遺產比較有利。</w:t>
      </w:r>
      <w:r>
        <w:br/>
      </w:r>
      <w:r>
        <w:rPr>
          <w:rFonts w:hint="eastAsia"/>
        </w:rPr>
        <w:t>基於平等原則的適用，視為遺產也應該可以適用「半數課稅」。</w:t>
      </w:r>
      <w:r>
        <w:br/>
      </w:r>
      <w:r>
        <w:rPr>
          <w:rFonts w:hint="eastAsia"/>
        </w:rPr>
        <w:t>我個人認為，多數意見是合理的。雖然一開始聽起來有點矛盾，因為民法上確實是以現存財產為前提，但從稅法角度來看，這關係到國家課稅權限的行使，若不比照適用，反而會破壞平等性。</w:t>
      </w:r>
    </w:p>
    <w:p w:rsidR="005E674B" w:rsidRDefault="00833731">
      <w:pPr>
        <w:pStyle w:val="a3"/>
      </w:pPr>
      <w:r>
        <w:rPr>
          <w:rFonts w:hint="eastAsia"/>
        </w:rPr>
        <w:t>而且根據遺產及贈與稅法第</w:t>
      </w:r>
      <w:r>
        <w:rPr>
          <w:rFonts w:hint="eastAsia"/>
        </w:rPr>
        <w:t>17-1</w:t>
      </w:r>
      <w:r>
        <w:rPr>
          <w:rFonts w:hint="eastAsia"/>
        </w:rPr>
        <w:t>條第</w:t>
      </w:r>
      <w:r>
        <w:rPr>
          <w:rFonts w:hint="eastAsia"/>
        </w:rPr>
        <w:t>2</w:t>
      </w:r>
      <w:r>
        <w:rPr>
          <w:rFonts w:hint="eastAsia"/>
        </w:rPr>
        <w:t>項規定，如果沒有交付差額部分，稅捐稽徵機關仍可在五年內追繳遺產稅。</w:t>
      </w:r>
      <w:r>
        <w:br/>
      </w:r>
      <w:r>
        <w:rPr>
          <w:rFonts w:hint="eastAsia"/>
        </w:rPr>
        <w:t>所以在實務上，如果你贈與的是非配偶的繼承人或其配偶（例如子女、媳婦、孫子、孫媳），那你兩年內的贈與被拉回來算成遺產時，會出現一個問題：要不要比照半數課稅？</w:t>
      </w:r>
      <w:r>
        <w:br/>
      </w:r>
      <w:r>
        <w:rPr>
          <w:rFonts w:hint="eastAsia"/>
        </w:rPr>
        <w:t>若不適用半數，配偶的稅負就重；若適用半數，那你還得考慮實際交付與否的追繳問題。這是我們現在在訴願與行政訴訟中碰到的現實困境。</w:t>
      </w:r>
    </w:p>
    <w:p w:rsidR="005E674B" w:rsidRDefault="00833731">
      <w:r>
        <w:rPr>
          <w:noProof/>
        </w:rPr>
      </w:r>
      <w:r w:rsidR="00833731">
        <w:rPr>
          <w:noProof/>
        </w:rPr>
        <w:pict>
          <v:rect id="_x0000_i1072" alt="" style="width:415.3pt;height:.05pt;mso-width-percent:0;mso-height-percent:0;mso-width-percent:0;mso-height-percent:0" o:hralign="center" o:hrstd="t" o:hr="t"/>
        </w:pict>
      </w:r>
    </w:p>
    <w:p w:rsidR="005E674B" w:rsidRDefault="00833731">
      <w:pPr>
        <w:pStyle w:val="3"/>
      </w:pPr>
      <w:bookmarkStart w:id="88" w:name="實務觀察與未來問題"/>
      <w:bookmarkStart w:id="89" w:name="_Toc211785295"/>
      <w:bookmarkEnd w:id="86"/>
      <w:r>
        <w:rPr>
          <w:rFonts w:hint="eastAsia"/>
        </w:rPr>
        <w:t>實務觀察與未來問題</w:t>
      </w:r>
      <w:bookmarkEnd w:id="89"/>
    </w:p>
    <w:p w:rsidR="005E674B" w:rsidRDefault="00833731">
      <w:pPr>
        <w:pStyle w:val="FirstParagraph"/>
      </w:pPr>
      <w:r>
        <w:rPr>
          <w:rFonts w:hint="eastAsia"/>
        </w:rPr>
        <w:t>換句話說，雖然</w:t>
      </w:r>
      <w:r>
        <w:rPr>
          <w:rFonts w:hint="eastAsia"/>
        </w:rPr>
        <w:t>113</w:t>
      </w:r>
      <w:r>
        <w:rPr>
          <w:rFonts w:hint="eastAsia"/>
        </w:rPr>
        <w:t>年憲判字第</w:t>
      </w:r>
      <w:r>
        <w:rPr>
          <w:rFonts w:hint="eastAsia"/>
        </w:rPr>
        <w:t>11</w:t>
      </w:r>
      <w:r>
        <w:rPr>
          <w:rFonts w:hint="eastAsia"/>
        </w:rPr>
        <w:t>號判決已經釐清了關於配偶部分的平等適用問題，但對於非配偶的受贈人（例如其他繼承人或其配偶），仍存在模糊地帶。</w:t>
      </w:r>
      <w:r>
        <w:br/>
      </w:r>
      <w:r>
        <w:rPr>
          <w:rFonts w:hint="eastAsia"/>
        </w:rPr>
        <w:t>未來這類問題很可能會出現在行政訴訟中，行政法院的學長姐們勢必會接到這樣的案子。</w:t>
      </w:r>
      <w:r>
        <w:br/>
      </w:r>
      <w:r>
        <w:rPr>
          <w:rFonts w:hint="eastAsia"/>
        </w:rPr>
        <w:lastRenderedPageBreak/>
        <w:t>例如，若被繼承人生前贈與兩年內給了配偶以外的繼承人，那要不要也比照半數課稅？如果比照，那一半未交付配偶的部分，稅捐稽徵機關是否還能再追繳？這些問題目前都還沒有定論。</w:t>
      </w:r>
    </w:p>
    <w:p w:rsidR="005E674B" w:rsidRDefault="00833731">
      <w:r>
        <w:rPr>
          <w:noProof/>
        </w:rPr>
      </w:r>
      <w:r w:rsidR="00833731">
        <w:rPr>
          <w:noProof/>
        </w:rPr>
        <w:pict>
          <v:rect id="_x0000_i1073" alt="" style="width:415.3pt;height:.05pt;mso-width-percent:0;mso-height-percent:0;mso-width-percent:0;mso-height-percent:0" o:hralign="center" o:hrstd="t" o:hr="t"/>
        </w:pict>
      </w:r>
    </w:p>
    <w:p w:rsidR="005E674B" w:rsidRDefault="00833731">
      <w:pPr>
        <w:pStyle w:val="3"/>
      </w:pPr>
      <w:bookmarkStart w:id="90" w:name="憲法評析平等權與財產權的雙重審查"/>
      <w:bookmarkStart w:id="91" w:name="_Toc211785296"/>
      <w:bookmarkEnd w:id="88"/>
      <w:r>
        <w:rPr>
          <w:rFonts w:hint="eastAsia"/>
        </w:rPr>
        <w:t>憲法評析：平等權與財產權的雙重審查</w:t>
      </w:r>
      <w:bookmarkEnd w:id="91"/>
    </w:p>
    <w:p w:rsidR="005E674B" w:rsidRDefault="00833731">
      <w:pPr>
        <w:pStyle w:val="FirstParagraph"/>
      </w:pPr>
      <w:r>
        <w:rPr>
          <w:rFonts w:hint="eastAsia"/>
        </w:rPr>
        <w:t>最後，我簡單做個結論。</w:t>
      </w:r>
      <w:r>
        <w:br/>
      </w:r>
      <w:r>
        <w:rPr>
          <w:rFonts w:hint="eastAsia"/>
        </w:rPr>
        <w:t>主文一在講的是繼承權的經濟價值受到全面性課稅所導致的損害。這裡的問題是，它到底是侵害「財產存續」還是侵害「財產處分自由」？</w:t>
      </w:r>
      <w:r>
        <w:br/>
      </w:r>
      <w:r>
        <w:rPr>
          <w:rFonts w:hint="eastAsia"/>
        </w:rPr>
        <w:t>金錢是一種特殊的財產形式，我個人比較傾向認為，這裡的侵害主要是「處分自由」的問題，也就是說，繼承人取得財產後，卻因稅捐徵收而無法自由處分。</w:t>
      </w:r>
      <w:r>
        <w:br/>
      </w:r>
      <w:r>
        <w:rPr>
          <w:rFonts w:hint="eastAsia"/>
        </w:rPr>
        <w:t>許大法官在判決理由中用「經濟價值受損」的說法，也大致是在指這個意思。</w:t>
      </w:r>
    </w:p>
    <w:p w:rsidR="005E674B" w:rsidRDefault="00833731">
      <w:pPr>
        <w:pStyle w:val="a3"/>
      </w:pPr>
      <w:r>
        <w:rPr>
          <w:rFonts w:hint="eastAsia"/>
        </w:rPr>
        <w:t>簡單來講，這號判決透過平等權與自由權（財產權）兩個層面，建立了違憲審查的雙重結構。</w:t>
      </w:r>
      <w:r>
        <w:br/>
      </w:r>
      <w:r>
        <w:rPr>
          <w:rFonts w:hint="eastAsia"/>
        </w:rPr>
        <w:t>在平等權的部分，是透過量能課稅原則去檢驗國家課稅的合理性；</w:t>
      </w:r>
      <w:r>
        <w:br/>
      </w:r>
      <w:r>
        <w:rPr>
          <w:rFonts w:hint="eastAsia"/>
        </w:rPr>
        <w:t>在自由權（財產權）的部分，則是透過比例原則與「絞殺稅禁止」去限制國家的過度徵收。</w:t>
      </w:r>
      <w:r>
        <w:br/>
      </w:r>
      <w:r>
        <w:rPr>
          <w:rFonts w:hint="eastAsia"/>
        </w:rPr>
        <w:t>由於法律欠缺明文規定，導致課稅錯置，讓未受贈的繼承人承擔所有稅負，這當然不符合平等原則，也不符合財產權保障的要求。</w:t>
      </w:r>
      <w:r>
        <w:br/>
      </w:r>
      <w:r>
        <w:rPr>
          <w:rFonts w:hint="eastAsia"/>
        </w:rPr>
        <w:t>因此，這號判決同時以憲法第</w:t>
      </w:r>
      <w:r>
        <w:rPr>
          <w:rFonts w:hint="eastAsia"/>
        </w:rPr>
        <w:t>7</w:t>
      </w:r>
      <w:r>
        <w:rPr>
          <w:rFonts w:hint="eastAsia"/>
        </w:rPr>
        <w:t>條與第</w:t>
      </w:r>
      <w:r>
        <w:rPr>
          <w:rFonts w:hint="eastAsia"/>
        </w:rPr>
        <w:t>15</w:t>
      </w:r>
      <w:r>
        <w:rPr>
          <w:rFonts w:hint="eastAsia"/>
        </w:rPr>
        <w:t>條作為審查依據，認定該規範違憲，正是其深層意義所在。</w:t>
      </w:r>
    </w:p>
    <w:p w:rsidR="005E674B" w:rsidRDefault="00833731">
      <w:bookmarkStart w:id="92" w:name="第三個問題違憲宣告的意義與效果"/>
      <w:bookmarkEnd w:id="90"/>
      <w:bookmarkEnd w:id="74"/>
      <w:r>
        <w:br w:type="page"/>
      </w:r>
    </w:p>
    <w:p w:rsidR="005E674B" w:rsidRDefault="00833731">
      <w:pPr>
        <w:pStyle w:val="2"/>
      </w:pPr>
      <w:bookmarkStart w:id="93" w:name="_Toc211785297"/>
      <w:r>
        <w:rPr>
          <w:rFonts w:hint="eastAsia"/>
        </w:rPr>
        <w:lastRenderedPageBreak/>
        <w:t>第三個問題：違憲宣告的意義與效果</w:t>
      </w:r>
      <w:bookmarkEnd w:id="93"/>
    </w:p>
    <w:p w:rsidR="005E674B" w:rsidRDefault="00833731">
      <w:pPr>
        <w:pStyle w:val="FirstParagraph"/>
      </w:pPr>
      <w:r>
        <w:rPr>
          <w:rFonts w:hint="eastAsia"/>
        </w:rPr>
        <w:t>最後，我簡單跟各位說明一下，</w:t>
      </w:r>
      <w:r>
        <w:rPr>
          <w:rFonts w:hint="eastAsia"/>
          <w:b/>
          <w:bCs/>
        </w:rPr>
        <w:t>自由權的違反</w:t>
      </w:r>
      <w:r>
        <w:rPr>
          <w:rFonts w:hint="eastAsia"/>
        </w:rPr>
        <w:t>與</w:t>
      </w:r>
      <w:r>
        <w:rPr>
          <w:rFonts w:hint="eastAsia"/>
          <w:b/>
          <w:bCs/>
        </w:rPr>
        <w:t>平等權的違反</w:t>
      </w:r>
      <w:r>
        <w:rPr>
          <w:rFonts w:hint="eastAsia"/>
        </w:rPr>
        <w:t>在宣告違憲時，實際上會有什麼不同。</w:t>
      </w:r>
    </w:p>
    <w:p w:rsidR="005E674B" w:rsidRDefault="00833731">
      <w:pPr>
        <w:pStyle w:val="a3"/>
      </w:pPr>
      <w:r>
        <w:rPr>
          <w:rFonts w:hint="eastAsia"/>
        </w:rPr>
        <w:t>首先，平等權的違反，通常在憲法判決中會以「不符合平等權保障意旨」的方式表達。</w:t>
      </w:r>
      <w:r>
        <w:br/>
      </w:r>
      <w:r>
        <w:rPr>
          <w:rFonts w:hint="eastAsia"/>
        </w:rPr>
        <w:t>這是因為平等權的審查，涉及立法者的裁量空間較大，也就是所謂「立法形成空間」的問題。</w:t>
      </w:r>
      <w:r>
        <w:br/>
      </w:r>
      <w:r>
        <w:rPr>
          <w:rFonts w:hint="eastAsia"/>
        </w:rPr>
        <w:t>相對於自由權違反（也就是比例原則被違反）的案件，平等權案件往往允許立法者有多種方式可以「消除不平等」。</w:t>
      </w:r>
    </w:p>
    <w:p w:rsidR="005E674B" w:rsidRDefault="00833731">
      <w:pPr>
        <w:pStyle w:val="a3"/>
      </w:pPr>
      <w:r>
        <w:rPr>
          <w:rFonts w:hint="eastAsia"/>
        </w:rPr>
        <w:t>舉例來說，釋字第</w:t>
      </w:r>
      <w:r>
        <w:rPr>
          <w:rFonts w:hint="eastAsia"/>
        </w:rPr>
        <w:t>748</w:t>
      </w:r>
      <w:r>
        <w:rPr>
          <w:rFonts w:hint="eastAsia"/>
        </w:rPr>
        <w:t>號解釋（同性婚姻案）就是典型的例子。</w:t>
      </w:r>
      <w:r>
        <w:br/>
      </w:r>
      <w:r>
        <w:rPr>
          <w:rFonts w:hint="eastAsia"/>
        </w:rPr>
        <w:t>大法官在</w:t>
      </w:r>
      <w:r>
        <w:rPr>
          <w:rFonts w:hint="eastAsia"/>
        </w:rPr>
        <w:t>748</w:t>
      </w:r>
      <w:r>
        <w:rPr>
          <w:rFonts w:hint="eastAsia"/>
        </w:rPr>
        <w:t>號中指出，同性伴侶應享有與異性伴侶同樣進入婚姻的權利。</w:t>
      </w:r>
      <w:r>
        <w:br/>
      </w:r>
      <w:r>
        <w:rPr>
          <w:rFonts w:hint="eastAsia"/>
        </w:rPr>
        <w:t>那立法者要如何落實？可以選擇：</w:t>
      </w:r>
    </w:p>
    <w:p w:rsidR="005E674B" w:rsidRDefault="00833731">
      <w:pPr>
        <w:pStyle w:val="Compact"/>
        <w:numPr>
          <w:ilvl w:val="0"/>
          <w:numId w:val="62"/>
        </w:numPr>
      </w:pPr>
      <w:r>
        <w:rPr>
          <w:rFonts w:hint="eastAsia"/>
        </w:rPr>
        <w:t>在民法中增訂專章；</w:t>
      </w:r>
    </w:p>
    <w:p w:rsidR="005E674B" w:rsidRDefault="00833731">
      <w:pPr>
        <w:pStyle w:val="Compact"/>
        <w:numPr>
          <w:ilvl w:val="0"/>
          <w:numId w:val="62"/>
        </w:numPr>
      </w:pPr>
      <w:r>
        <w:rPr>
          <w:rFonts w:hint="eastAsia"/>
        </w:rPr>
        <w:t>另行制定專法；</w:t>
      </w:r>
    </w:p>
    <w:p w:rsidR="005E674B" w:rsidRDefault="00833731">
      <w:pPr>
        <w:pStyle w:val="Compact"/>
        <w:numPr>
          <w:ilvl w:val="0"/>
          <w:numId w:val="62"/>
        </w:numPr>
      </w:pPr>
      <w:r>
        <w:rPr>
          <w:rFonts w:hint="eastAsia"/>
        </w:rPr>
        <w:t>或者直接修改民法中「婚姻」的定義，使之成為開放性概念。</w:t>
      </w:r>
    </w:p>
    <w:p w:rsidR="005E674B" w:rsidRDefault="00833731">
      <w:pPr>
        <w:pStyle w:val="FirstParagraph"/>
      </w:pPr>
      <w:r>
        <w:rPr>
          <w:rFonts w:hint="eastAsia"/>
        </w:rPr>
        <w:t>不同選項會影響婚生子女相關規範、親屬關係等制度調整，因此憲法判決並未直接規定具體做法，而是給立法者一個</w:t>
      </w:r>
      <w:r>
        <w:rPr>
          <w:rFonts w:hint="eastAsia"/>
          <w:b/>
          <w:bCs/>
        </w:rPr>
        <w:t>立法形成空間</w:t>
      </w:r>
      <w:r>
        <w:rPr>
          <w:rFonts w:hint="eastAsia"/>
        </w:rPr>
        <w:t>，讓他們自己決定如何消除不平等。</w:t>
      </w:r>
    </w:p>
    <w:p w:rsidR="005E674B" w:rsidRDefault="00833731">
      <w:r>
        <w:rPr>
          <w:noProof/>
        </w:rPr>
      </w:r>
      <w:r w:rsidR="00833731">
        <w:rPr>
          <w:noProof/>
        </w:rPr>
        <w:pict>
          <v:rect id="_x0000_i1074" alt="" style="width:415.3pt;height:.05pt;mso-width-percent:0;mso-height-percent:0;mso-width-percent:0;mso-height-percent:0" o:hralign="center" o:hrstd="t" o:hr="t"/>
        </w:pict>
      </w:r>
    </w:p>
    <w:p w:rsidR="005E674B" w:rsidRDefault="00833731">
      <w:pPr>
        <w:pStyle w:val="FirstParagraph"/>
      </w:pPr>
      <w:r>
        <w:rPr>
          <w:rFonts w:hint="eastAsia"/>
        </w:rPr>
        <w:t>在平等權審查中，大法官通常會判定：</w:t>
      </w:r>
    </w:p>
    <w:p w:rsidR="005E674B" w:rsidRDefault="00833731">
      <w:pPr>
        <w:pStyle w:val="Compact"/>
        <w:numPr>
          <w:ilvl w:val="0"/>
          <w:numId w:val="63"/>
        </w:numPr>
      </w:pPr>
      <w:r>
        <w:rPr>
          <w:rFonts w:hint="eastAsia"/>
        </w:rPr>
        <w:t>立法者對兩個可比較群體的差別對待是否有「正當理由」；</w:t>
      </w:r>
    </w:p>
    <w:p w:rsidR="005E674B" w:rsidRDefault="00833731">
      <w:pPr>
        <w:pStyle w:val="Compact"/>
        <w:numPr>
          <w:ilvl w:val="0"/>
          <w:numId w:val="63"/>
        </w:numPr>
      </w:pPr>
      <w:r>
        <w:rPr>
          <w:rFonts w:hint="eastAsia"/>
        </w:rPr>
        <w:t>若欠缺正當理由，就屬於違反平等權保障。</w:t>
      </w:r>
    </w:p>
    <w:p w:rsidR="005E674B" w:rsidRDefault="00833731">
      <w:pPr>
        <w:pStyle w:val="FirstParagraph"/>
      </w:pPr>
      <w:r>
        <w:rPr>
          <w:rFonts w:hint="eastAsia"/>
        </w:rPr>
        <w:t>然而，法院並不會告訴立法者「要怎麼改」。</w:t>
      </w:r>
      <w:r>
        <w:br/>
      </w:r>
      <w:r>
        <w:rPr>
          <w:rFonts w:hint="eastAsia"/>
        </w:rPr>
        <w:t>因為「消除差別」本身有多種可能方式——</w:t>
      </w:r>
      <w:r>
        <w:br/>
      </w:r>
      <w:r>
        <w:rPr>
          <w:rFonts w:hint="eastAsia"/>
        </w:rPr>
        <w:t>例如可以「同樣給予權利」；也可以「同樣不給予權利」；</w:t>
      </w:r>
      <w:r>
        <w:br/>
      </w:r>
      <w:r>
        <w:rPr>
          <w:rFonts w:hint="eastAsia"/>
        </w:rPr>
        <w:t>或者，在必要時，也可以採取「有意義的差別對待」。</w:t>
      </w:r>
      <w:r>
        <w:br/>
      </w:r>
      <w:r>
        <w:rPr>
          <w:rFonts w:hint="eastAsia"/>
        </w:rPr>
        <w:t>這些都是立法者可以自行決定的政策選項。</w:t>
      </w:r>
      <w:r>
        <w:br/>
      </w:r>
      <w:r>
        <w:rPr>
          <w:rFonts w:hint="eastAsia"/>
        </w:rPr>
        <w:t>因此，平等權違反的宣告多半保留較高的立法形成空間，讓立法者自己去修正。</w:t>
      </w:r>
    </w:p>
    <w:p w:rsidR="005E674B" w:rsidRDefault="00833731">
      <w:r>
        <w:rPr>
          <w:noProof/>
        </w:rPr>
      </w:r>
      <w:r w:rsidR="00833731">
        <w:rPr>
          <w:noProof/>
        </w:rPr>
        <w:pict>
          <v:rect id="_x0000_i1075" alt="" style="width:415.3pt;height:.05pt;mso-width-percent:0;mso-height-percent:0;mso-width-percent:0;mso-height-percent:0" o:hralign="center" o:hrstd="t" o:hr="t"/>
        </w:pict>
      </w:r>
    </w:p>
    <w:p w:rsidR="005E674B" w:rsidRDefault="00833731">
      <w:pPr>
        <w:pStyle w:val="FirstParagraph"/>
      </w:pPr>
      <w:r>
        <w:rPr>
          <w:rFonts w:hint="eastAsia"/>
        </w:rPr>
        <w:t>相對地，如果是違反自由權（特別是財產權、職業自由、居住遷徙自由等）的案件，通常是屬於「比例原則的過度干預」。</w:t>
      </w:r>
      <w:r>
        <w:br/>
      </w:r>
      <w:r>
        <w:rPr>
          <w:rFonts w:hint="eastAsia"/>
        </w:rPr>
        <w:t>所謂過度干預，指的是國家對人民基本權限制太重，不符合必要性或最小侵害原則。</w:t>
      </w:r>
      <w:r>
        <w:br/>
      </w:r>
      <w:r>
        <w:rPr>
          <w:rFonts w:hint="eastAsia"/>
        </w:rPr>
        <w:t>這類案件的修正空間相對較小，因為違憲的核心在於「干預要消除」。</w:t>
      </w:r>
      <w:r>
        <w:br/>
      </w:r>
      <w:r>
        <w:rPr>
          <w:rFonts w:hint="eastAsia"/>
        </w:rPr>
        <w:t>因此，大法官多半會直接宣告該規範「立即失效」。</w:t>
      </w:r>
    </w:p>
    <w:p w:rsidR="005E674B" w:rsidRDefault="00833731">
      <w:pPr>
        <w:pStyle w:val="a3"/>
      </w:pPr>
      <w:r>
        <w:rPr>
          <w:rFonts w:hint="eastAsia"/>
        </w:rPr>
        <w:t>例如，若某稅法規定的稅率高到導致「絞殺稅」，那這就是一種過度干預。</w:t>
      </w:r>
      <w:r>
        <w:br/>
      </w:r>
      <w:r>
        <w:rPr>
          <w:rFonts w:hint="eastAsia"/>
        </w:rPr>
        <w:t>憲法法庭通常會直接宣告該條違憲失效，讓它立刻停止適用。</w:t>
      </w:r>
      <w:r>
        <w:br/>
      </w:r>
      <w:r>
        <w:rPr>
          <w:rFonts w:hint="eastAsia"/>
        </w:rPr>
        <w:t>不過，有時候基於政治穩定或社會衝擊的考量，法院會採「定期宣告失效」，</w:t>
      </w:r>
      <w:r>
        <w:br/>
      </w:r>
      <w:r>
        <w:rPr>
          <w:rFonts w:hint="eastAsia"/>
        </w:rPr>
        <w:t>也就是給立法者一定的修法緩衝期（例如六個月、一年內修正），避免立法真空。</w:t>
      </w:r>
    </w:p>
    <w:p w:rsidR="005E674B" w:rsidRDefault="00833731">
      <w:pPr>
        <w:pStyle w:val="a3"/>
      </w:pPr>
      <w:r>
        <w:rPr>
          <w:rFonts w:hint="eastAsia"/>
        </w:rPr>
        <w:lastRenderedPageBreak/>
        <w:t>這樣的「延後失效」並非完全沒有立法空間，只是範圍有限。</w:t>
      </w:r>
      <w:r>
        <w:br/>
      </w:r>
      <w:r>
        <w:rPr>
          <w:rFonts w:hint="eastAsia"/>
        </w:rPr>
        <w:t>立法者在修法時仍可選擇具體手段，但不能再違反比例原則的核心精神。</w:t>
      </w:r>
    </w:p>
    <w:p w:rsidR="005E674B" w:rsidRDefault="00833731">
      <w:r>
        <w:rPr>
          <w:noProof/>
        </w:rPr>
      </w:r>
      <w:r w:rsidR="00833731">
        <w:rPr>
          <w:noProof/>
        </w:rPr>
        <w:pict>
          <v:rect id="_x0000_i1076" alt="" style="width:415.3pt;height:.05pt;mso-width-percent:0;mso-height-percent:0;mso-width-percent:0;mso-height-percent:0" o:hralign="center" o:hrstd="t" o:hr="t"/>
        </w:pict>
      </w:r>
    </w:p>
    <w:p w:rsidR="005E674B" w:rsidRDefault="00833731">
      <w:pPr>
        <w:pStyle w:val="FirstParagraph"/>
      </w:pPr>
      <w:r>
        <w:rPr>
          <w:rFonts w:hint="eastAsia"/>
        </w:rPr>
        <w:t>總結來說：</w:t>
      </w:r>
    </w:p>
    <w:p w:rsidR="005E674B" w:rsidRDefault="00833731">
      <w:pPr>
        <w:pStyle w:val="Compact"/>
        <w:numPr>
          <w:ilvl w:val="0"/>
          <w:numId w:val="64"/>
        </w:numPr>
      </w:pPr>
      <w:r>
        <w:rPr>
          <w:rFonts w:hint="eastAsia"/>
          <w:b/>
          <w:bCs/>
        </w:rPr>
        <w:t>平等權違反</w:t>
      </w:r>
    </w:p>
    <w:p w:rsidR="005E674B" w:rsidRDefault="00833731">
      <w:pPr>
        <w:pStyle w:val="Compact"/>
        <w:numPr>
          <w:ilvl w:val="1"/>
          <w:numId w:val="65"/>
        </w:numPr>
      </w:pPr>
      <w:r>
        <w:rPr>
          <w:rFonts w:hint="eastAsia"/>
        </w:rPr>
        <w:t>主要問題是「差別對待欠缺正當理由」；</w:t>
      </w:r>
    </w:p>
    <w:p w:rsidR="005E674B" w:rsidRDefault="00833731">
      <w:pPr>
        <w:pStyle w:val="Compact"/>
        <w:numPr>
          <w:ilvl w:val="1"/>
          <w:numId w:val="65"/>
        </w:numPr>
      </w:pPr>
      <w:r>
        <w:rPr>
          <w:rFonts w:hint="eastAsia"/>
        </w:rPr>
        <w:t>憲法法院不會直接命令具體修法方式；</w:t>
      </w:r>
    </w:p>
    <w:p w:rsidR="005E674B" w:rsidRDefault="00833731">
      <w:pPr>
        <w:pStyle w:val="Compact"/>
        <w:numPr>
          <w:ilvl w:val="1"/>
          <w:numId w:val="65"/>
        </w:numPr>
      </w:pPr>
      <w:r>
        <w:rPr>
          <w:rFonts w:hint="eastAsia"/>
        </w:rPr>
        <w:t>立法者有高度的立法形成空間，可選擇同給、同不給，或建立合理差別。</w:t>
      </w:r>
    </w:p>
    <w:p w:rsidR="005E674B" w:rsidRDefault="00833731">
      <w:pPr>
        <w:pStyle w:val="Compact"/>
        <w:numPr>
          <w:ilvl w:val="1"/>
          <w:numId w:val="65"/>
        </w:numPr>
      </w:pPr>
      <w:r>
        <w:rPr>
          <w:rFonts w:hint="eastAsia"/>
        </w:rPr>
        <w:t>宣告結果通常是「不符合憲法第</w:t>
      </w:r>
      <w:r>
        <w:rPr>
          <w:rFonts w:hint="eastAsia"/>
        </w:rPr>
        <w:t>7</w:t>
      </w:r>
      <w:r>
        <w:rPr>
          <w:rFonts w:hint="eastAsia"/>
        </w:rPr>
        <w:t>條平等權保障意旨」。</w:t>
      </w:r>
    </w:p>
    <w:p w:rsidR="005E674B" w:rsidRDefault="00833731">
      <w:pPr>
        <w:pStyle w:val="Compact"/>
        <w:numPr>
          <w:ilvl w:val="0"/>
          <w:numId w:val="64"/>
        </w:numPr>
      </w:pPr>
      <w:r>
        <w:rPr>
          <w:rFonts w:hint="eastAsia"/>
          <w:b/>
          <w:bCs/>
        </w:rPr>
        <w:t>自由權違反（比例原則過度干預）</w:t>
      </w:r>
    </w:p>
    <w:p w:rsidR="005E674B" w:rsidRDefault="00833731">
      <w:pPr>
        <w:pStyle w:val="Compact"/>
        <w:numPr>
          <w:ilvl w:val="1"/>
          <w:numId w:val="66"/>
        </w:numPr>
      </w:pPr>
      <w:r>
        <w:rPr>
          <w:rFonts w:hint="eastAsia"/>
        </w:rPr>
        <w:t>問題在於干預太過、侵犯自由權；</w:t>
      </w:r>
    </w:p>
    <w:p w:rsidR="005E674B" w:rsidRDefault="00833731">
      <w:pPr>
        <w:pStyle w:val="Compact"/>
        <w:numPr>
          <w:ilvl w:val="1"/>
          <w:numId w:val="66"/>
        </w:numPr>
      </w:pPr>
      <w:r>
        <w:rPr>
          <w:rFonts w:hint="eastAsia"/>
        </w:rPr>
        <w:t>憲法法院多半直接宣告該規範「立即失效」；</w:t>
      </w:r>
    </w:p>
    <w:p w:rsidR="005E674B" w:rsidRDefault="00833731">
      <w:pPr>
        <w:pStyle w:val="Compact"/>
        <w:numPr>
          <w:ilvl w:val="1"/>
          <w:numId w:val="66"/>
        </w:numPr>
      </w:pPr>
      <w:r>
        <w:rPr>
          <w:rFonts w:hint="eastAsia"/>
        </w:rPr>
        <w:t>若考量政治後果或社會衝擊，則採「定期失效」；</w:t>
      </w:r>
    </w:p>
    <w:p w:rsidR="005E674B" w:rsidRDefault="00833731">
      <w:pPr>
        <w:pStyle w:val="Compact"/>
        <w:numPr>
          <w:ilvl w:val="1"/>
          <w:numId w:val="66"/>
        </w:numPr>
      </w:pPr>
      <w:r>
        <w:rPr>
          <w:rFonts w:hint="eastAsia"/>
        </w:rPr>
        <w:t>立法者的修法空間相對較小，僅能在合理限度內調整干預強度。</w:t>
      </w:r>
    </w:p>
    <w:p w:rsidR="005E674B" w:rsidRDefault="00833731">
      <w:pPr>
        <w:pStyle w:val="FirstParagraph"/>
      </w:pPr>
      <w:r>
        <w:rPr>
          <w:rFonts w:hint="eastAsia"/>
        </w:rPr>
        <w:t>因此，</w:t>
      </w:r>
      <w:r>
        <w:rPr>
          <w:rFonts w:hint="eastAsia"/>
          <w:b/>
          <w:bCs/>
        </w:rPr>
        <w:t>違反自由權</w:t>
      </w:r>
      <w:r>
        <w:rPr>
          <w:rFonts w:hint="eastAsia"/>
        </w:rPr>
        <w:t>的規範，多採「消除干預」的直接失效；</w:t>
      </w:r>
      <w:r>
        <w:br/>
      </w:r>
      <w:r>
        <w:rPr>
          <w:rFonts w:hint="eastAsia"/>
        </w:rPr>
        <w:t>而</w:t>
      </w:r>
      <w:r>
        <w:rPr>
          <w:rFonts w:hint="eastAsia"/>
          <w:b/>
          <w:bCs/>
        </w:rPr>
        <w:t>違反平等權</w:t>
      </w:r>
      <w:r>
        <w:rPr>
          <w:rFonts w:hint="eastAsia"/>
        </w:rPr>
        <w:t>的規範，則給立法者較大的政策回應空間。</w:t>
      </w:r>
      <w:r>
        <w:br/>
      </w:r>
      <w:r>
        <w:rPr>
          <w:rFonts w:hint="eastAsia"/>
        </w:rPr>
        <w:t>這就是為什麼我們在</w:t>
      </w:r>
      <w:r>
        <w:rPr>
          <w:rFonts w:hint="eastAsia"/>
        </w:rPr>
        <w:t>113</w:t>
      </w:r>
      <w:r>
        <w:rPr>
          <w:rFonts w:hint="eastAsia"/>
        </w:rPr>
        <w:t>年憲判字第</w:t>
      </w:r>
      <w:r>
        <w:rPr>
          <w:rFonts w:hint="eastAsia"/>
        </w:rPr>
        <w:t>11</w:t>
      </w:r>
      <w:r>
        <w:rPr>
          <w:rFonts w:hint="eastAsia"/>
        </w:rPr>
        <w:t>號這號判決中，</w:t>
      </w:r>
      <w:r>
        <w:br/>
      </w:r>
      <w:r>
        <w:rPr>
          <w:rFonts w:hint="eastAsia"/>
        </w:rPr>
        <w:t>看到大法官對平等原則與比例原則的處理方式有所區分——</w:t>
      </w:r>
      <w:r>
        <w:br/>
      </w:r>
      <w:r>
        <w:rPr>
          <w:rFonts w:hint="eastAsia"/>
        </w:rPr>
        <w:t>一邊要求修正稅法中的量能錯置以符合平等保障，</w:t>
      </w:r>
      <w:r>
        <w:br/>
      </w:r>
      <w:r>
        <w:rPr>
          <w:rFonts w:hint="eastAsia"/>
        </w:rPr>
        <w:t>另一邊則針對過度課稅造成財產權侵害，明確指出應即刻排除其違憲效力。</w:t>
      </w:r>
      <w:r>
        <w:br/>
      </w:r>
      <w:r>
        <w:rPr>
          <w:rFonts w:hint="eastAsia"/>
        </w:rPr>
        <w:t>這樣的區分，也顯示憲法審查在不同基本權保障下的運作邏輯差異。</w:t>
      </w:r>
    </w:p>
    <w:p w:rsidR="005E674B" w:rsidRDefault="00833731">
      <w:bookmarkStart w:id="94" w:name="修法動向"/>
      <w:bookmarkEnd w:id="92"/>
      <w:r>
        <w:br w:type="page"/>
      </w:r>
    </w:p>
    <w:p w:rsidR="005E674B" w:rsidRDefault="00833731">
      <w:pPr>
        <w:pStyle w:val="2"/>
      </w:pPr>
      <w:bookmarkStart w:id="95" w:name="_Toc211785298"/>
      <w:r>
        <w:rPr>
          <w:rFonts w:hint="eastAsia"/>
        </w:rPr>
        <w:lastRenderedPageBreak/>
        <w:t>修法動向</w:t>
      </w:r>
      <w:bookmarkEnd w:id="95"/>
    </w:p>
    <w:p w:rsidR="005E674B" w:rsidRDefault="00833731">
      <w:pPr>
        <w:pStyle w:val="3"/>
      </w:pPr>
      <w:bookmarkStart w:id="96" w:name="附帶說明的省思"/>
      <w:bookmarkStart w:id="97" w:name="_Toc211785299"/>
      <w:r>
        <w:rPr>
          <w:rFonts w:hint="eastAsia"/>
        </w:rPr>
        <w:t>附帶說明的省思</w:t>
      </w:r>
      <w:bookmarkEnd w:id="97"/>
    </w:p>
    <w:p w:rsidR="005E674B" w:rsidRDefault="00833731">
      <w:pPr>
        <w:pStyle w:val="FirstParagraph"/>
      </w:pPr>
      <w:r>
        <w:rPr>
          <w:rFonts w:hint="eastAsia"/>
        </w:rPr>
        <w:t>最後，我用大約十分鐘的時間，簡單說明一下目前財政部在</w:t>
      </w:r>
      <w:r>
        <w:rPr>
          <w:rFonts w:hint="eastAsia"/>
        </w:rPr>
        <w:t>113</w:t>
      </w:r>
      <w:r>
        <w:rPr>
          <w:rFonts w:hint="eastAsia"/>
        </w:rPr>
        <w:t>年憲判字第</w:t>
      </w:r>
      <w:r>
        <w:rPr>
          <w:rFonts w:hint="eastAsia"/>
        </w:rPr>
        <w:t>11</w:t>
      </w:r>
      <w:r>
        <w:rPr>
          <w:rFonts w:hint="eastAsia"/>
        </w:rPr>
        <w:t>號判決後的立法動向。</w:t>
      </w:r>
      <w:r>
        <w:br/>
      </w:r>
      <w:r>
        <w:rPr>
          <w:rFonts w:hint="eastAsia"/>
        </w:rPr>
        <w:t>在該判決的附帶說明部分，大法官提到兩個值得注意的方向：</w:t>
      </w:r>
    </w:p>
    <w:p w:rsidR="005E674B" w:rsidRDefault="00833731">
      <w:pPr>
        <w:numPr>
          <w:ilvl w:val="0"/>
          <w:numId w:val="67"/>
        </w:numPr>
      </w:pPr>
      <w:r>
        <w:rPr>
          <w:rFonts w:hint="eastAsia"/>
          <w:b/>
          <w:bCs/>
        </w:rPr>
        <w:t>總遺產稅制是否應改為分遺產稅制</w:t>
      </w:r>
      <w:r>
        <w:br/>
      </w:r>
      <w:r>
        <w:rPr>
          <w:rFonts w:hint="eastAsia"/>
        </w:rPr>
        <w:t>分遺產稅制的理念，是依各別繼承人實際取得遺產的金額及其負擔能力，分別課徵遺產稅。</w:t>
      </w:r>
      <w:r>
        <w:br/>
      </w:r>
      <w:r>
        <w:rPr>
          <w:rFonts w:hint="eastAsia"/>
        </w:rPr>
        <w:t>也就是說，誰繼承多少遺產，就繳多少遺產稅。</w:t>
      </w:r>
      <w:r>
        <w:br/>
      </w:r>
      <w:r>
        <w:rPr>
          <w:rFonts w:hint="eastAsia"/>
        </w:rPr>
        <w:t>這種設計在德國與日本均屬主流，能較直接反映量能課稅原則。</w:t>
      </w:r>
    </w:p>
    <w:p w:rsidR="005E674B" w:rsidRDefault="00833731">
      <w:pPr>
        <w:numPr>
          <w:ilvl w:val="0"/>
          <w:numId w:val="67"/>
        </w:numPr>
      </w:pPr>
      <w:r>
        <w:rPr>
          <w:rFonts w:hint="eastAsia"/>
          <w:b/>
          <w:bCs/>
        </w:rPr>
        <w:t>是否設定遺產稅的稅負上限</w:t>
      </w:r>
      <w:r>
        <w:br/>
      </w:r>
      <w:r>
        <w:rPr>
          <w:rFonts w:hint="eastAsia"/>
        </w:rPr>
        <w:t>這項構想在理論上是希望避免過度課稅導致的「絞殺稅」問題。</w:t>
      </w:r>
    </w:p>
    <w:p w:rsidR="005E674B" w:rsidRDefault="00833731">
      <w:pPr>
        <w:pStyle w:val="FirstParagraph"/>
      </w:pPr>
      <w:r>
        <w:rPr>
          <w:rFonts w:hint="eastAsia"/>
        </w:rPr>
        <w:t>這兩點都列於判決理由中的「七、併此指明」。</w:t>
      </w:r>
    </w:p>
    <w:p w:rsidR="005E674B" w:rsidRDefault="00833731">
      <w:pPr>
        <w:pStyle w:val="a3"/>
      </w:pPr>
      <w:r>
        <w:rPr>
          <w:rFonts w:hint="eastAsia"/>
        </w:rPr>
        <w:t>然而，財政部目前的諮詢內容顯示，這兩個方向</w:t>
      </w:r>
      <w:r>
        <w:rPr>
          <w:rFonts w:hint="eastAsia"/>
          <w:b/>
          <w:bCs/>
        </w:rPr>
        <w:t>都未被納入具體立法草案</w:t>
      </w:r>
      <w:r>
        <w:t>。</w:t>
      </w:r>
      <w:r>
        <w:br/>
      </w:r>
      <w:r>
        <w:rPr>
          <w:rFonts w:hint="eastAsia"/>
        </w:rPr>
        <w:t>他們主要聚焦於現行制度中「滯納金」與遺產稅的「分期繳納」的技術性修正，並未觸及稅制結構的改革。</w:t>
      </w:r>
    </w:p>
    <w:p w:rsidR="005E674B" w:rsidRDefault="00833731">
      <w:r>
        <w:rPr>
          <w:noProof/>
        </w:rPr>
      </w:r>
      <w:r w:rsidR="00833731">
        <w:rPr>
          <w:noProof/>
        </w:rPr>
        <w:pict>
          <v:rect id="_x0000_i1077" alt="" style="width:415.3pt;height:.05pt;mso-width-percent:0;mso-height-percent:0;mso-width-percent:0;mso-height-percent:0" o:hralign="center" o:hrstd="t" o:hr="t"/>
        </w:pict>
      </w:r>
    </w:p>
    <w:p w:rsidR="005E674B" w:rsidRDefault="00833731">
      <w:pPr>
        <w:pStyle w:val="3"/>
      </w:pPr>
      <w:bookmarkStart w:id="98" w:name="總遺產稅制的困境"/>
      <w:bookmarkStart w:id="99" w:name="_Toc211785300"/>
      <w:bookmarkEnd w:id="96"/>
      <w:r>
        <w:rPr>
          <w:rFonts w:hint="eastAsia"/>
        </w:rPr>
        <w:t>總遺產稅制的困境</w:t>
      </w:r>
      <w:bookmarkEnd w:id="99"/>
    </w:p>
    <w:p w:rsidR="005E674B" w:rsidRDefault="00833731">
      <w:pPr>
        <w:pStyle w:val="FirstParagraph"/>
      </w:pPr>
      <w:r>
        <w:rPr>
          <w:rFonts w:hint="eastAsia"/>
        </w:rPr>
        <w:t>目前的「總遺產稅制」仍存在重大問題。</w:t>
      </w:r>
      <w:r>
        <w:br/>
      </w:r>
      <w:r>
        <w:rPr>
          <w:rFonts w:hint="eastAsia"/>
        </w:rPr>
        <w:t>在這個制度下，遺產稅是對整體遺產總額課稅，而不是依各繼承人實際取得額分別課稅。</w:t>
      </w:r>
      <w:r>
        <w:br/>
      </w:r>
      <w:r>
        <w:rPr>
          <w:rFonts w:hint="eastAsia"/>
        </w:rPr>
        <w:t>因此，</w:t>
      </w:r>
      <w:r>
        <w:rPr>
          <w:rFonts w:hint="eastAsia"/>
          <w:b/>
          <w:bCs/>
        </w:rPr>
        <w:t>若整體遺產稅未繳清，任何繼承人都不能動產</w:t>
      </w:r>
      <w:r>
        <w:t>。</w:t>
      </w:r>
      <w:r>
        <w:br/>
      </w:r>
      <w:r>
        <w:rPr>
          <w:rFonts w:hint="eastAsia"/>
        </w:rPr>
        <w:t>每位繼承人都被視為對全體遺產稅負有「連帶清償責任」。</w:t>
      </w:r>
    </w:p>
    <w:p w:rsidR="005E674B" w:rsidRDefault="00833731">
      <w:pPr>
        <w:pStyle w:val="a3"/>
      </w:pPr>
      <w:r>
        <w:rPr>
          <w:rFonts w:hint="eastAsia"/>
        </w:rPr>
        <w:t>依據財政部目前草案的方向，並沒有要修改這一制度，也沒有要設立稅負上限。</w:t>
      </w:r>
      <w:r>
        <w:br/>
      </w:r>
      <w:r>
        <w:rPr>
          <w:rFonts w:hint="eastAsia"/>
        </w:rPr>
        <w:t>我個人覺得相當遺憾。</w:t>
      </w:r>
      <w:r>
        <w:br/>
      </w:r>
      <w:r>
        <w:rPr>
          <w:rFonts w:hint="eastAsia"/>
        </w:rPr>
        <w:t>因為從比較法角度來看，德國與日本早就採行分遺產稅制。</w:t>
      </w:r>
      <w:r>
        <w:br/>
      </w:r>
      <w:r>
        <w:rPr>
          <w:rFonts w:hint="eastAsia"/>
        </w:rPr>
        <w:t>在這些國家，遺產分配依據法定繼承比例或遺囑指示，個別課稅、分別繳納，整體稅制運作更為合理。</w:t>
      </w:r>
      <w:r>
        <w:br/>
      </w:r>
      <w:r>
        <w:rPr>
          <w:rFonts w:hint="eastAsia"/>
        </w:rPr>
        <w:t>在我國現行法律下，大多數繼承仍是依法律規定的「應繼分」處理，而不是透過遺囑自行分配。</w:t>
      </w:r>
      <w:r>
        <w:br/>
      </w:r>
      <w:r>
        <w:rPr>
          <w:rFonts w:hint="eastAsia"/>
        </w:rPr>
        <w:t>因此，若能改為分遺產稅制，對稅捐稽徵機關與納稅人雙方都會更為有利。</w:t>
      </w:r>
    </w:p>
    <w:p w:rsidR="005E674B" w:rsidRDefault="00833731">
      <w:pPr>
        <w:pStyle w:val="a3"/>
      </w:pPr>
      <w:r>
        <w:rPr>
          <w:rFonts w:hint="eastAsia"/>
        </w:rPr>
        <w:t>至於設定「稅負上限」，目前的法律環境也確實存在困難。</w:t>
      </w:r>
      <w:r>
        <w:br/>
      </w:r>
      <w:r>
        <w:rPr>
          <w:rFonts w:hint="eastAsia"/>
        </w:rPr>
        <w:t>除非發生極端的「絞殺稅」情況，否則很難合理界定上限的比例。</w:t>
      </w:r>
      <w:r>
        <w:br/>
      </w:r>
      <w:r>
        <w:rPr>
          <w:rFonts w:hint="eastAsia"/>
        </w:rPr>
        <w:t>以德國為例，他們也未採取「半數原則」（即不得課超過總遺產的一半）。</w:t>
      </w:r>
      <w:r>
        <w:br/>
      </w:r>
      <w:r>
        <w:rPr>
          <w:rFonts w:hint="eastAsia"/>
        </w:rPr>
        <w:t>雖然我國法律中有規定「遺產稅加罰鍰不得超過遺產總額」，但該條文的歷史背景，是在過去遺產稅稅率高達</w:t>
      </w:r>
      <w:r>
        <w:rPr>
          <w:rFonts w:hint="eastAsia"/>
        </w:rPr>
        <w:t>50%</w:t>
      </w:r>
      <w:r>
        <w:rPr>
          <w:rFonts w:hint="eastAsia"/>
        </w:rPr>
        <w:t>以上時所設。</w:t>
      </w:r>
      <w:r>
        <w:br/>
      </w:r>
      <w:r>
        <w:rPr>
          <w:rFonts w:hint="eastAsia"/>
        </w:rPr>
        <w:t>如今稅率已遠低於此，加上罰鍰不屬於稅捐性質，因此現行法下幾乎不會再出現徵收超過半數的情況。</w:t>
      </w:r>
      <w:r>
        <w:br/>
      </w:r>
      <w:r>
        <w:rPr>
          <w:rFonts w:hint="eastAsia"/>
        </w:rPr>
        <w:t>這也是財政部目前對「稅負上限」持保留態度的原因。</w:t>
      </w:r>
    </w:p>
    <w:p w:rsidR="005E674B" w:rsidRDefault="00833731">
      <w:r>
        <w:rPr>
          <w:noProof/>
        </w:rPr>
        <w:lastRenderedPageBreak/>
      </w:r>
      <w:r w:rsidR="00833731">
        <w:rPr>
          <w:noProof/>
        </w:rPr>
        <w:pict>
          <v:rect id="_x0000_i1078" alt="" style="width:415.3pt;height:.05pt;mso-width-percent:0;mso-height-percent:0;mso-width-percent:0;mso-height-percent:0" o:hralign="center" o:hrstd="t" o:hr="t"/>
        </w:pict>
      </w:r>
    </w:p>
    <w:p w:rsidR="005E674B" w:rsidRDefault="00833731">
      <w:pPr>
        <w:pStyle w:val="3"/>
      </w:pPr>
      <w:bookmarkStart w:id="100" w:name="過渡案件的處理"/>
      <w:bookmarkStart w:id="101" w:name="_Toc211785301"/>
      <w:bookmarkEnd w:id="98"/>
      <w:r>
        <w:rPr>
          <w:rFonts w:hint="eastAsia"/>
        </w:rPr>
        <w:t>過渡案件的處理</w:t>
      </w:r>
      <w:bookmarkEnd w:id="101"/>
    </w:p>
    <w:p w:rsidR="005E674B" w:rsidRDefault="00833731">
      <w:pPr>
        <w:pStyle w:val="FirstParagraph"/>
      </w:pPr>
      <w:r>
        <w:rPr>
          <w:rFonts w:hint="eastAsia"/>
        </w:rPr>
        <w:t>接著，我談一下「過渡期間」的案件該如何處理。</w:t>
      </w:r>
      <w:r>
        <w:br/>
      </w:r>
      <w:r>
        <w:rPr>
          <w:rFonts w:hint="eastAsia"/>
        </w:rPr>
        <w:t>以聲請人一的案子為例，因為法律尚未修正，</w:t>
      </w:r>
      <w:r>
        <w:rPr>
          <w:rFonts w:hint="eastAsia"/>
          <w:b/>
          <w:bCs/>
        </w:rPr>
        <w:t>國稅局目前並沒有法律依據</w:t>
      </w:r>
      <w:r>
        <w:rPr>
          <w:rFonts w:hint="eastAsia"/>
        </w:rPr>
        <w:t>可以向那位「拿走生前贈與財產（視為遺產）」的配偶課稅。</w:t>
      </w:r>
      <w:r>
        <w:br/>
      </w:r>
      <w:r>
        <w:rPr>
          <w:rFonts w:hint="eastAsia"/>
        </w:rPr>
        <w:t>憲法法庭判決只指出：「法律不明確，導致讓繼承人去負擔增加的遺產稅。」</w:t>
      </w:r>
      <w:r>
        <w:br/>
      </w:r>
      <w:r>
        <w:rPr>
          <w:rFonts w:hint="eastAsia"/>
        </w:rPr>
        <w:t>但並沒有直接命令稅捐機關「應改向受贈配偶課稅」。</w:t>
      </w:r>
    </w:p>
    <w:p w:rsidR="005E674B" w:rsidRDefault="00833731">
      <w:pPr>
        <w:pStyle w:val="a3"/>
      </w:pPr>
      <w:r>
        <w:rPr>
          <w:rFonts w:hint="eastAsia"/>
        </w:rPr>
        <w:t>所以，以聲請人一那個案子，回到我們北高行的學長姐，北高行的學長姐再</w:t>
      </w:r>
      <w:r>
        <w:rPr>
          <w:rFonts w:hint="eastAsia"/>
        </w:rPr>
        <w:t>feedback</w:t>
      </w:r>
      <w:r>
        <w:rPr>
          <w:rFonts w:hint="eastAsia"/>
        </w:rPr>
        <w:t>給國稅局，其實基本上在現行立法沒有修正之前，大概什麼都不能動，一定要等修法。</w:t>
      </w:r>
    </w:p>
    <w:p w:rsidR="005E674B" w:rsidRDefault="00833731">
      <w:pPr>
        <w:pStyle w:val="a3"/>
      </w:pPr>
      <w:r>
        <w:rPr>
          <w:rFonts w:hint="eastAsia"/>
        </w:rPr>
        <w:t>然而，修法完成後還有「法不溯及既往」的問題。</w:t>
      </w:r>
      <w:r>
        <w:br/>
      </w:r>
      <w:r>
        <w:rPr>
          <w:rFonts w:hint="eastAsia"/>
        </w:rPr>
        <w:t>舉例來說，在所得稅法中，捐地節稅的案件就是因為釋字第</w:t>
      </w:r>
      <w:r>
        <w:rPr>
          <w:rFonts w:hint="eastAsia"/>
        </w:rPr>
        <w:t>705</w:t>
      </w:r>
      <w:r>
        <w:rPr>
          <w:rFonts w:hint="eastAsia"/>
        </w:rPr>
        <w:t>號解釋後，立法院修正增訂第</w:t>
      </w:r>
      <w:r>
        <w:rPr>
          <w:rFonts w:hint="eastAsia"/>
        </w:rPr>
        <w:t>17-4</w:t>
      </w:r>
      <w:r>
        <w:rPr>
          <w:rFonts w:hint="eastAsia"/>
        </w:rPr>
        <w:t>條（非現金捐贈規定），才讓特定情況能「明文溯及既往」。</w:t>
      </w:r>
      <w:r>
        <w:br/>
      </w:r>
      <w:r>
        <w:rPr>
          <w:rFonts w:hint="eastAsia"/>
        </w:rPr>
        <w:t>因此，如果遺產稅案件要處理過渡期間的問題，</w:t>
      </w:r>
      <w:r>
        <w:rPr>
          <w:rFonts w:hint="eastAsia"/>
          <w:b/>
          <w:bCs/>
        </w:rPr>
        <w:t>也必須透過立法明定溯及條款</w:t>
      </w:r>
      <w:r>
        <w:rPr>
          <w:rFonts w:hint="eastAsia"/>
        </w:rPr>
        <w:t>，否則既有案件將無法補救。</w:t>
      </w:r>
    </w:p>
    <w:p w:rsidR="005E674B" w:rsidRDefault="00833731">
      <w:pPr>
        <w:pStyle w:val="a3"/>
      </w:pPr>
      <w:r>
        <w:rPr>
          <w:rFonts w:hint="eastAsia"/>
        </w:rPr>
        <w:t>以聲請人二的案件為例，因為配偶並沒有拋棄繼承，因此問題較單純。</w:t>
      </w:r>
      <w:r>
        <w:br/>
      </w:r>
      <w:r>
        <w:rPr>
          <w:rFonts w:hint="eastAsia"/>
        </w:rPr>
        <w:t>依照大法官的見解，只要依平等原則半數計算即可，不涉及溯及的問題。</w:t>
      </w:r>
      <w:r>
        <w:br/>
      </w:r>
      <w:r>
        <w:rPr>
          <w:rFonts w:hint="eastAsia"/>
        </w:rPr>
        <w:t>但在過渡期間的實務操作上，仍需由立法者在修法時明確規範適用範圍與時點。</w:t>
      </w:r>
    </w:p>
    <w:p w:rsidR="005E674B" w:rsidRDefault="00833731">
      <w:r>
        <w:rPr>
          <w:noProof/>
        </w:rPr>
      </w:r>
      <w:r w:rsidR="00833731">
        <w:rPr>
          <w:noProof/>
        </w:rPr>
        <w:pict>
          <v:rect id="_x0000_i1079" alt="" style="width:415.3pt;height:.05pt;mso-width-percent:0;mso-height-percent:0;mso-width-percent:0;mso-height-percent:0" o:hralign="center" o:hrstd="t" o:hr="t"/>
        </w:pict>
      </w:r>
    </w:p>
    <w:p w:rsidR="005E674B" w:rsidRDefault="00833731">
      <w:pPr>
        <w:pStyle w:val="3"/>
      </w:pPr>
      <w:bookmarkStart w:id="102" w:name="立法補正的必要性"/>
      <w:bookmarkStart w:id="103" w:name="_Toc211785302"/>
      <w:bookmarkEnd w:id="100"/>
      <w:r>
        <w:rPr>
          <w:rFonts w:hint="eastAsia"/>
        </w:rPr>
        <w:t>立法補正的必要性</w:t>
      </w:r>
      <w:bookmarkEnd w:id="103"/>
    </w:p>
    <w:p w:rsidR="005E674B" w:rsidRDefault="00833731">
      <w:pPr>
        <w:pStyle w:val="FirstParagraph"/>
      </w:pPr>
      <w:r>
        <w:rPr>
          <w:rFonts w:hint="eastAsia"/>
        </w:rPr>
        <w:t>簡言之，目前的遺產稅案件，特別是像聲請人一這種「配偶生前受贈但拋棄繼承」的情形，在修法前國稅局沒有法源依據可以直接課稅。</w:t>
      </w:r>
      <w:r>
        <w:br/>
      </w:r>
      <w:r>
        <w:rPr>
          <w:rFonts w:hint="eastAsia"/>
        </w:rPr>
        <w:t>只有待立法完成，並明定「溯及適用條款」後，才能針對這類案件重新開徵。</w:t>
      </w:r>
      <w:r>
        <w:br/>
      </w:r>
      <w:r>
        <w:rPr>
          <w:rFonts w:hint="eastAsia"/>
        </w:rPr>
        <w:t>否則，在現行法制下，國稅局即使想課稅也無從適用。</w:t>
      </w:r>
    </w:p>
    <w:p w:rsidR="005E674B" w:rsidRDefault="00833731">
      <w:pPr>
        <w:pStyle w:val="a3"/>
      </w:pPr>
      <w:r>
        <w:rPr>
          <w:rFonts w:hint="eastAsia"/>
        </w:rPr>
        <w:t>此外，我們現在在訴願實務常處理的還有，對於其他繼承人或繼承人配偶在兩年內受贈的情形，將來要不要比照半數計算回來、如果要的話那這個錢要怎麼交付避免事後被國稅局去追繳。</w:t>
      </w:r>
    </w:p>
    <w:p w:rsidR="005E674B" w:rsidRDefault="00833731">
      <w:bookmarkStart w:id="104" w:name="結語"/>
      <w:bookmarkEnd w:id="102"/>
      <w:bookmarkEnd w:id="94"/>
      <w:r>
        <w:br w:type="page"/>
      </w:r>
    </w:p>
    <w:p w:rsidR="005E674B" w:rsidRDefault="00833731">
      <w:pPr>
        <w:pStyle w:val="2"/>
      </w:pPr>
      <w:bookmarkStart w:id="105" w:name="_Toc211785303"/>
      <w:r>
        <w:rPr>
          <w:rFonts w:hint="eastAsia"/>
        </w:rPr>
        <w:lastRenderedPageBreak/>
        <w:t>結語</w:t>
      </w:r>
      <w:bookmarkEnd w:id="105"/>
    </w:p>
    <w:p w:rsidR="005E674B" w:rsidRDefault="00833731">
      <w:pPr>
        <w:pStyle w:val="FirstParagraph"/>
      </w:pPr>
      <w:r>
        <w:rPr>
          <w:rFonts w:hint="eastAsia"/>
        </w:rPr>
        <w:t>本次討論以</w:t>
      </w:r>
      <w:r>
        <w:rPr>
          <w:rFonts w:hint="eastAsia"/>
        </w:rPr>
        <w:t>113</w:t>
      </w:r>
      <w:r>
        <w:rPr>
          <w:rFonts w:hint="eastAsia"/>
        </w:rPr>
        <w:t>年憲判字第</w:t>
      </w:r>
      <w:r>
        <w:rPr>
          <w:rFonts w:hint="eastAsia"/>
        </w:rPr>
        <w:t>11</w:t>
      </w:r>
      <w:r>
        <w:rPr>
          <w:rFonts w:hint="eastAsia"/>
        </w:rPr>
        <w:t>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p>
    <w:bookmarkEnd w:id="104"/>
    <w:bookmarkEnd w:id="0"/>
    <w:sectPr w:rsidR="005E674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3731" w:rsidRDefault="00833731">
      <w:pPr>
        <w:spacing w:after="0" w:line="240" w:lineRule="auto"/>
      </w:pPr>
      <w:r>
        <w:separator/>
      </w:r>
    </w:p>
  </w:endnote>
  <w:endnote w:type="continuationSeparator" w:id="0">
    <w:p w:rsidR="00833731" w:rsidRDefault="0083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3731" w:rsidRDefault="00833731">
      <w:pPr>
        <w:spacing w:after="0" w:line="240" w:lineRule="auto"/>
      </w:pPr>
      <w:r>
        <w:separator/>
      </w:r>
    </w:p>
  </w:footnote>
  <w:footnote w:type="continuationSeparator" w:id="0">
    <w:p w:rsidR="00833731" w:rsidRDefault="00833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445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80A3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066E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1815812">
    <w:abstractNumId w:val="0"/>
  </w:num>
  <w:num w:numId="2" w16cid:durableId="943877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6458780">
    <w:abstractNumId w:val="1"/>
  </w:num>
  <w:num w:numId="4" w16cid:durableId="1307322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3678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5179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5403085">
    <w:abstractNumId w:val="1"/>
  </w:num>
  <w:num w:numId="8" w16cid:durableId="794442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5656077">
    <w:abstractNumId w:val="1"/>
  </w:num>
  <w:num w:numId="10" w16cid:durableId="1060441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6761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2304040">
    <w:abstractNumId w:val="1"/>
  </w:num>
  <w:num w:numId="13" w16cid:durableId="795688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6312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4637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0724905">
    <w:abstractNumId w:val="1"/>
  </w:num>
  <w:num w:numId="17" w16cid:durableId="1233270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8548805">
    <w:abstractNumId w:val="1"/>
  </w:num>
  <w:num w:numId="19" w16cid:durableId="1982610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1038662">
    <w:abstractNumId w:val="1"/>
  </w:num>
  <w:num w:numId="21" w16cid:durableId="1057167504">
    <w:abstractNumId w:val="1"/>
  </w:num>
  <w:num w:numId="22" w16cid:durableId="646009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8849524">
    <w:abstractNumId w:val="0"/>
  </w:num>
  <w:num w:numId="24" w16cid:durableId="1947348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2268214">
    <w:abstractNumId w:val="1"/>
  </w:num>
  <w:num w:numId="26" w16cid:durableId="1473669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6456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69922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79098924">
    <w:abstractNumId w:val="1"/>
  </w:num>
  <w:num w:numId="30" w16cid:durableId="1833178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529604">
    <w:abstractNumId w:val="1"/>
  </w:num>
  <w:num w:numId="32" w16cid:durableId="2118526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6544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48711435">
    <w:abstractNumId w:val="1"/>
  </w:num>
  <w:num w:numId="35" w16cid:durableId="1165971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2890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49091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436278">
    <w:abstractNumId w:val="1"/>
  </w:num>
  <w:num w:numId="39" w16cid:durableId="1050114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2171952">
    <w:abstractNumId w:val="1"/>
  </w:num>
  <w:num w:numId="41" w16cid:durableId="1011296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71272294">
    <w:abstractNumId w:val="1"/>
  </w:num>
  <w:num w:numId="43" w16cid:durableId="1281381096">
    <w:abstractNumId w:val="1"/>
  </w:num>
  <w:num w:numId="44" w16cid:durableId="902717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29823716">
    <w:abstractNumId w:val="0"/>
  </w:num>
  <w:num w:numId="46" w16cid:durableId="435056031">
    <w:abstractNumId w:val="1"/>
  </w:num>
  <w:num w:numId="47" w16cid:durableId="1306542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40666598">
    <w:abstractNumId w:val="1"/>
  </w:num>
  <w:num w:numId="49" w16cid:durableId="910653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87714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36122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69589810">
    <w:abstractNumId w:val="1"/>
  </w:num>
  <w:num w:numId="53" w16cid:durableId="2080247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69932308">
    <w:abstractNumId w:val="1"/>
  </w:num>
  <w:num w:numId="55" w16cid:durableId="1109156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886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48042490">
    <w:abstractNumId w:val="1"/>
  </w:num>
  <w:num w:numId="58" w16cid:durableId="1223102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33697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98230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98911173">
    <w:abstractNumId w:val="1"/>
  </w:num>
  <w:num w:numId="62" w16cid:durableId="775559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42173569">
    <w:abstractNumId w:val="1"/>
  </w:num>
  <w:num w:numId="64" w16cid:durableId="1401101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09191580">
    <w:abstractNumId w:val="1"/>
  </w:num>
  <w:num w:numId="66" w16cid:durableId="385374913">
    <w:abstractNumId w:val="1"/>
  </w:num>
  <w:num w:numId="67" w16cid:durableId="2004239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10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597A"/>
    <w:rsid w:val="001C72C9"/>
    <w:rsid w:val="0045280C"/>
    <w:rsid w:val="00540D87"/>
    <w:rsid w:val="005E674B"/>
    <w:rsid w:val="006C597A"/>
    <w:rsid w:val="00833731"/>
    <w:rsid w:val="00BB57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5:docId w15:val="{920724C0-CD1D-F14E-A2BC-04453798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TW"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toc 1" w:uiPriority="39"/>
    <w:lsdException w:name="toc 2" w:uiPriority="39"/>
    <w:lsdException w:name="toc 3" w:uiPriority="39"/>
    <w:lsdException w:name="toc 4" w:uiPriority="39"/>
    <w:lsdException w:name="caption" w:semiHidden="1"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5714"/>
    <w:pPr>
      <w:jc w:val="left"/>
    </w:pPr>
  </w:style>
  <w:style w:type="paragraph" w:styleId="1">
    <w:name w:val="heading 1"/>
    <w:basedOn w:val="a"/>
    <w:next w:val="a"/>
    <w:link w:val="10"/>
    <w:uiPriority w:val="9"/>
    <w:qFormat/>
    <w:rsid w:val="00BB5714"/>
    <w:pPr>
      <w:spacing w:before="300" w:after="40"/>
      <w:outlineLvl w:val="0"/>
    </w:pPr>
    <w:rPr>
      <w:b/>
      <w:smallCaps/>
      <w:spacing w:val="5"/>
      <w:sz w:val="32"/>
      <w:szCs w:val="32"/>
    </w:rPr>
  </w:style>
  <w:style w:type="paragraph" w:styleId="2">
    <w:name w:val="heading 2"/>
    <w:basedOn w:val="a"/>
    <w:next w:val="a"/>
    <w:link w:val="20"/>
    <w:uiPriority w:val="9"/>
    <w:semiHidden/>
    <w:unhideWhenUsed/>
    <w:qFormat/>
    <w:rsid w:val="00BB5714"/>
    <w:pPr>
      <w:spacing w:before="240" w:after="80"/>
      <w:outlineLvl w:val="1"/>
    </w:pPr>
    <w:rPr>
      <w:b/>
      <w:smallCaps/>
      <w:spacing w:val="5"/>
      <w:sz w:val="28"/>
      <w:szCs w:val="28"/>
    </w:rPr>
  </w:style>
  <w:style w:type="paragraph" w:styleId="3">
    <w:name w:val="heading 3"/>
    <w:basedOn w:val="a"/>
    <w:next w:val="a"/>
    <w:link w:val="30"/>
    <w:uiPriority w:val="9"/>
    <w:semiHidden/>
    <w:unhideWhenUsed/>
    <w:qFormat/>
    <w:rsid w:val="00BB5714"/>
    <w:pPr>
      <w:spacing w:after="0"/>
      <w:outlineLvl w:val="2"/>
    </w:pPr>
    <w:rPr>
      <w:b/>
      <w:smallCaps/>
      <w:spacing w:val="5"/>
      <w:sz w:val="24"/>
      <w:szCs w:val="24"/>
    </w:rPr>
  </w:style>
  <w:style w:type="paragraph" w:styleId="4">
    <w:name w:val="heading 4"/>
    <w:basedOn w:val="a"/>
    <w:next w:val="a"/>
    <w:link w:val="40"/>
    <w:uiPriority w:val="9"/>
    <w:semiHidden/>
    <w:unhideWhenUsed/>
    <w:qFormat/>
    <w:rsid w:val="00BB5714"/>
    <w:pPr>
      <w:spacing w:before="240" w:after="0"/>
      <w:outlineLvl w:val="3"/>
    </w:pPr>
    <w:rPr>
      <w:b/>
      <w:smallCaps/>
      <w:spacing w:val="10"/>
      <w:sz w:val="22"/>
      <w:szCs w:val="22"/>
    </w:rPr>
  </w:style>
  <w:style w:type="paragraph" w:styleId="5">
    <w:name w:val="heading 5"/>
    <w:basedOn w:val="a"/>
    <w:next w:val="a"/>
    <w:link w:val="50"/>
    <w:uiPriority w:val="9"/>
    <w:semiHidden/>
    <w:unhideWhenUsed/>
    <w:qFormat/>
    <w:rsid w:val="00BB5714"/>
    <w:pPr>
      <w:spacing w:before="200" w:after="0"/>
      <w:outlineLvl w:val="4"/>
    </w:pPr>
    <w:rPr>
      <w:b/>
      <w:smallCaps/>
      <w:color w:val="943634" w:themeColor="accent2" w:themeShade="BF"/>
      <w:spacing w:val="10"/>
      <w:sz w:val="22"/>
      <w:szCs w:val="26"/>
    </w:rPr>
  </w:style>
  <w:style w:type="paragraph" w:styleId="6">
    <w:name w:val="heading 6"/>
    <w:basedOn w:val="a"/>
    <w:next w:val="a"/>
    <w:link w:val="60"/>
    <w:uiPriority w:val="9"/>
    <w:semiHidden/>
    <w:unhideWhenUsed/>
    <w:qFormat/>
    <w:rsid w:val="00BB5714"/>
    <w:pPr>
      <w:spacing w:after="0"/>
      <w:outlineLvl w:val="5"/>
    </w:pPr>
    <w:rPr>
      <w:smallCaps/>
      <w:color w:val="C0504D" w:themeColor="accent2"/>
      <w:spacing w:val="5"/>
      <w:sz w:val="22"/>
    </w:rPr>
  </w:style>
  <w:style w:type="paragraph" w:styleId="7">
    <w:name w:val="heading 7"/>
    <w:basedOn w:val="a"/>
    <w:next w:val="a"/>
    <w:link w:val="70"/>
    <w:uiPriority w:val="9"/>
    <w:semiHidden/>
    <w:unhideWhenUsed/>
    <w:qFormat/>
    <w:rsid w:val="00BB5714"/>
    <w:pPr>
      <w:spacing w:after="0"/>
      <w:outlineLvl w:val="6"/>
    </w:pPr>
    <w:rPr>
      <w:b/>
      <w:smallCaps/>
      <w:color w:val="C0504D" w:themeColor="accent2"/>
      <w:spacing w:val="10"/>
    </w:rPr>
  </w:style>
  <w:style w:type="paragraph" w:styleId="8">
    <w:name w:val="heading 8"/>
    <w:basedOn w:val="a"/>
    <w:next w:val="a"/>
    <w:link w:val="80"/>
    <w:uiPriority w:val="9"/>
    <w:semiHidden/>
    <w:unhideWhenUsed/>
    <w:qFormat/>
    <w:rsid w:val="00BB5714"/>
    <w:pPr>
      <w:spacing w:after="0"/>
      <w:outlineLvl w:val="7"/>
    </w:pPr>
    <w:rPr>
      <w:b/>
      <w:i/>
      <w:smallCaps/>
      <w:color w:val="943634" w:themeColor="accent2" w:themeShade="BF"/>
    </w:rPr>
  </w:style>
  <w:style w:type="paragraph" w:styleId="9">
    <w:name w:val="heading 9"/>
    <w:basedOn w:val="a"/>
    <w:next w:val="a"/>
    <w:link w:val="90"/>
    <w:uiPriority w:val="9"/>
    <w:semiHidden/>
    <w:unhideWhenUsed/>
    <w:qFormat/>
    <w:rsid w:val="00BB5714"/>
    <w:pPr>
      <w:spacing w:after="0"/>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BB5714"/>
    <w:pPr>
      <w:pBdr>
        <w:top w:val="single" w:sz="12" w:space="1" w:color="C0504D" w:themeColor="accent2"/>
      </w:pBdr>
      <w:spacing w:line="240" w:lineRule="auto"/>
      <w:jc w:val="right"/>
    </w:pPr>
    <w:rPr>
      <w:smallCaps/>
      <w:sz w:val="48"/>
      <w:szCs w:val="48"/>
    </w:rPr>
  </w:style>
  <w:style w:type="paragraph" w:styleId="a6">
    <w:name w:val="Subtitle"/>
    <w:basedOn w:val="a"/>
    <w:next w:val="a"/>
    <w:link w:val="a7"/>
    <w:uiPriority w:val="11"/>
    <w:qFormat/>
    <w:rsid w:val="00BB5714"/>
    <w:pPr>
      <w:spacing w:after="720" w:line="240" w:lineRule="auto"/>
      <w:jc w:val="right"/>
    </w:pPr>
    <w:rPr>
      <w:rFonts w:asciiTheme="majorHAnsi" w:eastAsiaTheme="majorEastAsia" w:hAnsiTheme="majorHAnsi" w:cstheme="majorBidi"/>
      <w:szCs w:val="22"/>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color w:val="345A8A"/>
    </w:rPr>
  </w:style>
  <w:style w:type="paragraph" w:customStyle="1" w:styleId="Abstract">
    <w:name w:val="Abstract"/>
    <w:basedOn w:val="a"/>
    <w:next w:val="a3"/>
    <w:pPr>
      <w:keepNext/>
      <w:keepLines/>
      <w:spacing w:before="100" w:after="300"/>
    </w:p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semiHidden/>
    <w:unhideWhenUsed/>
    <w:qFormat/>
    <w:rsid w:val="00BB5714"/>
    <w:rPr>
      <w:b/>
      <w:bCs/>
      <w:caps/>
      <w:sz w:val="16"/>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0"/>
    <w:link w:val="ac"/>
    <w:uiPriority w:val="35"/>
    <w:semiHidden/>
    <w:rsid w:val="00BB5714"/>
    <w:rPr>
      <w:b/>
      <w:bCs/>
      <w:caps/>
      <w:sz w:val="16"/>
      <w:szCs w:val="18"/>
    </w:rPr>
  </w:style>
  <w:style w:type="character" w:customStyle="1" w:styleId="VerbatimChar">
    <w:name w:val="Verbatim Char"/>
    <w:basedOn w:val="ad"/>
    <w:link w:val="SourceCode"/>
    <w:rPr>
      <w:rFonts w:ascii="Consolas" w:hAnsi="Consolas"/>
      <w:b/>
      <w:bCs/>
      <w:caps/>
      <w:sz w:val="22"/>
      <w:szCs w:val="18"/>
    </w:rPr>
  </w:style>
  <w:style w:type="character" w:customStyle="1" w:styleId="SectionNumber">
    <w:name w:val="Section Number"/>
    <w:basedOn w:val="ad"/>
    <w:rPr>
      <w:b/>
      <w:bCs/>
      <w:caps/>
      <w:sz w:val="16"/>
      <w:szCs w:val="18"/>
    </w:rPr>
  </w:style>
  <w:style w:type="character" w:styleId="ae">
    <w:name w:val="footnote reference"/>
    <w:basedOn w:val="ad"/>
    <w:rPr>
      <w:b/>
      <w:bCs/>
      <w:caps/>
      <w:sz w:val="16"/>
      <w:szCs w:val="18"/>
      <w:vertAlign w:val="superscript"/>
    </w:rPr>
  </w:style>
  <w:style w:type="character" w:styleId="af">
    <w:name w:val="Hyperlink"/>
    <w:basedOn w:val="ad"/>
    <w:uiPriority w:val="99"/>
    <w:rPr>
      <w:b/>
      <w:bCs/>
      <w:caps/>
      <w:color w:val="4F81BD" w:themeColor="accent1"/>
      <w:sz w:val="16"/>
      <w:szCs w:val="18"/>
    </w:rPr>
  </w:style>
  <w:style w:type="paragraph" w:styleId="af0">
    <w:name w:val="TOC Heading"/>
    <w:basedOn w:val="1"/>
    <w:next w:val="a"/>
    <w:uiPriority w:val="39"/>
    <w:semiHidden/>
    <w:unhideWhenUsed/>
    <w:qFormat/>
    <w:rsid w:val="00BB5714"/>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10">
    <w:name w:val="標題 1 字元"/>
    <w:basedOn w:val="a0"/>
    <w:link w:val="1"/>
    <w:uiPriority w:val="9"/>
    <w:rsid w:val="00BB5714"/>
    <w:rPr>
      <w:b/>
      <w:smallCaps/>
      <w:spacing w:val="5"/>
      <w:sz w:val="32"/>
      <w:szCs w:val="32"/>
    </w:rPr>
  </w:style>
  <w:style w:type="character" w:customStyle="1" w:styleId="20">
    <w:name w:val="標題 2 字元"/>
    <w:basedOn w:val="a0"/>
    <w:link w:val="2"/>
    <w:uiPriority w:val="9"/>
    <w:rsid w:val="00BB5714"/>
    <w:rPr>
      <w:b/>
      <w:smallCaps/>
      <w:spacing w:val="5"/>
      <w:sz w:val="28"/>
      <w:szCs w:val="28"/>
    </w:rPr>
  </w:style>
  <w:style w:type="character" w:customStyle="1" w:styleId="30">
    <w:name w:val="標題 3 字元"/>
    <w:basedOn w:val="a0"/>
    <w:link w:val="3"/>
    <w:uiPriority w:val="9"/>
    <w:rsid w:val="00BB5714"/>
    <w:rPr>
      <w:b/>
      <w:smallCaps/>
      <w:spacing w:val="5"/>
      <w:sz w:val="24"/>
      <w:szCs w:val="24"/>
    </w:rPr>
  </w:style>
  <w:style w:type="character" w:customStyle="1" w:styleId="40">
    <w:name w:val="標題 4 字元"/>
    <w:basedOn w:val="a0"/>
    <w:link w:val="4"/>
    <w:uiPriority w:val="9"/>
    <w:rsid w:val="00BB5714"/>
    <w:rPr>
      <w:b/>
      <w:smallCaps/>
      <w:spacing w:val="10"/>
      <w:sz w:val="22"/>
      <w:szCs w:val="22"/>
    </w:rPr>
  </w:style>
  <w:style w:type="character" w:customStyle="1" w:styleId="50">
    <w:name w:val="標題 5 字元"/>
    <w:basedOn w:val="a0"/>
    <w:link w:val="5"/>
    <w:uiPriority w:val="9"/>
    <w:semiHidden/>
    <w:rsid w:val="00BB5714"/>
    <w:rPr>
      <w:b/>
      <w:smallCaps/>
      <w:color w:val="943634" w:themeColor="accent2" w:themeShade="BF"/>
      <w:spacing w:val="10"/>
      <w:sz w:val="22"/>
      <w:szCs w:val="26"/>
    </w:rPr>
  </w:style>
  <w:style w:type="character" w:customStyle="1" w:styleId="60">
    <w:name w:val="標題 6 字元"/>
    <w:basedOn w:val="a0"/>
    <w:link w:val="6"/>
    <w:uiPriority w:val="9"/>
    <w:semiHidden/>
    <w:rsid w:val="00BB5714"/>
    <w:rPr>
      <w:smallCaps/>
      <w:color w:val="C0504D" w:themeColor="accent2"/>
      <w:spacing w:val="5"/>
      <w:sz w:val="22"/>
    </w:rPr>
  </w:style>
  <w:style w:type="character" w:customStyle="1" w:styleId="70">
    <w:name w:val="標題 7 字元"/>
    <w:basedOn w:val="a0"/>
    <w:link w:val="7"/>
    <w:uiPriority w:val="9"/>
    <w:semiHidden/>
    <w:rsid w:val="00BB5714"/>
    <w:rPr>
      <w:b/>
      <w:smallCaps/>
      <w:color w:val="C0504D" w:themeColor="accent2"/>
      <w:spacing w:val="10"/>
    </w:rPr>
  </w:style>
  <w:style w:type="character" w:customStyle="1" w:styleId="80">
    <w:name w:val="標題 8 字元"/>
    <w:basedOn w:val="a0"/>
    <w:link w:val="8"/>
    <w:uiPriority w:val="9"/>
    <w:semiHidden/>
    <w:rsid w:val="00BB5714"/>
    <w:rPr>
      <w:b/>
      <w:i/>
      <w:smallCaps/>
      <w:color w:val="943634" w:themeColor="accent2" w:themeShade="BF"/>
    </w:rPr>
  </w:style>
  <w:style w:type="character" w:customStyle="1" w:styleId="90">
    <w:name w:val="標題 9 字元"/>
    <w:basedOn w:val="a0"/>
    <w:link w:val="9"/>
    <w:uiPriority w:val="9"/>
    <w:semiHidden/>
    <w:rsid w:val="00BB5714"/>
    <w:rPr>
      <w:b/>
      <w:i/>
      <w:smallCaps/>
      <w:color w:val="622423" w:themeColor="accent2" w:themeShade="7F"/>
    </w:rPr>
  </w:style>
  <w:style w:type="character" w:customStyle="1" w:styleId="a5">
    <w:name w:val="標題 字元"/>
    <w:basedOn w:val="a0"/>
    <w:link w:val="a4"/>
    <w:uiPriority w:val="10"/>
    <w:rsid w:val="00BB5714"/>
    <w:rPr>
      <w:smallCaps/>
      <w:sz w:val="48"/>
      <w:szCs w:val="48"/>
    </w:rPr>
  </w:style>
  <w:style w:type="character" w:customStyle="1" w:styleId="a7">
    <w:name w:val="副標題 字元"/>
    <w:basedOn w:val="a0"/>
    <w:link w:val="a6"/>
    <w:uiPriority w:val="11"/>
    <w:rsid w:val="00BB5714"/>
    <w:rPr>
      <w:rFonts w:asciiTheme="majorHAnsi" w:eastAsiaTheme="majorEastAsia" w:hAnsiTheme="majorHAnsi" w:cstheme="majorBidi"/>
      <w:szCs w:val="22"/>
    </w:rPr>
  </w:style>
  <w:style w:type="character" w:styleId="af1">
    <w:name w:val="Strong"/>
    <w:uiPriority w:val="22"/>
    <w:qFormat/>
    <w:rsid w:val="00BB5714"/>
    <w:rPr>
      <w:b/>
      <w:color w:val="C0504D" w:themeColor="accent2"/>
    </w:rPr>
  </w:style>
  <w:style w:type="character" w:styleId="af2">
    <w:name w:val="Emphasis"/>
    <w:uiPriority w:val="20"/>
    <w:qFormat/>
    <w:rsid w:val="00BB5714"/>
    <w:rPr>
      <w:b/>
      <w:i/>
      <w:spacing w:val="10"/>
    </w:rPr>
  </w:style>
  <w:style w:type="paragraph" w:styleId="af3">
    <w:name w:val="No Spacing"/>
    <w:basedOn w:val="a"/>
    <w:link w:val="af4"/>
    <w:uiPriority w:val="1"/>
    <w:qFormat/>
    <w:rsid w:val="00BB5714"/>
    <w:pPr>
      <w:spacing w:after="0" w:line="240" w:lineRule="auto"/>
    </w:pPr>
  </w:style>
  <w:style w:type="character" w:customStyle="1" w:styleId="af4">
    <w:name w:val="無間距 字元"/>
    <w:basedOn w:val="a0"/>
    <w:link w:val="af3"/>
    <w:uiPriority w:val="1"/>
    <w:rsid w:val="00BB5714"/>
  </w:style>
  <w:style w:type="paragraph" w:styleId="af5">
    <w:name w:val="List Paragraph"/>
    <w:basedOn w:val="a"/>
    <w:uiPriority w:val="34"/>
    <w:qFormat/>
    <w:rsid w:val="00BB5714"/>
    <w:pPr>
      <w:ind w:left="720"/>
      <w:contextualSpacing/>
    </w:pPr>
  </w:style>
  <w:style w:type="paragraph" w:styleId="af6">
    <w:name w:val="Quote"/>
    <w:basedOn w:val="a"/>
    <w:next w:val="a"/>
    <w:link w:val="af7"/>
    <w:uiPriority w:val="29"/>
    <w:qFormat/>
    <w:rsid w:val="00BB5714"/>
    <w:rPr>
      <w:i/>
    </w:rPr>
  </w:style>
  <w:style w:type="character" w:customStyle="1" w:styleId="af7">
    <w:name w:val="引文 字元"/>
    <w:basedOn w:val="a0"/>
    <w:link w:val="af6"/>
    <w:uiPriority w:val="29"/>
    <w:rsid w:val="00BB5714"/>
    <w:rPr>
      <w:i/>
    </w:rPr>
  </w:style>
  <w:style w:type="paragraph" w:styleId="af8">
    <w:name w:val="Intense Quote"/>
    <w:basedOn w:val="a"/>
    <w:next w:val="a"/>
    <w:link w:val="af9"/>
    <w:uiPriority w:val="30"/>
    <w:qFormat/>
    <w:rsid w:val="00BB571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9">
    <w:name w:val="鮮明引文 字元"/>
    <w:basedOn w:val="a0"/>
    <w:link w:val="af8"/>
    <w:uiPriority w:val="30"/>
    <w:rsid w:val="00BB5714"/>
    <w:rPr>
      <w:b/>
      <w:i/>
      <w:color w:val="FFFFFF" w:themeColor="background1"/>
      <w:shd w:val="clear" w:color="auto" w:fill="C0504D" w:themeFill="accent2"/>
    </w:rPr>
  </w:style>
  <w:style w:type="character" w:styleId="afa">
    <w:name w:val="Subtle Emphasis"/>
    <w:uiPriority w:val="19"/>
    <w:qFormat/>
    <w:rsid w:val="00BB5714"/>
    <w:rPr>
      <w:i/>
    </w:rPr>
  </w:style>
  <w:style w:type="character" w:styleId="afb">
    <w:name w:val="Intense Emphasis"/>
    <w:uiPriority w:val="21"/>
    <w:qFormat/>
    <w:rsid w:val="00BB5714"/>
    <w:rPr>
      <w:b/>
      <w:i/>
      <w:color w:val="C0504D" w:themeColor="accent2"/>
      <w:spacing w:val="10"/>
    </w:rPr>
  </w:style>
  <w:style w:type="character" w:styleId="afc">
    <w:name w:val="Subtle Reference"/>
    <w:uiPriority w:val="31"/>
    <w:qFormat/>
    <w:rsid w:val="00BB5714"/>
    <w:rPr>
      <w:b/>
    </w:rPr>
  </w:style>
  <w:style w:type="character" w:styleId="afd">
    <w:name w:val="Intense Reference"/>
    <w:uiPriority w:val="32"/>
    <w:qFormat/>
    <w:rsid w:val="00BB5714"/>
    <w:rPr>
      <w:b/>
      <w:bCs/>
      <w:smallCaps/>
      <w:spacing w:val="5"/>
      <w:sz w:val="22"/>
      <w:szCs w:val="22"/>
      <w:u w:val="single"/>
    </w:rPr>
  </w:style>
  <w:style w:type="character" w:styleId="afe">
    <w:name w:val="Book Title"/>
    <w:uiPriority w:val="33"/>
    <w:qFormat/>
    <w:rsid w:val="00BB5714"/>
    <w:rPr>
      <w:rFonts w:asciiTheme="majorHAnsi" w:eastAsiaTheme="majorEastAsia" w:hAnsiTheme="majorHAnsi" w:cstheme="majorBidi"/>
      <w:i/>
      <w:iCs/>
      <w:sz w:val="20"/>
      <w:szCs w:val="20"/>
    </w:rPr>
  </w:style>
  <w:style w:type="paragraph" w:styleId="11">
    <w:name w:val="toc 1"/>
    <w:basedOn w:val="a"/>
    <w:next w:val="a"/>
    <w:autoRedefine/>
    <w:uiPriority w:val="39"/>
    <w:rsid w:val="00833731"/>
  </w:style>
  <w:style w:type="paragraph" w:styleId="21">
    <w:name w:val="toc 2"/>
    <w:basedOn w:val="a"/>
    <w:next w:val="a"/>
    <w:autoRedefine/>
    <w:uiPriority w:val="39"/>
    <w:rsid w:val="00833731"/>
    <w:pPr>
      <w:ind w:leftChars="200" w:left="480"/>
    </w:pPr>
  </w:style>
  <w:style w:type="paragraph" w:styleId="31">
    <w:name w:val="toc 3"/>
    <w:basedOn w:val="a"/>
    <w:next w:val="a"/>
    <w:autoRedefine/>
    <w:uiPriority w:val="39"/>
    <w:rsid w:val="00833731"/>
    <w:pPr>
      <w:ind w:leftChars="400" w:left="960"/>
    </w:pPr>
  </w:style>
  <w:style w:type="paragraph" w:styleId="41">
    <w:name w:val="toc 4"/>
    <w:basedOn w:val="a"/>
    <w:next w:val="a"/>
    <w:autoRedefine/>
    <w:uiPriority w:val="39"/>
    <w:rsid w:val="00833731"/>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4760</Words>
  <Characters>27132</Characters>
  <Application>Microsoft Office Word</Application>
  <DocSecurity>0</DocSecurity>
  <Lines>226</Lines>
  <Paragraphs>63</Paragraphs>
  <ScaleCrop>false</ScaleCrop>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逸帆 王</cp:lastModifiedBy>
  <cp:revision>2</cp:revision>
  <dcterms:created xsi:type="dcterms:W3CDTF">2025-10-19T08:53:00Z</dcterms:created>
  <dcterms:modified xsi:type="dcterms:W3CDTF">2025-10-19T08:53:00Z</dcterms:modified>
</cp:coreProperties>
</file>