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40"/>
        <w:rPr>
          <w:sz w:val="26"/>
          <w:szCs w:val="26"/>
        </w:rPr>
      </w:pPr>
      <w:r>
        <w:rPr>
          <w:sz w:val="26"/>
          <w:szCs w:val="26"/>
          <w:rtl w:val="0"/>
        </w:rPr>
        <w:t>Nome: Matheus dos Anjos de Oliveira</w:t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>Data: 08/09/2026</w:t>
      </w:r>
    </w:p>
    <w:p w14:paraId="00000002">
      <w:pPr>
        <w:spacing w:after="240"/>
        <w:rPr>
          <w:sz w:val="26"/>
          <w:szCs w:val="26"/>
        </w:rPr>
      </w:pPr>
      <w:r>
        <w:rPr>
          <w:sz w:val="26"/>
          <w:szCs w:val="26"/>
          <w:rtl w:val="0"/>
        </w:rPr>
        <w:t>Faculdade: FIAP</w:t>
      </w:r>
    </w:p>
    <w:p w14:paraId="00000003">
      <w:pPr>
        <w:spacing w:after="240"/>
        <w:rPr>
          <w:sz w:val="26"/>
          <w:szCs w:val="26"/>
        </w:rPr>
      </w:pPr>
      <w:r>
        <w:rPr>
          <w:sz w:val="26"/>
          <w:szCs w:val="26"/>
          <w:rtl w:val="0"/>
        </w:rPr>
        <w:t>Curso: Ciência da Computação</w:t>
      </w:r>
    </w:p>
    <w:p w14:paraId="00000004">
      <w:pPr>
        <w:spacing w:after="240"/>
      </w:pPr>
    </w:p>
    <w:p w14:paraId="00000006">
      <w:pPr>
        <w:pStyle w:val="3"/>
        <w:keepNext w:val="0"/>
        <w:keepLines w:val="0"/>
        <w:spacing w:before="0" w:after="80"/>
        <w:ind w:left="-566" w:right="-607" w:firstLine="0"/>
        <w:rPr>
          <w:b/>
          <w:bCs/>
          <w:sz w:val="34"/>
          <w:szCs w:val="34"/>
        </w:rPr>
      </w:pPr>
      <w:bookmarkStart w:id="0" w:name="_phppam9jd454" w:colFirst="0" w:colLast="0"/>
      <w:bookmarkEnd w:id="0"/>
      <w:r>
        <w:rPr>
          <w:b/>
          <w:bCs/>
          <w:sz w:val="34"/>
          <w:szCs w:val="34"/>
          <w:rtl w:val="0"/>
        </w:rPr>
        <w:t>Classificação dos Dados</w:t>
      </w:r>
    </w:p>
    <w:p w14:paraId="00000007">
      <w:pPr>
        <w:spacing w:after="240"/>
      </w:pPr>
      <w:r>
        <w:rPr>
          <w:rtl w:val="0"/>
        </w:rPr>
        <w:t xml:space="preserve">As variáveis do projeto presentes nos arquivos </w:t>
      </w:r>
      <w:r>
        <w:rPr>
          <w:color w:val="188038"/>
          <w:rtl w:val="0"/>
        </w:rPr>
        <w:t>telemetry_baseline.csv</w:t>
      </w:r>
      <w:r>
        <w:rPr>
          <w:rtl w:val="0"/>
        </w:rPr>
        <w:t xml:space="preserve"> e </w:t>
      </w:r>
      <w:r>
        <w:rPr>
          <w:color w:val="188038"/>
          <w:rtl w:val="0"/>
        </w:rPr>
        <w:t>synthetic_telemetry_data.csv</w:t>
      </w:r>
      <w:r>
        <w:rPr>
          <w:rtl w:val="0"/>
        </w:rPr>
        <w:t xml:space="preserve"> podem ser categorizadas de acordo com o subsistema do foguete que monitoram:</w:t>
      </w:r>
    </w:p>
    <w:p w14:paraId="00000008">
      <w:pPr>
        <w:numPr>
          <w:ilvl w:val="0"/>
          <w:numId w:val="1"/>
        </w:numPr>
        <w:spacing w:after="0" w:afterAutospacing="0"/>
        <w:ind w:left="720" w:hanging="360"/>
        <w:rPr>
          <w:i w:val="0"/>
          <w:iCs w:val="0"/>
          <w:u w:val="none"/>
        </w:rPr>
      </w:pPr>
      <w:r>
        <w:rPr>
          <w:b/>
          <w:bCs/>
          <w:rtl w:val="0"/>
        </w:rPr>
        <w:t>Variáveis Térmicas:</w:t>
      </w:r>
      <w:r>
        <w:rPr>
          <w:rtl w:val="0"/>
        </w:rPr>
        <w:t xml:space="preserve"> </w:t>
      </w:r>
      <w:r>
        <w:rPr>
          <w:i w:val="0"/>
          <w:iCs w:val="0"/>
          <w:u w:val="none"/>
          <w:rtl w:val="0"/>
        </w:rPr>
        <w:t>Monitoram o aquecimento e as condições climáticas.</w:t>
      </w:r>
    </w:p>
    <w:p w14:paraId="00000009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internal_temp_c</w:t>
      </w:r>
      <w:r>
        <w:rPr>
          <w:rtl w:val="0"/>
        </w:rPr>
        <w:t>: Temperatura interna dos aviônicos e módulos.</w:t>
      </w:r>
    </w:p>
    <w:p w14:paraId="0000000A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external_temp_c</w:t>
      </w:r>
      <w:r>
        <w:rPr>
          <w:rtl w:val="0"/>
        </w:rPr>
        <w:t>: Temperatura do ambiente externo.</w:t>
      </w:r>
    </w:p>
    <w:p w14:paraId="0000000B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Variáveis Elétricas e Energéticas:</w:t>
      </w:r>
      <w:r>
        <w:rPr>
          <w:rtl w:val="0"/>
        </w:rPr>
        <w:t xml:space="preserve"> Avaliam a saúde da bateria e a viabilidade de voo.</w:t>
      </w:r>
    </w:p>
    <w:p w14:paraId="0000000C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battery_voltage_v</w:t>
      </w:r>
      <w:r>
        <w:rPr>
          <w:rtl w:val="0"/>
        </w:rPr>
        <w:t>: Tensão atual da bateria.</w:t>
      </w:r>
    </w:p>
    <w:p w14:paraId="0000000D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battery_current_a</w:t>
      </w:r>
      <w:r>
        <w:rPr>
          <w:rtl w:val="0"/>
        </w:rPr>
        <w:t>: Corrente elétrica exigida no momento.</w:t>
      </w:r>
    </w:p>
    <w:p w14:paraId="0000000E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battery_soc_percent</w:t>
      </w:r>
      <w:r>
        <w:rPr>
          <w:rtl w:val="0"/>
        </w:rPr>
        <w:t>: Estado de carga da bateria (State of Charge).</w:t>
      </w:r>
    </w:p>
    <w:p w14:paraId="0000000F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battery_capacity_ah</w:t>
      </w:r>
      <w:r>
        <w:rPr>
          <w:rtl w:val="0"/>
        </w:rPr>
        <w:t>: Capacidade total de armazenamento.</w:t>
      </w:r>
    </w:p>
    <w:p w14:paraId="00000010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power_load_kw</w:t>
      </w:r>
      <w:r>
        <w:rPr>
          <w:rtl w:val="0"/>
        </w:rPr>
        <w:t>: Demanda de potência do sistema.</w:t>
      </w:r>
    </w:p>
    <w:p w14:paraId="00000011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energy_loss_percent</w:t>
      </w:r>
      <w:r>
        <w:rPr>
          <w:rtl w:val="0"/>
        </w:rPr>
        <w:t>: Fator de dissipação térmica/elétrica.</w:t>
      </w:r>
      <w:bookmarkStart w:id="5" w:name="_GoBack"/>
      <w:bookmarkEnd w:id="5"/>
    </w:p>
    <w:p w14:paraId="00000012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energy_available_kwh</w:t>
      </w:r>
      <w:r>
        <w:rPr>
          <w:rtl w:val="0"/>
        </w:rPr>
        <w:t>: Energia útil após perdas (calculada via código).</w:t>
      </w:r>
    </w:p>
    <w:p w14:paraId="00000013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estimated_autonomy_min</w:t>
      </w:r>
      <w:r>
        <w:rPr>
          <w:rtl w:val="0"/>
        </w:rPr>
        <w:t>: Tempo restante de operação autônoma.</w:t>
      </w:r>
    </w:p>
    <w:p w14:paraId="00000014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Variáveis de Propulsão/Pressurização:</w:t>
      </w:r>
    </w:p>
    <w:p w14:paraId="00000015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tank_pressure_bar</w:t>
      </w:r>
      <w:r>
        <w:rPr>
          <w:rtl w:val="0"/>
        </w:rPr>
        <w:t>: Nível de pressão interna dos tanques de combustível/oxidante.</w:t>
      </w:r>
    </w:p>
    <w:p w14:paraId="00000016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Variáveis Binárias de Status (Checklist Crítico):</w:t>
      </w:r>
      <w:r>
        <w:rPr>
          <w:rtl w:val="0"/>
        </w:rPr>
        <w:t xml:space="preserve"> Flags de verificação de sistemas (1 = OK, 0 = Falha).</w:t>
      </w:r>
    </w:p>
    <w:p w14:paraId="00000017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structural_integrity</w:t>
      </w:r>
      <w:r>
        <w:rPr>
          <w:rtl w:val="0"/>
        </w:rPr>
        <w:t>: Integridade do chassi e fuselagem.</w:t>
      </w:r>
    </w:p>
    <w:p w14:paraId="00000018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critical_modules_status</w:t>
      </w:r>
      <w:r>
        <w:rPr>
          <w:rtl w:val="0"/>
        </w:rPr>
        <w:t>: Status dos computadores de voo.</w:t>
      </w:r>
    </w:p>
    <w:p w14:paraId="00000019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telemetry_link_status</w:t>
      </w:r>
      <w:r>
        <w:rPr>
          <w:rtl w:val="0"/>
        </w:rPr>
        <w:t>: Conexão com o centro de controle.</w:t>
      </w:r>
    </w:p>
    <w:p w14:paraId="0000001A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Variáveis de Saída/Alvo:</w:t>
      </w:r>
    </w:p>
    <w:p w14:paraId="0000001B">
      <w:pPr>
        <w:numPr>
          <w:ilvl w:val="1"/>
          <w:numId w:val="1"/>
        </w:numPr>
        <w:spacing w:after="0" w:afterAutospacing="0"/>
        <w:ind w:left="1440" w:hanging="360"/>
      </w:pPr>
      <w:r>
        <w:rPr>
          <w:color w:val="188038"/>
          <w:rtl w:val="0"/>
        </w:rPr>
        <w:t>launch_decision</w:t>
      </w:r>
      <w:r>
        <w:rPr>
          <w:rtl w:val="0"/>
        </w:rPr>
        <w:t>: Veredito do sistema (</w:t>
      </w:r>
      <w:r>
        <w:rPr>
          <w:color w:val="188038"/>
          <w:rtl w:val="0"/>
        </w:rPr>
        <w:t>READY</w:t>
      </w:r>
      <w:r>
        <w:rPr>
          <w:rtl w:val="0"/>
        </w:rPr>
        <w:t xml:space="preserve"> ou </w:t>
      </w:r>
      <w:r>
        <w:rPr>
          <w:color w:val="188038"/>
          <w:rtl w:val="0"/>
        </w:rPr>
        <w:t>ABORT</w:t>
      </w:r>
      <w:r>
        <w:rPr>
          <w:rtl w:val="0"/>
        </w:rPr>
        <w:t>).</w:t>
      </w:r>
    </w:p>
    <w:p w14:paraId="0000001C">
      <w:pPr>
        <w:numPr>
          <w:ilvl w:val="1"/>
          <w:numId w:val="1"/>
        </w:numPr>
        <w:spacing w:after="240"/>
        <w:ind w:left="1440" w:hanging="360"/>
      </w:pPr>
      <w:r>
        <w:rPr>
          <w:color w:val="188038"/>
          <w:rtl w:val="0"/>
        </w:rPr>
        <w:t>anomalia_inserida</w:t>
      </w:r>
      <w:r>
        <w:rPr>
          <w:rtl w:val="0"/>
        </w:rPr>
        <w:t>: Flag (</w:t>
      </w:r>
      <w:r>
        <w:rPr>
          <w:color w:val="188038"/>
          <w:rtl w:val="0"/>
        </w:rPr>
        <w:t>sim</w:t>
      </w:r>
      <w:r>
        <w:rPr>
          <w:rtl w:val="0"/>
        </w:rPr>
        <w:t xml:space="preserve"> ou </w:t>
      </w:r>
      <w:r>
        <w:rPr>
          <w:color w:val="188038"/>
          <w:rtl w:val="0"/>
        </w:rPr>
        <w:t>nao</w:t>
      </w:r>
      <w:r>
        <w:rPr>
          <w:rtl w:val="0"/>
        </w:rPr>
        <w:t>) para mapear dados ruidosos.</w:t>
      </w:r>
    </w:p>
    <w:p w14:paraId="0000001D">
      <w:pPr>
        <w:pStyle w:val="3"/>
        <w:keepNext w:val="0"/>
        <w:keepLines w:val="0"/>
        <w:spacing w:before="0" w:after="80"/>
        <w:ind w:left="-566" w:right="-607" w:firstLine="0"/>
        <w:rPr>
          <w:b/>
          <w:bCs/>
          <w:sz w:val="34"/>
          <w:szCs w:val="34"/>
        </w:rPr>
      </w:pPr>
      <w:bookmarkStart w:id="1" w:name="_qsxd9uwlnis5" w:colFirst="0" w:colLast="0"/>
      <w:bookmarkEnd w:id="1"/>
    </w:p>
    <w:p w14:paraId="0000001E"/>
    <w:p w14:paraId="7C5C9462"/>
    <w:p w14:paraId="4CEBED21"/>
    <w:p w14:paraId="531810ED"/>
    <w:p w14:paraId="0000001F"/>
    <w:p w14:paraId="00000020">
      <w:pPr>
        <w:pStyle w:val="3"/>
        <w:keepNext w:val="0"/>
        <w:keepLines w:val="0"/>
        <w:spacing w:before="0" w:after="80"/>
        <w:ind w:left="-566" w:right="-607" w:firstLine="0"/>
        <w:rPr>
          <w:b/>
          <w:bCs/>
          <w:sz w:val="34"/>
          <w:szCs w:val="34"/>
        </w:rPr>
      </w:pPr>
      <w:bookmarkStart w:id="2" w:name="_djzk72nef4vy" w:colFirst="0" w:colLast="0"/>
      <w:bookmarkEnd w:id="2"/>
    </w:p>
    <w:p w14:paraId="00000021">
      <w:pPr>
        <w:pStyle w:val="3"/>
        <w:keepNext w:val="0"/>
        <w:keepLines w:val="0"/>
        <w:spacing w:before="0" w:after="80"/>
        <w:ind w:left="-566" w:right="-607" w:firstLine="0"/>
        <w:rPr>
          <w:b/>
          <w:bCs/>
          <w:sz w:val="34"/>
          <w:szCs w:val="34"/>
        </w:rPr>
      </w:pPr>
      <w:bookmarkStart w:id="3" w:name="_cdbm12lfmzy8" w:colFirst="0" w:colLast="0"/>
      <w:bookmarkEnd w:id="3"/>
      <w:r>
        <w:rPr>
          <w:b/>
          <w:bCs/>
          <w:sz w:val="34"/>
          <w:szCs w:val="34"/>
          <w:rtl w:val="0"/>
        </w:rPr>
        <w:t>Identificação de Possíveis Anomalias</w:t>
      </w:r>
    </w:p>
    <w:p w14:paraId="00000022">
      <w:pPr>
        <w:spacing w:after="240"/>
      </w:pPr>
      <w:r>
        <w:rPr>
          <w:rtl w:val="0"/>
        </w:rPr>
        <w:t xml:space="preserve">A rotina de injeção de anomalias afeta 3% da base de dados e corrompe o limite de segurança exigido para o status </w:t>
      </w:r>
      <w:r>
        <w:rPr>
          <w:color w:val="188038"/>
          <w:rtl w:val="0"/>
        </w:rPr>
        <w:t>READY</w:t>
      </w:r>
      <w:r>
        <w:rPr>
          <w:rtl w:val="0"/>
        </w:rPr>
        <w:t xml:space="preserve">. As anomalias que levam ao veredito </w:t>
      </w:r>
      <w:r>
        <w:rPr>
          <w:color w:val="188038"/>
          <w:rtl w:val="0"/>
        </w:rPr>
        <w:t>ABORT</w:t>
      </w:r>
      <w:r>
        <w:rPr>
          <w:rtl w:val="0"/>
        </w:rPr>
        <w:t xml:space="preserve"> foram mapeadas nas seguintes condições:</w:t>
      </w:r>
    </w:p>
    <w:p w14:paraId="00000023">
      <w:pPr>
        <w:numPr>
          <w:ilvl w:val="0"/>
          <w:numId w:val="2"/>
        </w:numPr>
        <w:spacing w:after="0" w:afterAutospacing="0"/>
        <w:ind w:left="720" w:hanging="360"/>
      </w:pPr>
      <w:r>
        <w:rPr>
          <w:b/>
          <w:bCs/>
          <w:rtl w:val="0"/>
        </w:rPr>
        <w:t>Pico Térmico Interno (</w:t>
      </w:r>
      <w:r>
        <w:rPr>
          <w:b/>
          <w:bCs/>
          <w:color w:val="188038"/>
          <w:rtl w:val="0"/>
        </w:rPr>
        <w:t>internal_temp_c_high</w:t>
      </w:r>
      <w:r>
        <w:rPr>
          <w:b/>
          <w:bCs/>
          <w:rtl w:val="0"/>
        </w:rPr>
        <w:t>):</w:t>
      </w:r>
      <w:r>
        <w:rPr>
          <w:rtl w:val="0"/>
        </w:rPr>
        <w:t xml:space="preserve"> O código gera anomalias entre </w:t>
      </w:r>
      <w:r>
        <w:rPr>
          <w:b/>
          <w:bCs/>
          <w:rtl w:val="0"/>
        </w:rPr>
        <w:t>45°C e 70°C</w:t>
      </w:r>
      <w:r>
        <w:rPr>
          <w:rtl w:val="0"/>
        </w:rPr>
        <w:t>. O limite de segurança para autorização de lançamento exige que a temperatura seja superior a 20°C (para evitar congelamento de fluidos), mas o pico anômalo aponta um superaquecimento agudo.</w:t>
      </w:r>
    </w:p>
    <w:p w14:paraId="00000024">
      <w:pPr>
        <w:numPr>
          <w:ilvl w:val="0"/>
          <w:numId w:val="2"/>
        </w:numPr>
        <w:spacing w:after="0" w:afterAutospacing="0"/>
        <w:ind w:left="720" w:hanging="360"/>
      </w:pPr>
      <w:r>
        <w:rPr>
          <w:b/>
          <w:bCs/>
          <w:rtl w:val="0"/>
        </w:rPr>
        <w:t>Descarga Crítica de Bateria (</w:t>
      </w:r>
      <w:r>
        <w:rPr>
          <w:b/>
          <w:bCs/>
          <w:color w:val="188038"/>
          <w:rtl w:val="0"/>
        </w:rPr>
        <w:t>battery_soc_low</w:t>
      </w:r>
      <w:r>
        <w:rPr>
          <w:b/>
          <w:bCs/>
          <w:rtl w:val="0"/>
        </w:rPr>
        <w:t>):</w:t>
      </w:r>
      <w:r>
        <w:rPr>
          <w:rtl w:val="0"/>
        </w:rPr>
        <w:t xml:space="preserve"> Anomalias geradas entre </w:t>
      </w:r>
      <w:r>
        <w:rPr>
          <w:b/>
          <w:bCs/>
          <w:rtl w:val="0"/>
        </w:rPr>
        <w:t>5% e 25%</w:t>
      </w:r>
      <w:r>
        <w:rPr>
          <w:rtl w:val="0"/>
        </w:rPr>
        <w:t xml:space="preserve"> de carga. O sistema exige um mínimo de 70% de SOC para autorizar a decolagem.</w:t>
      </w:r>
    </w:p>
    <w:p w14:paraId="00000025">
      <w:pPr>
        <w:numPr>
          <w:ilvl w:val="0"/>
          <w:numId w:val="2"/>
        </w:numPr>
        <w:spacing w:after="0" w:afterAutospacing="0"/>
        <w:ind w:left="720" w:hanging="360"/>
      </w:pPr>
      <w:r>
        <w:rPr>
          <w:b/>
          <w:bCs/>
          <w:rtl w:val="0"/>
        </w:rPr>
        <w:t>Despressurização ou Superpressurização (</w:t>
      </w:r>
      <w:r>
        <w:rPr>
          <w:b/>
          <w:bCs/>
          <w:color w:val="188038"/>
          <w:rtl w:val="0"/>
        </w:rPr>
        <w:t>tank_pressure_out_of_range</w:t>
      </w:r>
      <w:r>
        <w:rPr>
          <w:b/>
          <w:bCs/>
          <w:rtl w:val="0"/>
        </w:rPr>
        <w:t>):</w:t>
      </w:r>
      <w:r>
        <w:rPr>
          <w:rtl w:val="0"/>
        </w:rPr>
        <w:t xml:space="preserve"> A pressão de segurança exige que o tanque esteja acima de 100 bar. O código simula anomalias atirando a pressão para níveis insuficientes (</w:t>
      </w:r>
      <w:r>
        <w:rPr>
          <w:b/>
          <w:bCs/>
          <w:rtl w:val="0"/>
        </w:rPr>
        <w:t>40 a 80 bar</w:t>
      </w:r>
      <w:r>
        <w:rPr>
          <w:rtl w:val="0"/>
        </w:rPr>
        <w:t>) ou perigosamente altos (</w:t>
      </w:r>
      <w:r>
        <w:rPr>
          <w:b/>
          <w:bCs/>
          <w:rtl w:val="0"/>
        </w:rPr>
        <w:t>160 a 220 bar</w:t>
      </w:r>
      <w:r>
        <w:rPr>
          <w:rtl w:val="0"/>
        </w:rPr>
        <w:t>).</w:t>
      </w:r>
    </w:p>
    <w:p w14:paraId="00000026">
      <w:pPr>
        <w:numPr>
          <w:ilvl w:val="0"/>
          <w:numId w:val="2"/>
        </w:numPr>
        <w:spacing w:after="240"/>
        <w:ind w:left="720" w:hanging="360"/>
      </w:pPr>
      <w:r>
        <w:rPr>
          <w:b/>
          <w:bCs/>
          <w:rtl w:val="0"/>
        </w:rPr>
        <w:t>Falhas de Subsistema (</w:t>
      </w:r>
      <w:r>
        <w:rPr>
          <w:b/>
          <w:bCs/>
          <w:color w:val="188038"/>
          <w:rtl w:val="0"/>
        </w:rPr>
        <w:t>*_fail</w:t>
      </w:r>
      <w:r>
        <w:rPr>
          <w:b/>
          <w:bCs/>
          <w:rtl w:val="0"/>
        </w:rPr>
        <w:t>):</w:t>
      </w:r>
      <w:r>
        <w:rPr>
          <w:rtl w:val="0"/>
        </w:rPr>
        <w:t xml:space="preserve"> Qualquer queda para o valor </w:t>
      </w:r>
      <w:r>
        <w:rPr>
          <w:b/>
          <w:bCs/>
          <w:rtl w:val="0"/>
        </w:rPr>
        <w:t>0</w:t>
      </w:r>
      <w:r>
        <w:rPr>
          <w:rtl w:val="0"/>
        </w:rPr>
        <w:t xml:space="preserve"> nas variáveis binárias (</w:t>
      </w:r>
      <w:r>
        <w:rPr>
          <w:color w:val="188038"/>
          <w:rtl w:val="0"/>
        </w:rPr>
        <w:t>structural_integrity</w:t>
      </w:r>
      <w:r>
        <w:rPr>
          <w:rtl w:val="0"/>
        </w:rPr>
        <w:t xml:space="preserve">, </w:t>
      </w:r>
      <w:r>
        <w:rPr>
          <w:color w:val="188038"/>
          <w:rtl w:val="0"/>
        </w:rPr>
        <w:t>critical_modules_status</w:t>
      </w:r>
      <w:r>
        <w:rPr>
          <w:rtl w:val="0"/>
        </w:rPr>
        <w:t xml:space="preserve">, </w:t>
      </w:r>
      <w:r>
        <w:rPr>
          <w:color w:val="188038"/>
          <w:rtl w:val="0"/>
        </w:rPr>
        <w:t>telemetry_link_status</w:t>
      </w:r>
      <w:r>
        <w:rPr>
          <w:rtl w:val="0"/>
        </w:rPr>
        <w:t>) aciona imediatamente a detecção de anomalia, rompendo o critério de segurança (onde todos devem ser iguais a 1).</w:t>
      </w:r>
    </w:p>
    <w:p w14:paraId="00000027">
      <w:pPr>
        <w:pStyle w:val="3"/>
        <w:keepNext w:val="0"/>
        <w:keepLines w:val="0"/>
        <w:spacing w:before="0" w:after="80"/>
        <w:ind w:left="-566" w:right="-607" w:firstLine="0"/>
        <w:rPr>
          <w:b/>
          <w:bCs/>
          <w:sz w:val="34"/>
          <w:szCs w:val="34"/>
        </w:rPr>
      </w:pPr>
      <w:bookmarkStart w:id="4" w:name="_uqbpk759i61j" w:colFirst="0" w:colLast="0"/>
      <w:bookmarkEnd w:id="4"/>
      <w:r>
        <w:rPr>
          <w:b/>
          <w:bCs/>
          <w:sz w:val="34"/>
          <w:szCs w:val="34"/>
          <w:rtl w:val="0"/>
        </w:rPr>
        <w:t>Sugestões de Risco</w:t>
      </w:r>
    </w:p>
    <w:p w14:paraId="00000028">
      <w:pPr>
        <w:spacing w:after="240"/>
      </w:pPr>
      <w:r>
        <w:rPr>
          <w:rtl w:val="0"/>
        </w:rPr>
        <w:t xml:space="preserve">Baseando-se nos desvios programados na base de dados anômala </w:t>
      </w:r>
      <w:r>
        <w:rPr>
          <w:color w:val="188038"/>
          <w:rtl w:val="0"/>
        </w:rPr>
        <w:t>anomalous_telemetry_data.csv</w:t>
      </w:r>
      <w:r>
        <w:rPr>
          <w:rtl w:val="0"/>
        </w:rPr>
        <w:t>, os riscos físicos e operacionais associados a uma tentativa de lançamento seriam:</w:t>
      </w:r>
    </w:p>
    <w:p w14:paraId="00000029">
      <w:pPr>
        <w:numPr>
          <w:ilvl w:val="0"/>
          <w:numId w:val="3"/>
        </w:numPr>
        <w:spacing w:after="0" w:afterAutospacing="0"/>
        <w:ind w:left="720" w:hanging="360"/>
      </w:pPr>
      <w:r>
        <w:rPr>
          <w:b/>
          <w:bCs/>
          <w:rtl w:val="0"/>
        </w:rPr>
        <w:t>Risco Catastrófico por Anomalia de Pressão:</w:t>
      </w:r>
      <w:r>
        <w:rPr>
          <w:rtl w:val="0"/>
        </w:rPr>
        <w:t xml:space="preserve"> Uma pressão abaixo de 100 bar resultaria em empuxo insuficiente, fazendo com que o foguete caísse na própria plataforma (fallback). Uma pressão acima de 160 bar sugere falha nas válvulas de alívio (venting), criando risco iminente de ruptura do tanque e explosão antes mesmo da ignição.</w:t>
      </w:r>
    </w:p>
    <w:p w14:paraId="0000002A">
      <w:pPr>
        <w:numPr>
          <w:ilvl w:val="0"/>
          <w:numId w:val="3"/>
        </w:numPr>
        <w:spacing w:after="0" w:afterAutospacing="0"/>
        <w:ind w:left="720" w:hanging="360"/>
      </w:pPr>
      <w:r>
        <w:rPr>
          <w:b/>
          <w:bCs/>
          <w:rtl w:val="0"/>
        </w:rPr>
        <w:t>Risco de Perda de Controle (Térmico e Elétrico):</w:t>
      </w:r>
      <w:r>
        <w:rPr>
          <w:rtl w:val="0"/>
        </w:rPr>
        <w:t xml:space="preserve"> Temperaturas na faixa de 45°C a 70°C nos módulos internos indicam curtos-circuitos ou falha no sistema de resfriamento. Somado a um Estado de Carga (SOC) inferior a 25%, o foguete perderia energia durante a ascensão, resultando no desligamento dos computadores de voo e impossibilitando o controle vetorial de empuxo.</w:t>
      </w:r>
    </w:p>
    <w:p w14:paraId="0000002B">
      <w:pPr>
        <w:numPr>
          <w:ilvl w:val="0"/>
          <w:numId w:val="3"/>
        </w:numPr>
        <w:spacing w:after="240"/>
        <w:ind w:left="720" w:hanging="360"/>
      </w:pPr>
      <w:r>
        <w:rPr>
          <w:b/>
          <w:bCs/>
          <w:rtl w:val="0"/>
        </w:rPr>
        <w:t>Risco de Perda de Comunicação e Orientação:</w:t>
      </w:r>
      <w:r>
        <w:rPr>
          <w:rtl w:val="0"/>
        </w:rPr>
        <w:t xml:space="preserve"> A falha no link de telemetria (</w:t>
      </w:r>
      <w:r>
        <w:rPr>
          <w:color w:val="188038"/>
          <w:rtl w:val="0"/>
        </w:rPr>
        <w:t>telemetry_link_status = 0</w:t>
      </w:r>
      <w:r>
        <w:rPr>
          <w:rtl w:val="0"/>
        </w:rPr>
        <w:t>) transforma o foguete em um projétil cego para a base de solo. Sem a integridade do módulo crítico, não há acionamento do sistema de terminação de voo (FTS - Flight Termination System) caso o foguete desvie da trajetória segura, representando perigo severo a áreas habitadas.</w:t>
      </w:r>
    </w:p>
    <w:p w14:paraId="0000002C">
      <w:pPr>
        <w:spacing w:after="240"/>
      </w:pPr>
      <w:r>
        <w:rPr>
          <w:rtl w:val="0"/>
        </w:rPr>
        <w:t>Para refinar a modelagem analítica na próxima fase de desenvolvimento, você tem planos de transformar essas regras baseadas em limiares fixos (</w:t>
      </w:r>
      <w:r>
        <w:rPr>
          <w:color w:val="188038"/>
          <w:rtl w:val="0"/>
        </w:rPr>
        <w:t>if temp &gt; 20 and soc &gt; 70...</w:t>
      </w:r>
      <w:r>
        <w:rPr>
          <w:rtl w:val="0"/>
        </w:rPr>
        <w:t>) em um modelo de classificação (como Random Forest ou Regressão Logística) para que a IA identifique a probabilidade de falha sem precisar das regras explícitas?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84E6C1A-2D18-44B6-BC79-A6D499D6FCE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3537D53-97EC-4886-AA61-2F1901A030C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23A6A9C9-1E6A-438E-BFDF-F4BD4DFE5E80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C659D38-9F79-4D7B-90C6-32460A1CC4E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1E34C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2026-09-08T21:31:58Z</dcterms:created>
  <dc:creator>conta</dc:creator>
  <cp:lastModifiedBy>conta</cp:lastModifiedBy>
  <dcterms:modified xsi:type="dcterms:W3CDTF">2026-09-08T21:37:31Z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1046-12.2.0.23206</vt:lpwstr>
  </property>
  <property fmtid="{D5CDD505-2E9C-101B-9397-08002B2CF9AE}" pid="3" name="ICV">
    <vt:lpwstr>20C9DDA6EC714AA7A5671CE3EA3ED551_12</vt:lpwstr>
  </property>
</Properties>
</file>