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a55780f9f5409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b/>
          <w:color w:val="3B82F6"/>
          <w:sz w:val="48"/>
        </w:rPr>
        <w:t>Partenerii Nostri</w:t>
      </w:r>
    </w:p>
    <w:p>
      <w:pPr>
        <w:spacing w:after="600"/>
        <w:jc w:val="center"/>
      </w:pPr>
      <w:r>
        <w:rPr>
          <w:color w:val="475569"/>
          <w:sz w:val="24"/>
        </w:rPr>
        <w:t>Colaboram cu lideri din industrie pentru a oferi solutii IT de excelenta</w:t>
      </w:r>
    </w:p>
    <w:p>
      <w:pPr>
        <w:spacing w:after="400"/>
      </w:pPr>
      <w:r>
        <w:t>La Axiom IT, credem in puterea colaborarii. Parteneriatele noastre strategice ne permit sa oferim clientilor solutii complete si inovatoare. Iata lista partenerilor nostri de incredere:</w:t>
      </w:r>
    </w:p>
    <w:tbl>
      <w:tblPr>
        <w:tblW w:w="5000" w:type="pct"/>
        <w:tblBorders>
          <w:top w:val="single" w:color="3B82F6" w:sz="8"/>
          <w:left w:val="nil"/>
          <w:bottom w:val="single" w:color="3B82F6" w:sz="8"/>
          <w:right w:val="nil"/>
          <w:insideH w:val="single" w:color="BFDBFE" w:sz="4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3000"/>
        <w:gridCol w:w="4000"/>
        <w:gridCol w:w="30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Denumire Partener</w:t>
            </w:r>
          </w:p>
        </w:tc>
        <w:tc>
          <w:tcPr>
            <w:tcW w:w="4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Domeniu</w:t>
            </w:r>
          </w:p>
        </w:tc>
        <w:tc>
          <w:tcPr>
            <w:tcW w:w="3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Tip Parteneriat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TechCore Solutions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Cloud Computing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Strategic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DataSys Romania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Big Data &amp; Analytics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Tehnologic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SecureNet Global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Cybersecurity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Strategic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DevOps Pro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DevOps &amp; CI/CD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Servicii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AI Innovate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Inteligenta Artificiala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Tehnologic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CloudFirst Partners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Infrastructura Cloud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Strategic</w:t>
            </w:r>
          </w:p>
        </w:tc>
      </w:tr>
    </w:tbl>
    <w:p>
      <w:pPr>
        <w:pStyle w:val="Heading1"/>
      </w:pPr>
      <w:r>
        <w:t>Parteneri Tehnologici</w:t>
      </w:r>
    </w:p>
    <w:p>
      <w:r>
        <w:t>Partenerii nostri tehnologici ne ofera acces la cele mai noi tehnologii si platforme, permitandu-ne sa livram solutii de varf.</w:t>
      </w:r>
    </w:p>
    <w:tbl>
      <w:tblPr>
        <w:tblW w:w="5000" w:type="pct"/>
        <w:tblBorders>
          <w:top w:val="single" w:color="3B82F6" w:sz="8"/>
          <w:left w:val="nil"/>
          <w:bottom w:val="single" w:color="3B82F6" w:sz="8"/>
          <w:right w:val="nil"/>
          <w:insideH w:val="single" w:color="BFDBFE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3500"/>
        <w:gridCol w:w="3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Partener</w:t>
            </w:r>
          </w:p>
        </w:tc>
        <w:tc>
          <w:tcPr>
            <w:tcW w:w="3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Tehnologie</w:t>
            </w:r>
          </w:p>
        </w:tc>
        <w:tc>
          <w:tcPr>
            <w:tcW w:w="3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Certificare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Microsoft Romania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Azure, M365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Gold Partner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AWS Romania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Amazon Web Services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Advanced Partner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Google Cloud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GCP Services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Premier Partner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Oracle Romania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Oracle Cloud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Platinum Partner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IBM Romania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IBM Cloud, Watson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Gold Partner</w:t>
            </w:r>
          </w:p>
        </w:tc>
      </w:tr>
    </w:tbl>
    <w:p>
      <w:pPr>
        <w:pStyle w:val="Heading1"/>
      </w:pPr>
      <w:r>
        <w:t>Parteneri de Servicii</w:t>
      </w:r>
    </w:p>
    <w:p>
      <w:r>
        <w:t>Colaboram cu furnizori de servicii specializati pentru a completa oferta noastra si a raspunde tuturor nevoilor clientilor.</w:t>
      </w:r>
    </w:p>
    <w:tbl>
      <w:tblPr>
        <w:tblW w:w="5000" w:type="pct"/>
        <w:tblBorders>
          <w:top w:val="single" w:color="3B82F6" w:sz="8"/>
          <w:left w:val="nil"/>
          <w:bottom w:val="single" w:color="3B82F6" w:sz="8"/>
          <w:right w:val="nil"/>
          <w:insideH w:val="single" w:color="BFDBFE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4000"/>
        <w:gridCol w:w="25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Partener</w:t>
            </w:r>
          </w:p>
        </w:tc>
        <w:tc>
          <w:tcPr>
            <w:tcW w:w="40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Servicii</w:t>
            </w:r>
          </w:p>
        </w:tc>
        <w:tc>
          <w:tcPr>
            <w:tcW w:w="2500" w:type="dxa"/>
            <w:tcBorders>
              <w:bottom w:val="single" w:color="3B82F6" w:sz="6"/>
            </w:tcBorders>
            <w:shd w:val="clear" w:fill="EFF6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40AF"/>
                <w:sz w:val="22"/>
              </w:rPr>
              <w:t>Locatie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HR Excellence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Recrutare IT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Bucuresti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TrainTech Academy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Training &amp; Certificari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Cluj-Napoca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LegalIT Advisors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Consultanta Juridica IT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Bucuresti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FinanceHub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Consultanta Financiara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Timisoara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1"/>
              </w:rPr>
              <w:t>Marketing Digital Pro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Marketing &amp; Branding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1"/>
              </w:rPr>
              <w:t>Iasi</w:t>
            </w:r>
          </w:p>
        </w:tc>
      </w:tr>
    </w:tbl>
    <w:p>
      <w:pPr>
        <w:spacing w:before="400"/>
      </w:pPr>
      <w:r>
        <w:rPr>
          <w:i/>
          <w:color w:val="475569"/>
        </w:rPr>
        <w:t>Pentru informatii despre parteneriate, contactati-ne la: parteneriate@axiom-it.ro</w:t>
      </w:r>
    </w:p>
    <w:sectPr>
      <w:headerReference w:type="default" r:id="Rcd97c032441a4024"/>
      <w:footerReference w:type="default" r:id="R25dfce817e0f4bfe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color="BFDBFE" w:sz="4"/>
      </w:pBdr>
      <w:spacing w:before="100" w:after="0"/>
      <w:jc w:val="center"/>
    </w:pPr>
    <w:r>
      <w:rPr>
        <w:color w:val="94A3B8"/>
        <w:sz w:val="18"/>
      </w:rPr>
      <w:t xml:space="preserve">AXIOM IT  |  </w:t>
    </w:r>
    <w:r>
      <w:fldChar w:fldCharType="begin"/>
    </w:r>
    <w:r>
      <w:instrText> PAGE </w:instrText>
    </w:r>
    <w:r>
      <w:fldChar w:fldCharType="separate"/>
    </w:r>
    <w:r>
      <w:rPr>
        <w:color w:val="94A3B8"/>
        <w:sz w:val="18"/>
      </w:rPr>
      <w:t>1</w:t>
    </w:r>
    <w:r>
      <w:fldChar w:fldCharType="end"/>
    </w:r>
    <w:r>
      <w:rPr>
        <w:color w:val="94A3B8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rPr>
        <w:color w:val="94A3B8"/>
        <w:sz w:val="18"/>
      </w:rPr>
      <w:t>1</w:t>
    </w:r>
    <w: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spacing w:before="0" w:after="0"/>
      <w:jc w:val="left"/>
    </w:pPr>
    <w:r>
      <w:drawing>
        <wp:inline distT="0" distB="0" distL="0" distR="0">
          <wp:extent cx="1200000" cy="400000"/>
          <wp:effectExtent l="0" t="0" r="0" b="0"/>
          <wp:docPr id="1" name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53bc8f218b8f41dc"/>
                  <a:stretch>
                    <a:fillRect/>
                  </a:stretch>
                </pic:blipFill>
                <pic:spPr>
                  <a:xfrm>
                    <a:off x="0" y="0"/>
                    <a:ext cx="1200000" cy="40000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3B82F6" w:sz="6"/>
      </w:pBdr>
      <w:spacing w:before="100" w:after="0"/>
    </w:pP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3B82F6"/>
      <w:sz w:val="36"/>
    </w:rPr>
  </w:style>
  <w:style w:type="paragraph" w:styleId="Heading2">
    <w:name w:val="heading 2"/>
    <w:basedOn w:val="Normal"/>
    <w:pPr>
      <w:keepNext/>
      <w:keepLines/>
      <w:spacing w:before="300" w:after="120"/>
      <w:outlineLvl w:val="1"/>
    </w:pPr>
    <w:rPr>
      <w:b/>
      <w:color w:val="1E40AF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3422b11a98c48d7" /><Relationship Type="http://schemas.openxmlformats.org/officeDocument/2006/relationships/header" Target="/word/header1.xml" Id="Rcd97c032441a4024" /><Relationship Type="http://schemas.openxmlformats.org/officeDocument/2006/relationships/footer" Target="/word/footer1.xml" Id="R25dfce817e0f4bfe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53bc8f218b8f41dc" /></Relationships>
</file>