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746" w:rsidRPr="00391BE6" w:rsidRDefault="00BD0746" w:rsidP="00BD0746">
      <w:pPr>
        <w:jc w:val="center"/>
        <w:rPr>
          <w:b/>
          <w:sz w:val="32"/>
          <w:szCs w:val="32"/>
        </w:rPr>
      </w:pPr>
      <w:bookmarkStart w:id="0" w:name="_Toc473895334"/>
      <w:r w:rsidRPr="00391BE6">
        <w:rPr>
          <w:b/>
          <w:sz w:val="32"/>
          <w:szCs w:val="32"/>
        </w:rPr>
        <w:t>Hodge Bank</w:t>
      </w:r>
    </w:p>
    <w:p w:rsidR="00BD0746" w:rsidRPr="00391BE6" w:rsidRDefault="00BD0746" w:rsidP="00BD0746">
      <w:pPr>
        <w:jc w:val="center"/>
        <w:rPr>
          <w:b/>
          <w:sz w:val="32"/>
          <w:szCs w:val="32"/>
        </w:rPr>
      </w:pPr>
      <w:r>
        <w:rPr>
          <w:b/>
          <w:sz w:val="32"/>
          <w:szCs w:val="32"/>
        </w:rPr>
        <w:t xml:space="preserve">Treasury Discovery </w:t>
      </w:r>
      <w:r w:rsidRPr="00391BE6">
        <w:rPr>
          <w:b/>
          <w:sz w:val="32"/>
          <w:szCs w:val="32"/>
        </w:rPr>
        <w:t>Project</w:t>
      </w:r>
    </w:p>
    <w:p w:rsidR="00BD0746" w:rsidRPr="00391BE6" w:rsidRDefault="00BD0746" w:rsidP="00BD0746">
      <w:pPr>
        <w:jc w:val="center"/>
        <w:rPr>
          <w:b/>
          <w:sz w:val="32"/>
          <w:szCs w:val="32"/>
        </w:rPr>
      </w:pPr>
      <w:r w:rsidRPr="00391BE6">
        <w:rPr>
          <w:b/>
          <w:sz w:val="32"/>
          <w:szCs w:val="32"/>
        </w:rPr>
        <w:t>Product and Vendor Selection</w:t>
      </w:r>
    </w:p>
    <w:p w:rsidR="00BD0746" w:rsidRPr="00391BE6" w:rsidRDefault="008A4578" w:rsidP="00BD0746">
      <w:pPr>
        <w:jc w:val="center"/>
        <w:rPr>
          <w:b/>
          <w:sz w:val="32"/>
          <w:szCs w:val="32"/>
        </w:rPr>
      </w:pPr>
      <w:r>
        <w:rPr>
          <w:b/>
          <w:sz w:val="32"/>
          <w:szCs w:val="32"/>
        </w:rPr>
        <w:t>Presentation and Demonstration</w:t>
      </w:r>
      <w:bookmarkStart w:id="1" w:name="_GoBack"/>
      <w:bookmarkEnd w:id="1"/>
    </w:p>
    <w:p w:rsidR="00BD0746" w:rsidRDefault="00BD0746">
      <w:pPr>
        <w:rPr>
          <w:rFonts w:eastAsiaTheme="majorEastAsia" w:cstheme="majorBidi"/>
          <w:b/>
          <w:bCs/>
          <w:color w:val="2F5496" w:themeColor="accent1" w:themeShade="BF"/>
          <w:sz w:val="28"/>
          <w:szCs w:val="28"/>
        </w:rPr>
      </w:pPr>
      <w:r>
        <w:rPr>
          <w:rFonts w:eastAsiaTheme="majorEastAsia" w:cstheme="majorBidi"/>
          <w:bCs/>
          <w:color w:val="2F5496" w:themeColor="accent1" w:themeShade="BF"/>
          <w:sz w:val="28"/>
          <w:szCs w:val="28"/>
        </w:rPr>
        <w:br w:type="page"/>
      </w:r>
    </w:p>
    <w:p w:rsidR="007445A1" w:rsidRPr="007445A1" w:rsidRDefault="007445A1" w:rsidP="007445A1">
      <w:pPr>
        <w:pStyle w:val="Heading1"/>
        <w:keepLines/>
        <w:overflowPunct/>
        <w:autoSpaceDE/>
        <w:autoSpaceDN/>
        <w:adjustRightInd/>
        <w:spacing w:before="480" w:line="276" w:lineRule="auto"/>
        <w:textAlignment w:val="auto"/>
        <w:rPr>
          <w:rFonts w:asciiTheme="minorHAnsi" w:eastAsiaTheme="majorEastAsia" w:hAnsiTheme="minorHAnsi" w:cstheme="majorBidi"/>
          <w:bCs/>
          <w:color w:val="2F5496" w:themeColor="accent1" w:themeShade="BF"/>
          <w:sz w:val="28"/>
          <w:szCs w:val="28"/>
        </w:rPr>
      </w:pPr>
      <w:r w:rsidRPr="007445A1">
        <w:rPr>
          <w:rFonts w:asciiTheme="minorHAnsi" w:eastAsiaTheme="majorEastAsia" w:hAnsiTheme="minorHAnsi" w:cstheme="majorBidi"/>
          <w:bCs/>
          <w:color w:val="2F5496" w:themeColor="accent1" w:themeShade="BF"/>
          <w:sz w:val="28"/>
          <w:szCs w:val="28"/>
        </w:rPr>
        <w:lastRenderedPageBreak/>
        <w:t>Purpose of Document</w:t>
      </w:r>
      <w:bookmarkEnd w:id="0"/>
    </w:p>
    <w:p w:rsidR="007445A1" w:rsidRPr="00391BE6" w:rsidRDefault="007445A1" w:rsidP="007445A1">
      <w:r w:rsidRPr="00391BE6">
        <w:t xml:space="preserve">To support and inform the selection of a </w:t>
      </w:r>
      <w:r>
        <w:t>new TMS and ALM system for implementation at Hodge Bank</w:t>
      </w:r>
      <w:r w:rsidRPr="00391BE6">
        <w:t xml:space="preserve">. </w:t>
      </w:r>
    </w:p>
    <w:p w:rsidR="007445A1" w:rsidRPr="00391BE6" w:rsidRDefault="008F6826" w:rsidP="007445A1">
      <w:r w:rsidRPr="00391BE6">
        <w:t>This</w:t>
      </w:r>
      <w:r w:rsidR="007445A1" w:rsidRPr="00391BE6">
        <w:t xml:space="preserve"> document provides vendors with details of the approach to be undertaken and information to be provided so that their products and services can be fairly evaluated.</w:t>
      </w:r>
    </w:p>
    <w:p w:rsidR="007445A1" w:rsidRPr="007445A1" w:rsidRDefault="00BD0746" w:rsidP="007445A1">
      <w:pPr>
        <w:pStyle w:val="Heading1"/>
        <w:keepLines/>
        <w:overflowPunct/>
        <w:autoSpaceDE/>
        <w:autoSpaceDN/>
        <w:adjustRightInd/>
        <w:spacing w:before="480" w:line="276" w:lineRule="auto"/>
        <w:textAlignment w:val="auto"/>
        <w:rPr>
          <w:rFonts w:asciiTheme="minorHAnsi" w:eastAsiaTheme="majorEastAsia" w:hAnsiTheme="minorHAnsi" w:cstheme="majorBidi"/>
          <w:bCs/>
          <w:color w:val="2F5496" w:themeColor="accent1" w:themeShade="BF"/>
          <w:sz w:val="28"/>
          <w:szCs w:val="28"/>
        </w:rPr>
      </w:pPr>
      <w:r w:rsidRPr="00BD0746">
        <w:rPr>
          <w:rFonts w:asciiTheme="minorHAnsi" w:eastAsiaTheme="majorEastAsia" w:hAnsiTheme="minorHAnsi" w:cstheme="majorBidi"/>
          <w:bCs/>
          <w:color w:val="2F5496" w:themeColor="accent1" w:themeShade="BF"/>
          <w:sz w:val="28"/>
          <w:szCs w:val="28"/>
        </w:rPr>
        <w:t>Presentation and Demonstration</w:t>
      </w:r>
    </w:p>
    <w:p w:rsidR="008F6826" w:rsidRDefault="007445A1" w:rsidP="00615E7A">
      <w:pPr>
        <w:jc w:val="both"/>
      </w:pPr>
      <w:r w:rsidRPr="00391BE6">
        <w:t xml:space="preserve">To facilitate our product selection, we will </w:t>
      </w:r>
      <w:r w:rsidR="008F6826">
        <w:t xml:space="preserve">ask </w:t>
      </w:r>
      <w:r w:rsidRPr="00391BE6">
        <w:t xml:space="preserve">selected vendors </w:t>
      </w:r>
      <w:r w:rsidR="008F6826">
        <w:t xml:space="preserve">to present their </w:t>
      </w:r>
      <w:r w:rsidR="00BD0746">
        <w:t>systems</w:t>
      </w:r>
      <w:r w:rsidR="008F6826">
        <w:t>.</w:t>
      </w:r>
    </w:p>
    <w:p w:rsidR="008D05D4" w:rsidRDefault="008D05D4" w:rsidP="00615E7A">
      <w:pPr>
        <w:jc w:val="both"/>
      </w:pPr>
      <w:r>
        <w:t xml:space="preserve">For the TMS system we will ask </w:t>
      </w:r>
      <w:r w:rsidR="002A06BA">
        <w:t xml:space="preserve">the vendor </w:t>
      </w:r>
      <w:r>
        <w:t>to demonstrate how the system would be used.</w:t>
      </w:r>
    </w:p>
    <w:p w:rsidR="008D05D4" w:rsidRDefault="008D05D4" w:rsidP="00615E7A">
      <w:pPr>
        <w:jc w:val="both"/>
      </w:pPr>
      <w:r>
        <w:t xml:space="preserve">For the ALM system we will ask </w:t>
      </w:r>
      <w:r w:rsidR="002A06BA">
        <w:t xml:space="preserve">the vendor </w:t>
      </w:r>
      <w:r>
        <w:t>to demonstrate how the system would be u</w:t>
      </w:r>
      <w:r w:rsidR="00D251CE">
        <w:t xml:space="preserve">sed and for you to run </w:t>
      </w:r>
      <w:r w:rsidR="00D251CE" w:rsidRPr="00615E7A">
        <w:t>through 8</w:t>
      </w:r>
      <w:r w:rsidRPr="00615E7A">
        <w:t xml:space="preserve"> </w:t>
      </w:r>
      <w:r w:rsidR="002A06BA" w:rsidRPr="00615E7A">
        <w:t>scenario’s</w:t>
      </w:r>
      <w:r>
        <w:t xml:space="preserve"> which the treasury team would perform.</w:t>
      </w:r>
    </w:p>
    <w:p w:rsidR="007445A1" w:rsidRPr="00391BE6" w:rsidRDefault="002A06BA" w:rsidP="00615E7A">
      <w:pPr>
        <w:jc w:val="both"/>
      </w:pPr>
      <w:r>
        <w:t xml:space="preserve">For the demonstration, we wish the vendor to prepare the data set that matches the product set and financial assets that Hodge utilises.  Details of the products and assets are provided in Annex </w:t>
      </w:r>
      <w:r w:rsidR="00113625">
        <w:t>A</w:t>
      </w:r>
      <w:r>
        <w:t>.</w:t>
      </w:r>
      <w:r w:rsidR="00D251CE">
        <w:t xml:space="preserve"> </w:t>
      </w:r>
      <w:r>
        <w:t>The agenda</w:t>
      </w:r>
      <w:r w:rsidR="007445A1" w:rsidRPr="00391BE6">
        <w:t xml:space="preserve"> will cumulate in a demonstration to key sta</w:t>
      </w:r>
      <w:r>
        <w:t xml:space="preserve">keholders of how your solution supports </w:t>
      </w:r>
      <w:r w:rsidR="007445A1" w:rsidRPr="00391BE6">
        <w:t xml:space="preserve">specific </w:t>
      </w:r>
      <w:r>
        <w:t>tasks</w:t>
      </w:r>
      <w:r w:rsidR="007445A1" w:rsidRPr="00391BE6">
        <w:t>.</w:t>
      </w:r>
    </w:p>
    <w:p w:rsidR="002A06BA" w:rsidRDefault="007445A1" w:rsidP="00615E7A">
      <w:pPr>
        <w:jc w:val="both"/>
      </w:pPr>
      <w:r w:rsidRPr="00391BE6">
        <w:t xml:space="preserve">The outcome of the </w:t>
      </w:r>
      <w:r w:rsidR="002A06BA">
        <w:t>demonstration</w:t>
      </w:r>
      <w:r w:rsidRPr="00391BE6">
        <w:t>, together with additional information provided will inform our selection and we will work with the selected vendor to agree terms prior to commencing implementation</w:t>
      </w:r>
      <w:bookmarkStart w:id="2" w:name="_Ref473634837"/>
      <w:bookmarkStart w:id="3" w:name="_Toc473895339"/>
      <w:r w:rsidR="00615E7A">
        <w:t>.</w:t>
      </w:r>
    </w:p>
    <w:p w:rsidR="007445A1" w:rsidRPr="002A06BA" w:rsidRDefault="002A06BA" w:rsidP="002A06BA">
      <w:r>
        <w:rPr>
          <w:rFonts w:ascii="Calibri" w:eastAsia="Times New Roman" w:hAnsi="Calibri" w:cs="Times New Roman"/>
          <w:b/>
          <w:bCs/>
          <w:color w:val="365F91"/>
          <w:sz w:val="28"/>
          <w:szCs w:val="28"/>
        </w:rPr>
        <w:t>In</w:t>
      </w:r>
      <w:r w:rsidR="007445A1" w:rsidRPr="007445A1">
        <w:rPr>
          <w:rFonts w:ascii="Calibri" w:eastAsia="Times New Roman" w:hAnsi="Calibri" w:cs="Times New Roman"/>
          <w:b/>
          <w:bCs/>
          <w:color w:val="365F91"/>
          <w:sz w:val="28"/>
          <w:szCs w:val="28"/>
        </w:rPr>
        <w:t>structions to Vendors</w:t>
      </w:r>
      <w:bookmarkEnd w:id="2"/>
      <w:bookmarkEnd w:id="3"/>
    </w:p>
    <w:p w:rsidR="00615E7A" w:rsidRPr="007445A1" w:rsidRDefault="00615E7A" w:rsidP="00615E7A">
      <w:pPr>
        <w:spacing w:after="0" w:line="276" w:lineRule="auto"/>
        <w:rPr>
          <w:rFonts w:ascii="Calibri" w:eastAsia="Calibri" w:hAnsi="Calibri" w:cs="Times New Roman"/>
        </w:rPr>
      </w:pPr>
      <w:r>
        <w:rPr>
          <w:rFonts w:ascii="Calibri" w:eastAsia="Calibri" w:hAnsi="Calibri" w:cs="Times New Roman"/>
        </w:rPr>
        <w:t xml:space="preserve">Our current IT strategy is to utilise Software-as-a-Service on a </w:t>
      </w:r>
      <w:r w:rsidRPr="001D7052">
        <w:rPr>
          <w:rFonts w:ascii="Calibri" w:eastAsia="Calibri" w:hAnsi="Calibri" w:cs="Times New Roman"/>
        </w:rPr>
        <w:t>hosted</w:t>
      </w:r>
      <w:r>
        <w:rPr>
          <w:rFonts w:ascii="Calibri" w:eastAsia="Calibri" w:hAnsi="Calibri" w:cs="Times New Roman"/>
        </w:rPr>
        <w:t xml:space="preserve"> cloud.</w:t>
      </w:r>
    </w:p>
    <w:p w:rsidR="00615E7A" w:rsidRDefault="00615E7A" w:rsidP="00991092">
      <w:pPr>
        <w:spacing w:after="0" w:line="276" w:lineRule="auto"/>
        <w:rPr>
          <w:rFonts w:ascii="Calibri" w:eastAsia="Calibri" w:hAnsi="Calibri" w:cs="Times New Roman"/>
        </w:rPr>
      </w:pPr>
    </w:p>
    <w:p w:rsidR="00A21EF5" w:rsidRDefault="00A21EF5" w:rsidP="00991092">
      <w:pPr>
        <w:spacing w:after="0" w:line="276" w:lineRule="auto"/>
        <w:rPr>
          <w:rFonts w:ascii="Calibri" w:eastAsia="Calibri" w:hAnsi="Calibri" w:cs="Times New Roman"/>
        </w:rPr>
      </w:pPr>
      <w:r>
        <w:rPr>
          <w:rFonts w:ascii="Calibri" w:eastAsia="Calibri" w:hAnsi="Calibri" w:cs="Times New Roman"/>
        </w:rPr>
        <w:t xml:space="preserve">Can you please </w:t>
      </w:r>
      <w:r w:rsidR="00D251CE">
        <w:rPr>
          <w:rFonts w:ascii="Calibri" w:eastAsia="Calibri" w:hAnsi="Calibri" w:cs="Times New Roman"/>
        </w:rPr>
        <w:t>complete the c</w:t>
      </w:r>
      <w:r w:rsidRPr="007445A1">
        <w:rPr>
          <w:rFonts w:ascii="Calibri" w:eastAsia="Calibri" w:hAnsi="Calibri" w:cs="Times New Roman"/>
        </w:rPr>
        <w:t xml:space="preserve">ost model </w:t>
      </w:r>
      <w:r w:rsidR="00D251CE">
        <w:rPr>
          <w:rFonts w:ascii="Calibri" w:eastAsia="Calibri" w:hAnsi="Calibri" w:cs="Times New Roman"/>
        </w:rPr>
        <w:t xml:space="preserve">below </w:t>
      </w:r>
      <w:r w:rsidRPr="007445A1">
        <w:rPr>
          <w:rFonts w:ascii="Calibri" w:eastAsia="Calibri" w:hAnsi="Calibri" w:cs="Times New Roman"/>
        </w:rPr>
        <w:t xml:space="preserve">to describe the charges for delivering the services. </w:t>
      </w:r>
    </w:p>
    <w:p w:rsidR="00A21EF5" w:rsidRPr="007445A1" w:rsidRDefault="00A21EF5" w:rsidP="00991092">
      <w:pPr>
        <w:spacing w:after="0" w:line="276" w:lineRule="auto"/>
        <w:rPr>
          <w:rFonts w:ascii="Calibri" w:eastAsia="Calibri" w:hAnsi="Calibri" w:cs="Times New Roman"/>
        </w:rPr>
      </w:pPr>
      <w:r w:rsidRPr="007445A1">
        <w:rPr>
          <w:rFonts w:ascii="Calibri" w:eastAsia="Calibri" w:hAnsi="Calibri" w:cs="Times New Roman"/>
        </w:rPr>
        <w:t>Costs are to be provided for each phase so to enable appropriate cost benefit analysis.</w:t>
      </w:r>
    </w:p>
    <w:p w:rsidR="00615E7A" w:rsidRDefault="00615E7A" w:rsidP="00615E7A">
      <w:pPr>
        <w:rPr>
          <w:rFonts w:ascii="Verdana" w:eastAsia="Times New Roman" w:hAnsi="Verdana" w:cs="Arial"/>
          <w:sz w:val="20"/>
          <w:szCs w:val="20"/>
        </w:rPr>
      </w:pPr>
    </w:p>
    <w:p w:rsidR="007445A1" w:rsidRDefault="00572686" w:rsidP="00FC536B">
      <w:pPr>
        <w:spacing w:after="200" w:line="276" w:lineRule="auto"/>
        <w:rPr>
          <w:rFonts w:ascii="Calibri" w:eastAsia="Calibri" w:hAnsi="Calibri" w:cs="Times New Roman"/>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76.5pt;height:49.5pt;z-index:251659264;mso-position-horizontal:left;mso-position-horizontal-relative:text;mso-position-vertical-relative:text">
            <v:imagedata r:id="rId6" o:title=""/>
            <w10:wrap type="square" side="right"/>
          </v:shape>
          <o:OLEObject Type="Embed" ProgID="Excel.Sheet.12" ShapeID="_x0000_s1027" DrawAspect="Icon" ObjectID="_1587819272" r:id="rId7"/>
        </w:object>
      </w:r>
      <w:r w:rsidR="00FC536B">
        <w:rPr>
          <w:rFonts w:ascii="Calibri" w:eastAsia="Calibri" w:hAnsi="Calibri" w:cs="Times New Roman"/>
        </w:rPr>
        <w:br w:type="textWrapping" w:clear="all"/>
      </w:r>
      <w:r w:rsidR="00615E7A">
        <w:rPr>
          <w:rFonts w:ascii="Calibri" w:eastAsia="Calibri" w:hAnsi="Calibri" w:cs="Times New Roman"/>
        </w:rPr>
        <w:t xml:space="preserve">Can you please </w:t>
      </w:r>
      <w:r w:rsidR="007445A1" w:rsidRPr="007445A1">
        <w:rPr>
          <w:rFonts w:ascii="Calibri" w:eastAsia="Calibri" w:hAnsi="Calibri" w:cs="Times New Roman"/>
        </w:rPr>
        <w:t>provi</w:t>
      </w:r>
      <w:r w:rsidR="00615E7A">
        <w:rPr>
          <w:rFonts w:ascii="Calibri" w:eastAsia="Calibri" w:hAnsi="Calibri" w:cs="Times New Roman"/>
        </w:rPr>
        <w:t xml:space="preserve">de </w:t>
      </w:r>
      <w:r w:rsidR="007445A1" w:rsidRPr="007445A1">
        <w:rPr>
          <w:rFonts w:ascii="Calibri" w:eastAsia="Calibri" w:hAnsi="Calibri" w:cs="Times New Roman"/>
        </w:rPr>
        <w:t xml:space="preserve">the requested information by </w:t>
      </w:r>
      <w:r w:rsidR="00FC536B">
        <w:rPr>
          <w:rFonts w:ascii="Calibri" w:eastAsia="Calibri" w:hAnsi="Calibri" w:cs="Times New Roman"/>
        </w:rPr>
        <w:t>25</w:t>
      </w:r>
      <w:r w:rsidR="00FC536B" w:rsidRPr="00FC536B">
        <w:rPr>
          <w:rFonts w:ascii="Calibri" w:eastAsia="Calibri" w:hAnsi="Calibri" w:cs="Times New Roman"/>
          <w:vertAlign w:val="superscript"/>
        </w:rPr>
        <w:t>th</w:t>
      </w:r>
      <w:r w:rsidR="00FC536B">
        <w:rPr>
          <w:rFonts w:ascii="Calibri" w:eastAsia="Calibri" w:hAnsi="Calibri" w:cs="Times New Roman"/>
        </w:rPr>
        <w:t xml:space="preserve"> May 2018 to </w:t>
      </w:r>
    </w:p>
    <w:p w:rsidR="00FC536B" w:rsidRDefault="00572686" w:rsidP="00615E7A">
      <w:pPr>
        <w:rPr>
          <w:rFonts w:ascii="Calibri" w:eastAsia="Calibri" w:hAnsi="Calibri" w:cs="Times New Roman"/>
        </w:rPr>
      </w:pPr>
      <w:hyperlink r:id="rId8" w:history="1">
        <w:r w:rsidR="00FC536B" w:rsidRPr="00394A38">
          <w:rPr>
            <w:rStyle w:val="Hyperlink"/>
            <w:rFonts w:ascii="Calibri" w:eastAsia="Calibri" w:hAnsi="Calibri" w:cs="Times New Roman"/>
          </w:rPr>
          <w:t>Gareth.Davies2@Hodge.co.uk</w:t>
        </w:r>
      </w:hyperlink>
      <w:r w:rsidR="00FC536B">
        <w:rPr>
          <w:rFonts w:ascii="Calibri" w:eastAsia="Calibri" w:hAnsi="Calibri" w:cs="Times New Roman"/>
        </w:rPr>
        <w:t xml:space="preserve"> &amp; </w:t>
      </w:r>
      <w:hyperlink r:id="rId9" w:history="1">
        <w:r w:rsidR="00FC536B" w:rsidRPr="00394A38">
          <w:rPr>
            <w:rStyle w:val="Hyperlink"/>
            <w:rFonts w:ascii="Calibri" w:eastAsia="Calibri" w:hAnsi="Calibri" w:cs="Times New Roman"/>
          </w:rPr>
          <w:t>David.Ryan@Hodge.co.uk</w:t>
        </w:r>
      </w:hyperlink>
    </w:p>
    <w:p w:rsidR="00FC536B" w:rsidRDefault="00FC536B" w:rsidP="00615E7A">
      <w:pPr>
        <w:rPr>
          <w:rFonts w:ascii="Calibri" w:eastAsia="Calibri" w:hAnsi="Calibri" w:cs="Times New Roman"/>
        </w:rPr>
      </w:pPr>
    </w:p>
    <w:p w:rsidR="00FC536B" w:rsidRPr="00615E7A" w:rsidRDefault="00FC536B" w:rsidP="00615E7A"/>
    <w:p w:rsidR="00D251CE" w:rsidRDefault="00D251CE" w:rsidP="00D251CE">
      <w:pPr>
        <w:rPr>
          <w:rFonts w:ascii="Verdana" w:eastAsia="Times New Roman" w:hAnsi="Verdana" w:cs="Arial"/>
          <w:sz w:val="20"/>
          <w:szCs w:val="20"/>
        </w:rPr>
      </w:pPr>
    </w:p>
    <w:p w:rsidR="00615E7A" w:rsidRDefault="00615E7A">
      <w:pPr>
        <w:rPr>
          <w:rFonts w:ascii="Verdana" w:eastAsia="Times New Roman" w:hAnsi="Verdana" w:cs="Arial"/>
          <w:sz w:val="20"/>
          <w:szCs w:val="20"/>
        </w:rPr>
      </w:pPr>
      <w:r>
        <w:rPr>
          <w:rFonts w:ascii="Verdana" w:eastAsia="Times New Roman" w:hAnsi="Verdana" w:cs="Arial"/>
          <w:sz w:val="20"/>
          <w:szCs w:val="20"/>
        </w:rPr>
        <w:br w:type="page"/>
      </w:r>
    </w:p>
    <w:p w:rsidR="006D1B11" w:rsidRPr="00E04EC1" w:rsidRDefault="006D1B11" w:rsidP="00E04EC1">
      <w:pPr>
        <w:pStyle w:val="Heading1"/>
        <w:keepLines/>
        <w:overflowPunct/>
        <w:autoSpaceDE/>
        <w:autoSpaceDN/>
        <w:adjustRightInd/>
        <w:spacing w:before="480" w:line="276" w:lineRule="auto"/>
        <w:textAlignment w:val="auto"/>
        <w:rPr>
          <w:rFonts w:asciiTheme="minorHAnsi" w:eastAsiaTheme="majorEastAsia" w:hAnsiTheme="minorHAnsi" w:cstheme="majorBidi"/>
          <w:bCs/>
          <w:color w:val="2F5496" w:themeColor="accent1" w:themeShade="BF"/>
          <w:sz w:val="28"/>
          <w:szCs w:val="28"/>
        </w:rPr>
      </w:pPr>
      <w:r w:rsidRPr="00E04EC1">
        <w:rPr>
          <w:rFonts w:asciiTheme="minorHAnsi" w:eastAsiaTheme="majorEastAsia" w:hAnsiTheme="minorHAnsi" w:cstheme="majorBidi"/>
          <w:bCs/>
          <w:color w:val="2F5496" w:themeColor="accent1" w:themeShade="BF"/>
          <w:sz w:val="28"/>
          <w:szCs w:val="28"/>
        </w:rPr>
        <w:lastRenderedPageBreak/>
        <w:t>Agenda</w:t>
      </w:r>
    </w:p>
    <w:p w:rsidR="008D05D4" w:rsidRPr="008D05D4" w:rsidRDefault="002A4820" w:rsidP="008D05D4">
      <w:pPr>
        <w:pStyle w:val="ListParagraph"/>
        <w:keepNext/>
        <w:keepLines/>
        <w:numPr>
          <w:ilvl w:val="0"/>
          <w:numId w:val="18"/>
        </w:numPr>
        <w:spacing w:before="200" w:after="0" w:line="276" w:lineRule="auto"/>
        <w:outlineLvl w:val="1"/>
      </w:pPr>
      <w:bookmarkStart w:id="4" w:name="_Toc473895341"/>
      <w:r w:rsidRPr="008D05D4">
        <w:rPr>
          <w:rFonts w:ascii="Calibri" w:eastAsia="Times New Roman" w:hAnsi="Calibri" w:cs="Times New Roman"/>
          <w:b/>
          <w:bCs/>
          <w:color w:val="4F81BD"/>
          <w:sz w:val="26"/>
          <w:szCs w:val="26"/>
        </w:rPr>
        <w:t>Introduction</w:t>
      </w:r>
      <w:r w:rsidR="008D05D4" w:rsidRPr="008D05D4">
        <w:rPr>
          <w:rFonts w:ascii="Calibri" w:eastAsia="Times New Roman" w:hAnsi="Calibri" w:cs="Times New Roman"/>
          <w:b/>
          <w:bCs/>
          <w:color w:val="4F81BD"/>
          <w:sz w:val="26"/>
          <w:szCs w:val="26"/>
        </w:rPr>
        <w:t xml:space="preserve">s </w:t>
      </w:r>
    </w:p>
    <w:p w:rsidR="008D05D4" w:rsidRPr="001D7052" w:rsidRDefault="00206C08" w:rsidP="001D7052">
      <w:pPr>
        <w:keepNext/>
        <w:keepLines/>
        <w:spacing w:before="200" w:after="0" w:line="276" w:lineRule="auto"/>
        <w:outlineLvl w:val="1"/>
      </w:pPr>
      <w:r>
        <w:t xml:space="preserve">Can you please </w:t>
      </w:r>
      <w:r w:rsidR="00F3571E">
        <w:t>give us an introduction to your company.</w:t>
      </w:r>
    </w:p>
    <w:p w:rsidR="00E113CC" w:rsidRPr="008D05D4" w:rsidRDefault="00E113CC" w:rsidP="008D05D4">
      <w:pPr>
        <w:pStyle w:val="ListParagraph"/>
        <w:keepNext/>
        <w:keepLines/>
        <w:numPr>
          <w:ilvl w:val="0"/>
          <w:numId w:val="18"/>
        </w:numPr>
        <w:spacing w:before="200" w:after="0" w:line="276" w:lineRule="auto"/>
        <w:outlineLvl w:val="1"/>
        <w:rPr>
          <w:rFonts w:ascii="Calibri" w:eastAsia="Times New Roman" w:hAnsi="Calibri" w:cs="Times New Roman"/>
          <w:b/>
          <w:bCs/>
          <w:color w:val="4F81BD"/>
          <w:sz w:val="26"/>
          <w:szCs w:val="26"/>
        </w:rPr>
      </w:pPr>
      <w:r w:rsidRPr="008D05D4">
        <w:rPr>
          <w:rFonts w:ascii="Calibri" w:eastAsia="Times New Roman" w:hAnsi="Calibri" w:cs="Times New Roman"/>
          <w:b/>
          <w:bCs/>
          <w:color w:val="4F81BD"/>
          <w:sz w:val="26"/>
          <w:szCs w:val="26"/>
        </w:rPr>
        <w:t xml:space="preserve">Treasury Management System </w:t>
      </w:r>
      <w:bookmarkEnd w:id="4"/>
    </w:p>
    <w:p w:rsidR="002E42ED" w:rsidRDefault="002A4820">
      <w:r>
        <w:t>Can you pl</w:t>
      </w:r>
      <w:r w:rsidR="006D1B11">
        <w:t xml:space="preserve">ease demonstrate </w:t>
      </w:r>
      <w:r w:rsidR="002E42ED">
        <w:t xml:space="preserve">how the treasury team will use the TMS system to manage </w:t>
      </w:r>
      <w:r w:rsidR="006D1B11">
        <w:t>the</w:t>
      </w:r>
      <w:r w:rsidR="002E42ED">
        <w:t xml:space="preserve"> day to day treasury operations.</w:t>
      </w:r>
    </w:p>
    <w:p w:rsidR="002A4820" w:rsidRDefault="002A4820" w:rsidP="002A4820">
      <w:r>
        <w:t>S</w:t>
      </w:r>
      <w:r w:rsidR="009B6A3A">
        <w:t xml:space="preserve">ome of the activities </w:t>
      </w:r>
      <w:r w:rsidR="00A21EF5">
        <w:t xml:space="preserve">which we would like to see and not </w:t>
      </w:r>
      <w:r w:rsidRPr="002A4820">
        <w:t>exhaustive</w:t>
      </w:r>
      <w:r>
        <w:t xml:space="preserve"> are </w:t>
      </w:r>
    </w:p>
    <w:p w:rsidR="002E42ED" w:rsidRDefault="002E42ED" w:rsidP="002A4820">
      <w:pPr>
        <w:pStyle w:val="ListParagraph"/>
        <w:numPr>
          <w:ilvl w:val="0"/>
          <w:numId w:val="2"/>
        </w:numPr>
      </w:pPr>
      <w:r>
        <w:t>Daily cash and asset position</w:t>
      </w:r>
    </w:p>
    <w:p w:rsidR="004270DD" w:rsidRDefault="004270DD" w:rsidP="006D1B11">
      <w:pPr>
        <w:pStyle w:val="ListParagraph"/>
        <w:numPr>
          <w:ilvl w:val="0"/>
          <w:numId w:val="2"/>
        </w:numPr>
      </w:pPr>
      <w:r>
        <w:t>Cashflow reporting and projections</w:t>
      </w:r>
    </w:p>
    <w:p w:rsidR="006D1B11" w:rsidRDefault="002E42ED" w:rsidP="006D1B11">
      <w:pPr>
        <w:pStyle w:val="ListParagraph"/>
        <w:numPr>
          <w:ilvl w:val="0"/>
          <w:numId w:val="2"/>
        </w:numPr>
      </w:pPr>
      <w:r>
        <w:t>Pre-</w:t>
      </w:r>
      <w:r w:rsidR="006D1B11">
        <w:t>trade analysis</w:t>
      </w:r>
    </w:p>
    <w:p w:rsidR="006D1B11" w:rsidRDefault="006D1B11" w:rsidP="006D1B11">
      <w:pPr>
        <w:pStyle w:val="ListParagraph"/>
        <w:numPr>
          <w:ilvl w:val="0"/>
          <w:numId w:val="2"/>
        </w:numPr>
      </w:pPr>
      <w:r>
        <w:t>Post</w:t>
      </w:r>
      <w:r w:rsidR="002E42ED">
        <w:t>-</w:t>
      </w:r>
      <w:r>
        <w:t>trade analysis</w:t>
      </w:r>
    </w:p>
    <w:p w:rsidR="006D1B11" w:rsidRDefault="006D1B11" w:rsidP="006D1B11">
      <w:pPr>
        <w:pStyle w:val="ListParagraph"/>
        <w:numPr>
          <w:ilvl w:val="0"/>
          <w:numId w:val="2"/>
        </w:numPr>
      </w:pPr>
      <w:r>
        <w:t>Workflow management</w:t>
      </w:r>
    </w:p>
    <w:p w:rsidR="002E42ED" w:rsidRDefault="002E42ED" w:rsidP="002E42ED">
      <w:pPr>
        <w:pStyle w:val="ListParagraph"/>
        <w:numPr>
          <w:ilvl w:val="0"/>
          <w:numId w:val="2"/>
        </w:numPr>
      </w:pPr>
      <w:r>
        <w:t>Reconciliations</w:t>
      </w:r>
    </w:p>
    <w:p w:rsidR="00874F4C" w:rsidRDefault="00874F4C" w:rsidP="002E42ED">
      <w:pPr>
        <w:pStyle w:val="ListParagraph"/>
        <w:numPr>
          <w:ilvl w:val="0"/>
          <w:numId w:val="2"/>
        </w:numPr>
      </w:pPr>
      <w:r>
        <w:t>Document management feature</w:t>
      </w:r>
    </w:p>
    <w:p w:rsidR="008D7B18" w:rsidRDefault="002A4820" w:rsidP="008D7B18">
      <w:pPr>
        <w:pStyle w:val="ListParagraph"/>
        <w:numPr>
          <w:ilvl w:val="0"/>
          <w:numId w:val="2"/>
        </w:numPr>
      </w:pPr>
      <w:r>
        <w:t>MI, dashboard and reporting</w:t>
      </w:r>
    </w:p>
    <w:p w:rsidR="001D7052" w:rsidRPr="001D7052" w:rsidRDefault="001D7052" w:rsidP="001D7052">
      <w:pPr>
        <w:pStyle w:val="ListParagraph"/>
        <w:ind w:left="360"/>
      </w:pPr>
    </w:p>
    <w:p w:rsidR="002A4820" w:rsidRPr="008D05D4" w:rsidRDefault="002A4820" w:rsidP="008D05D4">
      <w:pPr>
        <w:pStyle w:val="ListParagraph"/>
        <w:numPr>
          <w:ilvl w:val="0"/>
          <w:numId w:val="18"/>
        </w:numPr>
      </w:pPr>
      <w:r w:rsidRPr="008D05D4">
        <w:rPr>
          <w:rFonts w:ascii="Calibri" w:eastAsia="Times New Roman" w:hAnsi="Calibri" w:cs="Times New Roman"/>
          <w:b/>
          <w:bCs/>
          <w:color w:val="4F81BD"/>
          <w:sz w:val="26"/>
          <w:szCs w:val="26"/>
        </w:rPr>
        <w:t xml:space="preserve">Asset and Liability Management System </w:t>
      </w:r>
    </w:p>
    <w:p w:rsidR="002A4820" w:rsidRDefault="002A4820" w:rsidP="002A4820">
      <w:r>
        <w:t xml:space="preserve">Can you please demonstrate how the treasury team will use the ALM system to manage the day to day </w:t>
      </w:r>
      <w:r w:rsidR="008D05D4">
        <w:t>balance sheet risk</w:t>
      </w:r>
      <w:r w:rsidR="008048F3">
        <w:t>.</w:t>
      </w:r>
    </w:p>
    <w:p w:rsidR="00991092" w:rsidRDefault="00991092" w:rsidP="002A4820">
      <w:r>
        <w:t>Can you please demonstrate your system for the following scenario</w:t>
      </w:r>
      <w:r w:rsidR="008D05D4">
        <w:t>s:</w:t>
      </w:r>
    </w:p>
    <w:p w:rsidR="00024B64" w:rsidRDefault="00AC4057" w:rsidP="00AC4057">
      <w:r w:rsidRPr="00024B64">
        <w:rPr>
          <w:b/>
        </w:rPr>
        <w:t xml:space="preserve">Scenario </w:t>
      </w:r>
      <w:r w:rsidR="00991092">
        <w:rPr>
          <w:b/>
        </w:rPr>
        <w:t>1</w:t>
      </w:r>
      <w:r>
        <w:t xml:space="preserve"> </w:t>
      </w:r>
      <w:r w:rsidR="00024B64">
        <w:t>–</w:t>
      </w:r>
      <w:r>
        <w:t xml:space="preserve"> </w:t>
      </w:r>
      <w:r w:rsidR="00024B64">
        <w:t xml:space="preserve">The treasury team produces a weekly ALCO pack.  </w:t>
      </w:r>
    </w:p>
    <w:p w:rsidR="00AC4057" w:rsidRDefault="00024B64" w:rsidP="00AC4057">
      <w:r>
        <w:t>Can you please demonstrate how your system can assist the team in producing an ALCO pack.</w:t>
      </w:r>
    </w:p>
    <w:p w:rsidR="00821656" w:rsidRDefault="00821656" w:rsidP="00821656">
      <w:r>
        <w:t xml:space="preserve">These are some of the </w:t>
      </w:r>
      <w:r w:rsidR="008D7B18">
        <w:t xml:space="preserve">information </w:t>
      </w:r>
      <w:r>
        <w:t>we would like to see</w:t>
      </w:r>
      <w:r w:rsidR="008D7B18">
        <w:t xml:space="preserve"> in a pack.</w:t>
      </w:r>
      <w:r>
        <w:t xml:space="preserve"> </w:t>
      </w:r>
    </w:p>
    <w:p w:rsidR="00821656" w:rsidRDefault="00821656" w:rsidP="00821656">
      <w:pPr>
        <w:pStyle w:val="ListParagraph"/>
        <w:numPr>
          <w:ilvl w:val="0"/>
          <w:numId w:val="2"/>
        </w:numPr>
      </w:pPr>
      <w:r>
        <w:t>Liquidity summary</w:t>
      </w:r>
    </w:p>
    <w:p w:rsidR="00821656" w:rsidRDefault="00821656" w:rsidP="00821656">
      <w:pPr>
        <w:pStyle w:val="ListParagraph"/>
        <w:numPr>
          <w:ilvl w:val="0"/>
          <w:numId w:val="2"/>
        </w:numPr>
      </w:pPr>
      <w:r>
        <w:t>ILAA requirements</w:t>
      </w:r>
    </w:p>
    <w:p w:rsidR="00821656" w:rsidRDefault="00821656" w:rsidP="00821656">
      <w:pPr>
        <w:pStyle w:val="ListParagraph"/>
        <w:numPr>
          <w:ilvl w:val="0"/>
          <w:numId w:val="2"/>
        </w:numPr>
      </w:pPr>
      <w:r>
        <w:t>LCR requirements</w:t>
      </w:r>
    </w:p>
    <w:p w:rsidR="00821656" w:rsidRDefault="00821656" w:rsidP="00821656">
      <w:pPr>
        <w:pStyle w:val="ListParagraph"/>
        <w:numPr>
          <w:ilvl w:val="0"/>
          <w:numId w:val="2"/>
        </w:numPr>
      </w:pPr>
      <w:r>
        <w:t>Ratios</w:t>
      </w:r>
    </w:p>
    <w:p w:rsidR="00821656" w:rsidRDefault="00821656" w:rsidP="00821656">
      <w:pPr>
        <w:pStyle w:val="ListParagraph"/>
        <w:numPr>
          <w:ilvl w:val="0"/>
          <w:numId w:val="2"/>
        </w:numPr>
      </w:pPr>
      <w:r>
        <w:t>Triggers &amp; limits</w:t>
      </w:r>
    </w:p>
    <w:p w:rsidR="00821656" w:rsidRDefault="00821656" w:rsidP="00821656">
      <w:pPr>
        <w:pStyle w:val="ListParagraph"/>
        <w:numPr>
          <w:ilvl w:val="0"/>
          <w:numId w:val="2"/>
        </w:numPr>
      </w:pPr>
      <w:r>
        <w:t>Collateral positions</w:t>
      </w:r>
    </w:p>
    <w:p w:rsidR="00821656" w:rsidRDefault="00821656" w:rsidP="00821656">
      <w:pPr>
        <w:pStyle w:val="ListParagraph"/>
        <w:numPr>
          <w:ilvl w:val="0"/>
          <w:numId w:val="2"/>
        </w:numPr>
      </w:pPr>
      <w:r>
        <w:t>Aged graphs (for example cash, liquidity ratio, ILAA surplus)</w:t>
      </w:r>
    </w:p>
    <w:p w:rsidR="00821656" w:rsidRDefault="00821656" w:rsidP="00821656">
      <w:pPr>
        <w:pStyle w:val="ListParagraph"/>
        <w:numPr>
          <w:ilvl w:val="0"/>
          <w:numId w:val="2"/>
        </w:numPr>
      </w:pPr>
      <w:r>
        <w:t>Cashflow forecast</w:t>
      </w:r>
    </w:p>
    <w:p w:rsidR="00821656" w:rsidRDefault="00821656" w:rsidP="00821656">
      <w:pPr>
        <w:pStyle w:val="ListParagraph"/>
        <w:numPr>
          <w:ilvl w:val="0"/>
          <w:numId w:val="2"/>
        </w:numPr>
      </w:pPr>
      <w:r>
        <w:t>Liquidity &amp; LCR forecast</w:t>
      </w:r>
    </w:p>
    <w:p w:rsidR="00821656" w:rsidRDefault="00821656" w:rsidP="00821656">
      <w:pPr>
        <w:pStyle w:val="ListParagraph"/>
        <w:numPr>
          <w:ilvl w:val="0"/>
          <w:numId w:val="2"/>
        </w:numPr>
      </w:pPr>
      <w:r>
        <w:t>Swap spread risk</w:t>
      </w:r>
    </w:p>
    <w:p w:rsidR="008048F3" w:rsidRDefault="00991092" w:rsidP="008048F3">
      <w:r>
        <w:rPr>
          <w:b/>
        </w:rPr>
        <w:t>Scenario 2</w:t>
      </w:r>
      <w:r w:rsidR="008048F3">
        <w:t xml:space="preserve"> – Can you please demonstrate how we can model the balance sheet dynamically.</w:t>
      </w:r>
    </w:p>
    <w:p w:rsidR="0002462C" w:rsidRDefault="0002462C" w:rsidP="0002462C">
      <w:r w:rsidRPr="00024B64">
        <w:rPr>
          <w:b/>
        </w:rPr>
        <w:t xml:space="preserve">Scenario </w:t>
      </w:r>
      <w:r w:rsidR="00991092">
        <w:rPr>
          <w:b/>
        </w:rPr>
        <w:t>3</w:t>
      </w:r>
      <w:r>
        <w:t xml:space="preserve"> – Can you please demonstrate how the treasury team could run a IRRBB stress test</w:t>
      </w:r>
    </w:p>
    <w:p w:rsidR="0002462C" w:rsidRDefault="0002462C" w:rsidP="0002462C">
      <w:r w:rsidRPr="00024B64">
        <w:rPr>
          <w:b/>
        </w:rPr>
        <w:t xml:space="preserve">Scenario </w:t>
      </w:r>
      <w:r w:rsidR="00991092">
        <w:rPr>
          <w:b/>
        </w:rPr>
        <w:t>4</w:t>
      </w:r>
      <w:r>
        <w:t xml:space="preserve"> – Can you please demonstrate how the treasury team could run a range of interest rate parallel shifts.  (For example 0.5%, 1%, 2%, 3%)</w:t>
      </w:r>
    </w:p>
    <w:p w:rsidR="00874F4C" w:rsidRDefault="00874F4C" w:rsidP="001D7052">
      <w:pPr>
        <w:spacing w:after="0"/>
      </w:pPr>
      <w:r w:rsidRPr="00024B64">
        <w:rPr>
          <w:b/>
        </w:rPr>
        <w:lastRenderedPageBreak/>
        <w:t xml:space="preserve">Scenario </w:t>
      </w:r>
      <w:r w:rsidR="00991092">
        <w:rPr>
          <w:b/>
        </w:rPr>
        <w:t>5</w:t>
      </w:r>
      <w:r>
        <w:t xml:space="preserve"> – Can you please demonstrate how to model non-standard cashflow</w:t>
      </w:r>
      <w:r w:rsidR="001D7052">
        <w:t>s</w:t>
      </w:r>
      <w:r>
        <w:t xml:space="preserve">? </w:t>
      </w:r>
    </w:p>
    <w:p w:rsidR="001D7052" w:rsidRDefault="001D7052" w:rsidP="001D7052">
      <w:pPr>
        <w:spacing w:after="0"/>
      </w:pPr>
      <w:r>
        <w:t>For example, a commercial loan may have the following terms</w:t>
      </w:r>
    </w:p>
    <w:p w:rsidR="001D7052" w:rsidRDefault="001D7052" w:rsidP="001D7052">
      <w:pPr>
        <w:pStyle w:val="ListParagraph"/>
        <w:numPr>
          <w:ilvl w:val="0"/>
          <w:numId w:val="2"/>
        </w:numPr>
        <w:spacing w:after="0"/>
      </w:pPr>
      <w:r>
        <w:t>Loan £500,000</w:t>
      </w:r>
    </w:p>
    <w:p w:rsidR="001D7052" w:rsidRDefault="001D7052" w:rsidP="001D7052">
      <w:pPr>
        <w:pStyle w:val="ListParagraph"/>
        <w:numPr>
          <w:ilvl w:val="0"/>
          <w:numId w:val="2"/>
        </w:numPr>
        <w:spacing w:after="0"/>
      </w:pPr>
      <w:r>
        <w:t>Term 15 years</w:t>
      </w:r>
    </w:p>
    <w:p w:rsidR="001D7052" w:rsidRDefault="001D7052" w:rsidP="001D7052">
      <w:pPr>
        <w:pStyle w:val="ListParagraph"/>
        <w:numPr>
          <w:ilvl w:val="0"/>
          <w:numId w:val="2"/>
        </w:numPr>
        <w:spacing w:after="0"/>
      </w:pPr>
      <w:r>
        <w:t>2 years Fixed rate @ 5%</w:t>
      </w:r>
    </w:p>
    <w:p w:rsidR="001D7052" w:rsidRDefault="001D7052" w:rsidP="001D7052">
      <w:pPr>
        <w:pStyle w:val="ListParagraph"/>
        <w:numPr>
          <w:ilvl w:val="0"/>
          <w:numId w:val="2"/>
        </w:numPr>
        <w:spacing w:after="0"/>
      </w:pPr>
      <w:r>
        <w:t>Remainder at 4% above 3m Libor, quarterly reset</w:t>
      </w:r>
    </w:p>
    <w:p w:rsidR="001D7052" w:rsidRDefault="001D7052" w:rsidP="001D7052">
      <w:pPr>
        <w:pStyle w:val="ListParagraph"/>
        <w:numPr>
          <w:ilvl w:val="0"/>
          <w:numId w:val="2"/>
        </w:numPr>
        <w:spacing w:after="0"/>
      </w:pPr>
      <w:r>
        <w:t>Interest added monthly</w:t>
      </w:r>
    </w:p>
    <w:p w:rsidR="001D7052" w:rsidRDefault="001D7052" w:rsidP="001D7052">
      <w:pPr>
        <w:pStyle w:val="ListParagraph"/>
        <w:numPr>
          <w:ilvl w:val="0"/>
          <w:numId w:val="2"/>
        </w:numPr>
        <w:spacing w:after="0"/>
      </w:pPr>
      <w:r>
        <w:t>Roll-up for first 3 years followed by quarterly capital repayments for 12 years.</w:t>
      </w:r>
    </w:p>
    <w:p w:rsidR="001D7052" w:rsidRDefault="001D7052" w:rsidP="001D7052">
      <w:pPr>
        <w:pStyle w:val="ListParagraph"/>
        <w:numPr>
          <w:ilvl w:val="0"/>
          <w:numId w:val="2"/>
        </w:numPr>
        <w:spacing w:after="0"/>
      </w:pPr>
      <w:r>
        <w:t>Balloon payment of £200,000</w:t>
      </w:r>
    </w:p>
    <w:p w:rsidR="00481900" w:rsidRDefault="00481900" w:rsidP="00481900">
      <w:pPr>
        <w:spacing w:after="0"/>
      </w:pPr>
    </w:p>
    <w:p w:rsidR="00481900" w:rsidRDefault="00481900" w:rsidP="00481900">
      <w:pPr>
        <w:spacing w:after="0"/>
      </w:pPr>
      <w:r>
        <w:t>Legacy Lifetime mortgages (fixed for life roll-up) cashflows on a portfolio basis with behavioural assumptions. Our prophet system currently creates these cashflows.</w:t>
      </w:r>
    </w:p>
    <w:p w:rsidR="001D7052" w:rsidRDefault="001D7052" w:rsidP="001D7052">
      <w:pPr>
        <w:spacing w:after="0"/>
      </w:pPr>
    </w:p>
    <w:p w:rsidR="00991092" w:rsidRDefault="00991092" w:rsidP="00991092">
      <w:r>
        <w:rPr>
          <w:b/>
        </w:rPr>
        <w:t>Scenario 6</w:t>
      </w:r>
      <w:r>
        <w:t xml:space="preserve"> – </w:t>
      </w:r>
      <w:r w:rsidR="001D7052">
        <w:t xml:space="preserve">For the financial </w:t>
      </w:r>
      <w:r>
        <w:t xml:space="preserve">year end, the team need to complete notes in the statutory accounts.  </w:t>
      </w:r>
    </w:p>
    <w:p w:rsidR="00991092" w:rsidRDefault="008D05D4" w:rsidP="00991092">
      <w:r>
        <w:t xml:space="preserve">Can </w:t>
      </w:r>
      <w:r w:rsidR="00991092">
        <w:t>you please demonstrate how your system can support the c</w:t>
      </w:r>
      <w:r w:rsidR="00113625">
        <w:t>ompletion of the notes.  Annex B</w:t>
      </w:r>
      <w:r w:rsidR="00991092">
        <w:t xml:space="preserve"> has notes from our last financial statements.</w:t>
      </w:r>
    </w:p>
    <w:p w:rsidR="00991092" w:rsidRDefault="00991092" w:rsidP="00991092">
      <w:r>
        <w:rPr>
          <w:b/>
        </w:rPr>
        <w:t>Scenario 7</w:t>
      </w:r>
      <w:r>
        <w:t xml:space="preserve"> – At year end audit, the team need to demonstrate to the auditors that the hedge accounting has been done compliantly.  </w:t>
      </w:r>
    </w:p>
    <w:p w:rsidR="00991092" w:rsidRDefault="00991092" w:rsidP="00991092">
      <w:r>
        <w:t xml:space="preserve">Can you please demonstrate </w:t>
      </w:r>
    </w:p>
    <w:p w:rsidR="00991092" w:rsidRDefault="00991092" w:rsidP="00991092">
      <w:pPr>
        <w:pStyle w:val="ListParagraph"/>
        <w:numPr>
          <w:ilvl w:val="0"/>
          <w:numId w:val="2"/>
        </w:numPr>
      </w:pPr>
      <w:r>
        <w:t>How the hedge accounting module works</w:t>
      </w:r>
    </w:p>
    <w:p w:rsidR="00991092" w:rsidRDefault="00991092" w:rsidP="00991092">
      <w:pPr>
        <w:pStyle w:val="ListParagraph"/>
        <w:numPr>
          <w:ilvl w:val="0"/>
          <w:numId w:val="2"/>
        </w:numPr>
      </w:pPr>
      <w:r>
        <w:t>Transparency on calculations</w:t>
      </w:r>
    </w:p>
    <w:p w:rsidR="00991092" w:rsidRDefault="00991092" w:rsidP="00991092">
      <w:r>
        <w:rPr>
          <w:b/>
        </w:rPr>
        <w:t>Scenario 8</w:t>
      </w:r>
      <w:r>
        <w:t xml:space="preserve"> – Can you please demonstrate how your system can support the population of a </w:t>
      </w:r>
      <w:proofErr w:type="spellStart"/>
      <w:r>
        <w:t>CoRep</w:t>
      </w:r>
      <w:proofErr w:type="spellEnd"/>
      <w:r>
        <w:t xml:space="preserve"> </w:t>
      </w:r>
      <w:r w:rsidR="001D7052">
        <w:t>capital return report</w:t>
      </w:r>
      <w:r>
        <w:t>.</w:t>
      </w:r>
    </w:p>
    <w:p w:rsidR="001D7052" w:rsidRPr="008D05D4" w:rsidRDefault="00481900" w:rsidP="001D7052">
      <w:pPr>
        <w:pStyle w:val="ListParagraph"/>
        <w:numPr>
          <w:ilvl w:val="0"/>
          <w:numId w:val="18"/>
        </w:numPr>
      </w:pPr>
      <w:r>
        <w:rPr>
          <w:rFonts w:ascii="Calibri" w:eastAsia="Times New Roman" w:hAnsi="Calibri" w:cs="Times New Roman"/>
          <w:b/>
          <w:bCs/>
          <w:color w:val="4F81BD"/>
          <w:sz w:val="26"/>
          <w:szCs w:val="26"/>
        </w:rPr>
        <w:t>IT and Implementation</w:t>
      </w:r>
    </w:p>
    <w:p w:rsidR="008048F3" w:rsidRDefault="00481900">
      <w:r>
        <w:t>Please talk us through</w:t>
      </w:r>
    </w:p>
    <w:p w:rsidR="00481900" w:rsidRDefault="00481900" w:rsidP="00481900">
      <w:pPr>
        <w:pStyle w:val="ListParagraph"/>
        <w:numPr>
          <w:ilvl w:val="0"/>
          <w:numId w:val="2"/>
        </w:numPr>
      </w:pPr>
      <w:r>
        <w:t>your implementation process</w:t>
      </w:r>
    </w:p>
    <w:p w:rsidR="00481900" w:rsidRDefault="00481900" w:rsidP="00481900">
      <w:pPr>
        <w:pStyle w:val="ListParagraph"/>
        <w:numPr>
          <w:ilvl w:val="0"/>
          <w:numId w:val="2"/>
        </w:numPr>
      </w:pPr>
      <w:r>
        <w:t>your structured methodology</w:t>
      </w:r>
    </w:p>
    <w:p w:rsidR="00615E7A" w:rsidRDefault="00615E7A" w:rsidP="00481900">
      <w:pPr>
        <w:pStyle w:val="ListParagraph"/>
        <w:numPr>
          <w:ilvl w:val="0"/>
          <w:numId w:val="2"/>
        </w:numPr>
      </w:pPr>
      <w:r>
        <w:t>training</w:t>
      </w:r>
    </w:p>
    <w:p w:rsidR="00615E7A" w:rsidRDefault="00615E7A" w:rsidP="00481900">
      <w:pPr>
        <w:pStyle w:val="ListParagraph"/>
        <w:numPr>
          <w:ilvl w:val="0"/>
          <w:numId w:val="2"/>
        </w:numPr>
      </w:pPr>
      <w:r>
        <w:t>upgrade cycle and costs</w:t>
      </w:r>
    </w:p>
    <w:p w:rsidR="00615E7A" w:rsidRDefault="00615E7A" w:rsidP="00481900">
      <w:pPr>
        <w:pStyle w:val="ListParagraph"/>
        <w:numPr>
          <w:ilvl w:val="0"/>
          <w:numId w:val="2"/>
        </w:numPr>
      </w:pPr>
      <w:r>
        <w:t>the system architectural design</w:t>
      </w:r>
    </w:p>
    <w:p w:rsidR="00481900" w:rsidRDefault="00615E7A" w:rsidP="00481900">
      <w:pPr>
        <w:pStyle w:val="ListParagraph"/>
        <w:numPr>
          <w:ilvl w:val="0"/>
          <w:numId w:val="2"/>
        </w:numPr>
      </w:pPr>
      <w:r>
        <w:t>support cycle</w:t>
      </w:r>
    </w:p>
    <w:p w:rsidR="00615E7A" w:rsidRDefault="00615E7A" w:rsidP="00481900">
      <w:pPr>
        <w:pStyle w:val="ListParagraph"/>
        <w:numPr>
          <w:ilvl w:val="0"/>
          <w:numId w:val="2"/>
        </w:numPr>
      </w:pPr>
      <w:r>
        <w:t>how to integrate data</w:t>
      </w:r>
    </w:p>
    <w:p w:rsidR="00615E7A" w:rsidRDefault="00615E7A" w:rsidP="00481900">
      <w:pPr>
        <w:pStyle w:val="ListParagraph"/>
        <w:numPr>
          <w:ilvl w:val="0"/>
          <w:numId w:val="2"/>
        </w:numPr>
      </w:pPr>
      <w:r>
        <w:t>how to add new products and instruments</w:t>
      </w:r>
    </w:p>
    <w:p w:rsidR="00481900" w:rsidRDefault="00481900">
      <w:r>
        <w:br w:type="page"/>
      </w:r>
    </w:p>
    <w:p w:rsidR="00481900" w:rsidRDefault="00481900"/>
    <w:p w:rsidR="004270DD" w:rsidRPr="008048F3" w:rsidRDefault="00572686" w:rsidP="005C1D9D">
      <w:pPr>
        <w:overflowPunct w:val="0"/>
        <w:autoSpaceDE w:val="0"/>
        <w:autoSpaceDN w:val="0"/>
        <w:adjustRightInd w:val="0"/>
        <w:spacing w:line="240" w:lineRule="auto"/>
        <w:jc w:val="both"/>
        <w:textAlignment w:val="baseline"/>
        <w:rPr>
          <w:rFonts w:ascii="Verdana" w:hAnsi="Verdana" w:cs="Arial"/>
          <w:b/>
          <w:sz w:val="24"/>
          <w:szCs w:val="24"/>
        </w:rPr>
      </w:pPr>
      <w:r>
        <w:rPr>
          <w:rFonts w:ascii="Verdana" w:hAnsi="Verdana" w:cs="Arial"/>
          <w:b/>
          <w:sz w:val="24"/>
          <w:szCs w:val="24"/>
        </w:rPr>
        <w:t>Annex A</w:t>
      </w:r>
      <w:r w:rsidR="008048F3" w:rsidRPr="008048F3">
        <w:rPr>
          <w:rFonts w:ascii="Verdana" w:hAnsi="Verdana" w:cs="Arial"/>
          <w:b/>
          <w:sz w:val="24"/>
          <w:szCs w:val="24"/>
        </w:rPr>
        <w:t xml:space="preserve">: </w:t>
      </w:r>
      <w:r w:rsidR="004270DD" w:rsidRPr="008048F3">
        <w:rPr>
          <w:rFonts w:ascii="Verdana" w:hAnsi="Verdana" w:cs="Arial"/>
          <w:b/>
          <w:sz w:val="24"/>
          <w:szCs w:val="24"/>
        </w:rPr>
        <w:t>Background to Hodge</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Hodge was founded by Sir Julian Hodge and obtained authorised status under the Banking Act in 1987.  It comprises of two companies It comprises two lending divisions, "Hodge Bank Commercial" and "Hodge Lifetime", and a retail deposits division "Hodge Savings".   The trading divisions are supported by group functions including Finance, HR, Compliance, Risk, Treasury, IT and Projects. The bank currently employs around 170 people and is based at One Central Square, Cardiff.</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Hodge Lifetime has been a specialist in the retirement market for over 50 years.  Its strategy is focused on the retirement lending and income markets.  It offers three types of product - retirement annuities, lifetime mortgages (equity release) and interest-only mortgages.  All products are offered to customers aged 55 or over and are sourced exclusively through regulated intermediaries. Current mortgages loans receivables are c£680m.</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Hodge Bank Commercial offers a private-bank style relationship for corporate, private investor and developers to fund real estate and renewable energy projects.  Loans size vary between £1m and £25m, typically up to 10 years.  Current commercial loans receivables are c£290m.</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 xml:space="preserve">Hodge Savings offers a range of savings products, including instant access, notice accounts, ISAs and fixed rate bonds.  Retail savings is the primary funding source and at the year-end savings balances were c£940m.   For additional funding, Hodge has utilised the Bank of England’s Term Funding Scheme (TFS). </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The Group holds liquid assets to meet its financial obligations in both business as usual and stressed situations. As at the year end, the Group held c£450 million of liquid assets.</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 xml:space="preserve">The treasury department consist of a head of treasury, supported by two treasury analysts. </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At the financial year end, the group has assets of £1.8bn and pre-tax profit of £25.4m</w:t>
      </w:r>
    </w:p>
    <w:p w:rsidR="005C1D9D" w:rsidRPr="005C1D9D" w:rsidRDefault="005C1D9D" w:rsidP="005C1D9D">
      <w:pPr>
        <w:spacing w:after="200" w:line="276" w:lineRule="auto"/>
        <w:rPr>
          <w:rFonts w:ascii="Calibri" w:eastAsia="Calibri" w:hAnsi="Calibri" w:cs="Times New Roman"/>
        </w:rPr>
      </w:pPr>
      <w:r w:rsidRPr="005C1D9D">
        <w:rPr>
          <w:rFonts w:ascii="Calibri" w:eastAsia="Calibri" w:hAnsi="Calibri" w:cs="Times New Roman"/>
        </w:rPr>
        <w:t xml:space="preserve">More information about Hodge Bank and Hodge Lifetime can be found at  </w:t>
      </w:r>
      <w:hyperlink r:id="rId10" w:tgtFrame="_blank" w:history="1">
        <w:r w:rsidRPr="005C1D9D">
          <w:rPr>
            <w:rFonts w:ascii="Calibri" w:eastAsia="Times New Roman" w:hAnsi="Calibri" w:cs="Times New Roman"/>
            <w:color w:val="0000FF"/>
            <w:u w:val="single"/>
          </w:rPr>
          <w:t>http://www.hodgebank.co.uk/</w:t>
        </w:r>
      </w:hyperlink>
    </w:p>
    <w:p w:rsidR="00E04EC1" w:rsidRDefault="00E04EC1"/>
    <w:p w:rsidR="004270DD" w:rsidRPr="005C1D9D" w:rsidRDefault="004270DD">
      <w:pPr>
        <w:rPr>
          <w:b/>
        </w:rPr>
      </w:pPr>
      <w:r w:rsidRPr="005C1D9D">
        <w:rPr>
          <w:b/>
        </w:rPr>
        <w:t>Hodge current product set includes</w:t>
      </w:r>
    </w:p>
    <w:p w:rsidR="004F12EB" w:rsidRDefault="004F12EB" w:rsidP="004F12EB">
      <w:pPr>
        <w:pStyle w:val="ListParagraph"/>
        <w:numPr>
          <w:ilvl w:val="0"/>
          <w:numId w:val="2"/>
        </w:numPr>
      </w:pPr>
      <w:r>
        <w:t>Notice accounts (7 days, 30 days, 90 days, 100 days, 180 days)</w:t>
      </w:r>
    </w:p>
    <w:p w:rsidR="004F12EB" w:rsidRDefault="004F12EB" w:rsidP="004F12EB">
      <w:pPr>
        <w:pStyle w:val="ListParagraph"/>
        <w:numPr>
          <w:ilvl w:val="0"/>
          <w:numId w:val="2"/>
        </w:numPr>
      </w:pPr>
      <w:r>
        <w:t>Fixed term bonds (1 – 5 years)</w:t>
      </w:r>
    </w:p>
    <w:p w:rsidR="004F12EB" w:rsidRDefault="004F12EB" w:rsidP="004F12EB">
      <w:pPr>
        <w:pStyle w:val="ListParagraph"/>
        <w:numPr>
          <w:ilvl w:val="0"/>
          <w:numId w:val="2"/>
        </w:numPr>
      </w:pPr>
      <w:r>
        <w:t>Instant access</w:t>
      </w:r>
    </w:p>
    <w:p w:rsidR="004F12EB" w:rsidRDefault="004F12EB" w:rsidP="004F12EB">
      <w:pPr>
        <w:pStyle w:val="ListParagraph"/>
      </w:pPr>
      <w:r>
        <w:t>Available for Personal, Corporate, SME &amp; SIPPS</w:t>
      </w:r>
    </w:p>
    <w:p w:rsidR="004F12EB" w:rsidRDefault="004F12EB" w:rsidP="004F12EB">
      <w:pPr>
        <w:pStyle w:val="ListParagraph"/>
      </w:pPr>
    </w:p>
    <w:p w:rsidR="004F12EB" w:rsidRDefault="004F12EB" w:rsidP="004F12EB">
      <w:pPr>
        <w:pStyle w:val="ListParagraph"/>
        <w:numPr>
          <w:ilvl w:val="0"/>
          <w:numId w:val="2"/>
        </w:numPr>
      </w:pPr>
      <w:r>
        <w:t>1st charge mortgages (Capital repayment and Interest only)</w:t>
      </w:r>
    </w:p>
    <w:p w:rsidR="004F12EB" w:rsidRDefault="004F12EB" w:rsidP="004F12EB">
      <w:pPr>
        <w:pStyle w:val="ListParagraph"/>
        <w:numPr>
          <w:ilvl w:val="0"/>
          <w:numId w:val="2"/>
        </w:numPr>
      </w:pPr>
      <w:r>
        <w:t>Lifetime and equity release mortgages (Interest roll-up – repayable on death)</w:t>
      </w:r>
    </w:p>
    <w:p w:rsidR="004F12EB" w:rsidRDefault="004F12EB" w:rsidP="004F12EB">
      <w:pPr>
        <w:pStyle w:val="ListParagraph"/>
        <w:numPr>
          <w:ilvl w:val="0"/>
          <w:numId w:val="2"/>
        </w:numPr>
      </w:pPr>
      <w:r>
        <w:t>Commercial loans (Various repayment type and interest terms)</w:t>
      </w:r>
    </w:p>
    <w:p w:rsidR="004F12EB" w:rsidRDefault="004F12EB" w:rsidP="004F12EB">
      <w:pPr>
        <w:pStyle w:val="ListParagraph"/>
        <w:numPr>
          <w:ilvl w:val="0"/>
          <w:numId w:val="2"/>
        </w:numPr>
      </w:pPr>
      <w:r>
        <w:t>Sub-participation loans (Part of loan sold to SPV)</w:t>
      </w:r>
    </w:p>
    <w:p w:rsidR="005C1D9D" w:rsidRDefault="005C1D9D" w:rsidP="005C1D9D"/>
    <w:p w:rsidR="005C1D9D" w:rsidRDefault="005C1D9D" w:rsidP="005C1D9D"/>
    <w:p w:rsidR="00E04EC1" w:rsidRPr="005C1D9D" w:rsidRDefault="00E04EC1" w:rsidP="00E04EC1">
      <w:pPr>
        <w:rPr>
          <w:b/>
        </w:rPr>
      </w:pPr>
      <w:r w:rsidRPr="005C1D9D">
        <w:rPr>
          <w:b/>
        </w:rPr>
        <w:t>Hodge Assets and Liabilities includes</w:t>
      </w:r>
    </w:p>
    <w:p w:rsidR="00E04EC1" w:rsidRDefault="00E04EC1" w:rsidP="00E04EC1">
      <w:pPr>
        <w:pStyle w:val="ListParagraph"/>
        <w:ind w:left="0"/>
      </w:pPr>
      <w:r>
        <w:t>Cash</w:t>
      </w:r>
    </w:p>
    <w:p w:rsidR="00E04EC1" w:rsidRDefault="00E04EC1" w:rsidP="00E04EC1">
      <w:pPr>
        <w:pStyle w:val="ListParagraph"/>
        <w:numPr>
          <w:ilvl w:val="0"/>
          <w:numId w:val="2"/>
        </w:numPr>
      </w:pPr>
      <w:r>
        <w:t>Bank accounts</w:t>
      </w:r>
    </w:p>
    <w:p w:rsidR="00E04EC1" w:rsidRDefault="00E04EC1" w:rsidP="00E04EC1">
      <w:pPr>
        <w:pStyle w:val="ListParagraph"/>
        <w:numPr>
          <w:ilvl w:val="0"/>
          <w:numId w:val="2"/>
        </w:numPr>
      </w:pPr>
      <w:r>
        <w:t>Call accounts</w:t>
      </w:r>
    </w:p>
    <w:p w:rsidR="00E04EC1" w:rsidRDefault="00E04EC1" w:rsidP="00E04EC1">
      <w:pPr>
        <w:pStyle w:val="ListParagraph"/>
        <w:numPr>
          <w:ilvl w:val="0"/>
          <w:numId w:val="2"/>
        </w:numPr>
      </w:pPr>
      <w:r>
        <w:t>UK BoE Reserve</w:t>
      </w:r>
    </w:p>
    <w:p w:rsidR="00E04EC1" w:rsidRDefault="00E04EC1" w:rsidP="00E04EC1">
      <w:pPr>
        <w:pStyle w:val="ListParagraph"/>
        <w:numPr>
          <w:ilvl w:val="0"/>
          <w:numId w:val="2"/>
        </w:numPr>
      </w:pPr>
      <w:r>
        <w:t>Overnight deposit</w:t>
      </w:r>
    </w:p>
    <w:p w:rsidR="00E04EC1" w:rsidRDefault="00E04EC1" w:rsidP="00E04EC1">
      <w:pPr>
        <w:pStyle w:val="ListParagraph"/>
        <w:numPr>
          <w:ilvl w:val="0"/>
          <w:numId w:val="2"/>
        </w:numPr>
      </w:pPr>
      <w:r>
        <w:t>Term Deposit</w:t>
      </w:r>
    </w:p>
    <w:p w:rsidR="00E04EC1" w:rsidRDefault="00E04EC1" w:rsidP="00E04EC1">
      <w:pPr>
        <w:pStyle w:val="ListParagraph"/>
        <w:ind w:left="0"/>
      </w:pPr>
      <w:r>
        <w:t>Financial instruments</w:t>
      </w:r>
    </w:p>
    <w:p w:rsidR="00E04EC1" w:rsidRDefault="00E04EC1" w:rsidP="00E04EC1">
      <w:pPr>
        <w:pStyle w:val="ListParagraph"/>
        <w:numPr>
          <w:ilvl w:val="0"/>
          <w:numId w:val="2"/>
        </w:numPr>
      </w:pPr>
      <w:r>
        <w:t>Gilts</w:t>
      </w:r>
    </w:p>
    <w:p w:rsidR="00E04EC1" w:rsidRDefault="00E04EC1" w:rsidP="00E04EC1">
      <w:pPr>
        <w:pStyle w:val="ListParagraph"/>
        <w:numPr>
          <w:ilvl w:val="0"/>
          <w:numId w:val="2"/>
        </w:numPr>
      </w:pPr>
      <w:r>
        <w:t>Treasury Bills</w:t>
      </w:r>
    </w:p>
    <w:p w:rsidR="00E04EC1" w:rsidRDefault="00E04EC1" w:rsidP="00E04EC1">
      <w:pPr>
        <w:pStyle w:val="ListParagraph"/>
        <w:numPr>
          <w:ilvl w:val="0"/>
          <w:numId w:val="2"/>
        </w:numPr>
      </w:pPr>
      <w:r>
        <w:t>Bonds</w:t>
      </w:r>
    </w:p>
    <w:p w:rsidR="00E04EC1" w:rsidRDefault="00E04EC1" w:rsidP="00E04EC1">
      <w:pPr>
        <w:pStyle w:val="ListParagraph"/>
        <w:numPr>
          <w:ilvl w:val="0"/>
          <w:numId w:val="2"/>
        </w:numPr>
      </w:pPr>
      <w:r>
        <w:t>Floating Rate Notes</w:t>
      </w:r>
    </w:p>
    <w:p w:rsidR="00E04EC1" w:rsidRDefault="00E04EC1" w:rsidP="00E04EC1">
      <w:pPr>
        <w:pStyle w:val="ListParagraph"/>
        <w:ind w:left="0"/>
      </w:pPr>
      <w:r>
        <w:t>Facilities</w:t>
      </w:r>
    </w:p>
    <w:p w:rsidR="00E04EC1" w:rsidRDefault="00E04EC1" w:rsidP="00E04EC1">
      <w:pPr>
        <w:pStyle w:val="ListParagraph"/>
        <w:numPr>
          <w:ilvl w:val="0"/>
          <w:numId w:val="2"/>
        </w:numPr>
      </w:pPr>
      <w:r>
        <w:t>FLS</w:t>
      </w:r>
    </w:p>
    <w:p w:rsidR="00E04EC1" w:rsidRDefault="00E04EC1" w:rsidP="00E04EC1">
      <w:pPr>
        <w:pStyle w:val="ListParagraph"/>
        <w:numPr>
          <w:ilvl w:val="0"/>
          <w:numId w:val="2"/>
        </w:numPr>
      </w:pPr>
      <w:r>
        <w:t>TFS</w:t>
      </w:r>
    </w:p>
    <w:p w:rsidR="00E04EC1" w:rsidRDefault="00E04EC1" w:rsidP="00E04EC1">
      <w:pPr>
        <w:pStyle w:val="ListParagraph"/>
        <w:ind w:left="0"/>
      </w:pPr>
      <w:r>
        <w:t>SWAPS</w:t>
      </w:r>
    </w:p>
    <w:p w:rsidR="00E04EC1" w:rsidRDefault="00E04EC1" w:rsidP="00E04EC1">
      <w:pPr>
        <w:pStyle w:val="ListParagraph"/>
        <w:numPr>
          <w:ilvl w:val="0"/>
          <w:numId w:val="2"/>
        </w:numPr>
      </w:pPr>
      <w:r>
        <w:t>Vanilla</w:t>
      </w:r>
    </w:p>
    <w:p w:rsidR="00E04EC1" w:rsidRDefault="00E04EC1" w:rsidP="00E04EC1">
      <w:pPr>
        <w:pStyle w:val="ListParagraph"/>
        <w:numPr>
          <w:ilvl w:val="0"/>
          <w:numId w:val="2"/>
        </w:numPr>
      </w:pPr>
      <w:r>
        <w:t>Basis</w:t>
      </w:r>
    </w:p>
    <w:p w:rsidR="00E04EC1" w:rsidRDefault="00E04EC1" w:rsidP="00E04EC1">
      <w:pPr>
        <w:pStyle w:val="ListParagraph"/>
        <w:numPr>
          <w:ilvl w:val="0"/>
          <w:numId w:val="2"/>
        </w:numPr>
      </w:pPr>
      <w:r>
        <w:t>Amortising</w:t>
      </w:r>
    </w:p>
    <w:p w:rsidR="00E04EC1" w:rsidRDefault="00E04EC1" w:rsidP="00E04EC1">
      <w:pPr>
        <w:pStyle w:val="ListParagraph"/>
        <w:numPr>
          <w:ilvl w:val="0"/>
          <w:numId w:val="2"/>
        </w:numPr>
      </w:pPr>
      <w:r>
        <w:t>Accreting</w:t>
      </w:r>
    </w:p>
    <w:p w:rsidR="00E04EC1" w:rsidRDefault="00E04EC1" w:rsidP="00E04EC1">
      <w:pPr>
        <w:pStyle w:val="ListParagraph"/>
        <w:numPr>
          <w:ilvl w:val="0"/>
          <w:numId w:val="2"/>
        </w:numPr>
      </w:pPr>
      <w:r>
        <w:t>Rollercoaster</w:t>
      </w:r>
    </w:p>
    <w:p w:rsidR="00E04EC1" w:rsidRDefault="00E04EC1" w:rsidP="00E04EC1">
      <w:pPr>
        <w:pStyle w:val="ListParagraph"/>
        <w:numPr>
          <w:ilvl w:val="0"/>
          <w:numId w:val="2"/>
        </w:numPr>
      </w:pPr>
      <w:r>
        <w:t>Stepped Rate</w:t>
      </w:r>
    </w:p>
    <w:p w:rsidR="00E04EC1" w:rsidRDefault="00E04EC1" w:rsidP="00E04EC1">
      <w:pPr>
        <w:pStyle w:val="ListParagraph"/>
        <w:numPr>
          <w:ilvl w:val="0"/>
          <w:numId w:val="2"/>
        </w:numPr>
      </w:pPr>
      <w:r>
        <w:t>Forward Starting</w:t>
      </w:r>
    </w:p>
    <w:p w:rsidR="004270DD" w:rsidRDefault="004270DD"/>
    <w:p w:rsidR="004270DD" w:rsidRDefault="004270DD"/>
    <w:p w:rsidR="004270DD" w:rsidRDefault="004270DD">
      <w:r>
        <w:br w:type="page"/>
      </w:r>
    </w:p>
    <w:p w:rsidR="003D252A" w:rsidRDefault="003D252A" w:rsidP="003D252A">
      <w:pPr>
        <w:overflowPunct w:val="0"/>
        <w:autoSpaceDE w:val="0"/>
        <w:autoSpaceDN w:val="0"/>
        <w:adjustRightInd w:val="0"/>
        <w:spacing w:after="0" w:line="240" w:lineRule="auto"/>
        <w:jc w:val="both"/>
        <w:textAlignment w:val="baseline"/>
      </w:pPr>
    </w:p>
    <w:p w:rsidR="00766764" w:rsidRDefault="00572686" w:rsidP="003D252A">
      <w:pPr>
        <w:overflowPunct w:val="0"/>
        <w:autoSpaceDE w:val="0"/>
        <w:autoSpaceDN w:val="0"/>
        <w:adjustRightInd w:val="0"/>
        <w:spacing w:after="0" w:line="240" w:lineRule="auto"/>
        <w:jc w:val="both"/>
        <w:textAlignment w:val="baseline"/>
        <w:rPr>
          <w:rFonts w:ascii="Verdana" w:hAnsi="Verdana" w:cs="Arial"/>
          <w:b/>
          <w:sz w:val="24"/>
          <w:szCs w:val="24"/>
        </w:rPr>
      </w:pPr>
      <w:r>
        <w:rPr>
          <w:rFonts w:ascii="Verdana" w:hAnsi="Verdana" w:cs="Arial"/>
          <w:b/>
          <w:sz w:val="24"/>
          <w:szCs w:val="24"/>
        </w:rPr>
        <w:t>Annex B</w:t>
      </w:r>
      <w:r w:rsidR="008048F3">
        <w:rPr>
          <w:rFonts w:ascii="Verdana" w:hAnsi="Verdana" w:cs="Arial"/>
          <w:b/>
          <w:sz w:val="24"/>
          <w:szCs w:val="24"/>
        </w:rPr>
        <w:t xml:space="preserve">: Accounting Notes </w:t>
      </w:r>
    </w:p>
    <w:p w:rsidR="00766764" w:rsidRPr="00766764" w:rsidRDefault="00766764" w:rsidP="00766764">
      <w:pPr>
        <w:overflowPunct w:val="0"/>
        <w:autoSpaceDE w:val="0"/>
        <w:autoSpaceDN w:val="0"/>
        <w:adjustRightInd w:val="0"/>
        <w:spacing w:after="0" w:line="240" w:lineRule="auto"/>
        <w:jc w:val="both"/>
        <w:textAlignment w:val="baseline"/>
        <w:rPr>
          <w:rFonts w:ascii="Verdana" w:hAnsi="Verdana" w:cs="Arial"/>
          <w:b/>
          <w:sz w:val="24"/>
          <w:szCs w:val="24"/>
        </w:rPr>
      </w:pPr>
    </w:p>
    <w:p w:rsidR="00766764" w:rsidRPr="00FC1348" w:rsidRDefault="00766764" w:rsidP="00766764">
      <w:pPr>
        <w:pStyle w:val="ListParagraph"/>
        <w:numPr>
          <w:ilvl w:val="0"/>
          <w:numId w:val="4"/>
        </w:numPr>
        <w:overflowPunct w:val="0"/>
        <w:autoSpaceDE w:val="0"/>
        <w:autoSpaceDN w:val="0"/>
        <w:adjustRightInd w:val="0"/>
        <w:spacing w:after="0" w:line="240" w:lineRule="auto"/>
        <w:jc w:val="both"/>
        <w:textAlignment w:val="baseline"/>
        <w:rPr>
          <w:rFonts w:ascii="Verdana" w:hAnsi="Verdana" w:cs="Arial"/>
          <w:b/>
          <w:sz w:val="24"/>
          <w:szCs w:val="24"/>
        </w:rPr>
      </w:pPr>
      <w:r w:rsidRPr="00FC1348">
        <w:rPr>
          <w:rFonts w:ascii="Verdana" w:hAnsi="Verdana" w:cs="Arial"/>
          <w:b/>
          <w:sz w:val="24"/>
          <w:szCs w:val="24"/>
        </w:rPr>
        <w:t>Debt securities</w:t>
      </w:r>
    </w:p>
    <w:p w:rsidR="00766764" w:rsidRPr="00AA3EB8" w:rsidRDefault="00766764" w:rsidP="00766764">
      <w:pPr>
        <w:rPr>
          <w:rFonts w:ascii="Verdana" w:hAnsi="Verdana"/>
        </w:rPr>
      </w:pPr>
    </w:p>
    <w:tbl>
      <w:tblPr>
        <w:tblStyle w:val="TableGrid"/>
        <w:tblW w:w="9559" w:type="dxa"/>
        <w:tblInd w:w="108" w:type="dxa"/>
        <w:tblLook w:val="04A0" w:firstRow="1" w:lastRow="0" w:firstColumn="1" w:lastColumn="0" w:noHBand="0" w:noVBand="1"/>
      </w:tblPr>
      <w:tblGrid>
        <w:gridCol w:w="5242"/>
        <w:gridCol w:w="2158"/>
        <w:gridCol w:w="2159"/>
      </w:tblGrid>
      <w:tr w:rsidR="00766764" w:rsidRPr="00AA3EB8" w:rsidTr="00BD0746">
        <w:trPr>
          <w:trHeight w:val="343"/>
        </w:trPr>
        <w:tc>
          <w:tcPr>
            <w:tcW w:w="524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2017</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2016</w:t>
            </w:r>
          </w:p>
        </w:tc>
      </w:tr>
      <w:tr w:rsidR="00766764" w:rsidRPr="00AA3EB8" w:rsidTr="00BD0746">
        <w:trPr>
          <w:trHeight w:val="356"/>
        </w:trPr>
        <w:tc>
          <w:tcPr>
            <w:tcW w:w="5242" w:type="dxa"/>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r>
      <w:tr w:rsidR="00766764" w:rsidRPr="00AA3EB8" w:rsidTr="00BD0746">
        <w:trPr>
          <w:trHeight w:val="432"/>
        </w:trPr>
        <w:tc>
          <w:tcPr>
            <w:tcW w:w="5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C2305" w:rsidRDefault="00766764" w:rsidP="00BD0746">
            <w:pPr>
              <w:pStyle w:val="Tabletext"/>
              <w:ind w:left="34" w:hanging="34"/>
              <w:rPr>
                <w:rFonts w:ascii="Verdana" w:hAnsi="Verdana" w:cs="Arial"/>
              </w:rPr>
            </w:pPr>
            <w:r w:rsidRPr="001C2305">
              <w:rPr>
                <w:rFonts w:ascii="Verdana" w:hAnsi="Verdana" w:cs="Arial"/>
              </w:rPr>
              <w:t>Debt securities – listed on a UK recognised investment exchange</w:t>
            </w: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C2305" w:rsidRDefault="00766764" w:rsidP="00BD0746">
            <w:pPr>
              <w:pStyle w:val="ACText"/>
              <w:ind w:right="523"/>
              <w:jc w:val="right"/>
              <w:rPr>
                <w:rFonts w:ascii="Verdana" w:hAnsi="Verdana" w:cs="Arial"/>
                <w:sz w:val="18"/>
                <w:szCs w:val="18"/>
              </w:rPr>
            </w:pPr>
            <w:r>
              <w:rPr>
                <w:rFonts w:ascii="Verdana" w:hAnsi="Verdana" w:cs="Arial"/>
                <w:sz w:val="18"/>
                <w:szCs w:val="18"/>
              </w:rPr>
              <w:t>125.8</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C2305" w:rsidRDefault="00766764" w:rsidP="00BD0746">
            <w:pPr>
              <w:pStyle w:val="ACText"/>
              <w:ind w:right="776"/>
              <w:jc w:val="right"/>
              <w:rPr>
                <w:rFonts w:ascii="Verdana" w:hAnsi="Verdana" w:cs="Arial"/>
                <w:sz w:val="18"/>
                <w:szCs w:val="18"/>
              </w:rPr>
            </w:pPr>
            <w:r>
              <w:rPr>
                <w:rFonts w:ascii="Verdana" w:hAnsi="Verdana" w:cs="Arial"/>
                <w:sz w:val="18"/>
                <w:szCs w:val="18"/>
              </w:rPr>
              <w:t>134.5</w:t>
            </w:r>
          </w:p>
        </w:tc>
      </w:tr>
      <w:tr w:rsidR="00766764" w:rsidRPr="00AA3EB8" w:rsidTr="00BD0746">
        <w:trPr>
          <w:trHeight w:val="343"/>
        </w:trPr>
        <w:tc>
          <w:tcPr>
            <w:tcW w:w="5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Tabletext"/>
              <w:ind w:left="34" w:hanging="34"/>
              <w:rPr>
                <w:rFonts w:ascii="Verdana" w:hAnsi="Verdana" w:cs="Arial"/>
              </w:rPr>
            </w:pPr>
            <w:r>
              <w:rPr>
                <w:rFonts w:ascii="Verdana" w:hAnsi="Verdana" w:cs="Arial"/>
              </w:rPr>
              <w:t>Fair value adjustment – hedge a</w:t>
            </w:r>
            <w:r w:rsidRPr="00AA3EB8">
              <w:rPr>
                <w:rFonts w:ascii="Verdana" w:hAnsi="Verdana" w:cs="Arial"/>
              </w:rPr>
              <w:t>ccounting</w:t>
            </w: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C2305" w:rsidRDefault="00766764" w:rsidP="00BD0746">
            <w:pPr>
              <w:pStyle w:val="ACText"/>
              <w:ind w:right="523"/>
              <w:jc w:val="right"/>
              <w:rPr>
                <w:rFonts w:ascii="Verdana" w:hAnsi="Verdana" w:cs="Arial"/>
                <w:sz w:val="18"/>
                <w:szCs w:val="18"/>
              </w:rPr>
            </w:pPr>
            <w:r w:rsidRPr="001C2305">
              <w:rPr>
                <w:rFonts w:ascii="Verdana" w:hAnsi="Verdana" w:cs="Arial"/>
                <w:sz w:val="18"/>
                <w:szCs w:val="18"/>
              </w:rPr>
              <w:t>0.9</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1.4</w:t>
            </w:r>
          </w:p>
        </w:tc>
      </w:tr>
      <w:tr w:rsidR="00766764" w:rsidRPr="00AA3EB8" w:rsidTr="00BD0746">
        <w:trPr>
          <w:trHeight w:val="343"/>
        </w:trPr>
        <w:tc>
          <w:tcPr>
            <w:tcW w:w="5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Tabletext"/>
              <w:ind w:left="34" w:hanging="34"/>
              <w:rPr>
                <w:rFonts w:ascii="Verdana" w:hAnsi="Verdana" w:cs="Arial"/>
              </w:rPr>
            </w:pPr>
            <w:r>
              <w:rPr>
                <w:rFonts w:ascii="Verdana" w:hAnsi="Verdana" w:cs="Arial"/>
              </w:rPr>
              <w:t>Fair value adjustment – a</w:t>
            </w:r>
            <w:r w:rsidRPr="00AA3EB8">
              <w:rPr>
                <w:rFonts w:ascii="Verdana" w:hAnsi="Verdana" w:cs="Arial"/>
              </w:rPr>
              <w:t>vailable</w:t>
            </w:r>
            <w:r>
              <w:rPr>
                <w:rFonts w:ascii="Verdana" w:hAnsi="Verdana" w:cs="Arial"/>
              </w:rPr>
              <w:t>-</w:t>
            </w:r>
            <w:r w:rsidRPr="00AA3EB8">
              <w:rPr>
                <w:rFonts w:ascii="Verdana" w:hAnsi="Verdana" w:cs="Arial"/>
              </w:rPr>
              <w:t>for</w:t>
            </w:r>
            <w:r>
              <w:rPr>
                <w:rFonts w:ascii="Verdana" w:hAnsi="Verdana" w:cs="Arial"/>
              </w:rPr>
              <w:t>-s</w:t>
            </w:r>
            <w:r w:rsidRPr="00AA3EB8">
              <w:rPr>
                <w:rFonts w:ascii="Verdana" w:hAnsi="Verdana" w:cs="Arial"/>
              </w:rPr>
              <w:t>ale</w:t>
            </w: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C2305" w:rsidRDefault="00766764" w:rsidP="00BD0746">
            <w:pPr>
              <w:pStyle w:val="ACText"/>
              <w:ind w:right="523"/>
              <w:jc w:val="right"/>
              <w:rPr>
                <w:rFonts w:ascii="Verdana" w:hAnsi="Verdana" w:cs="Arial"/>
                <w:sz w:val="18"/>
                <w:szCs w:val="18"/>
              </w:rPr>
            </w:pPr>
            <w:r>
              <w:rPr>
                <w:rFonts w:ascii="Verdana" w:hAnsi="Verdana" w:cs="Arial"/>
                <w:sz w:val="18"/>
                <w:szCs w:val="18"/>
              </w:rPr>
              <w:t>4.6</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4.7</w:t>
            </w:r>
          </w:p>
        </w:tc>
      </w:tr>
      <w:tr w:rsidR="00766764" w:rsidRPr="00AA3EB8" w:rsidTr="00BD0746">
        <w:trPr>
          <w:trHeight w:val="343"/>
        </w:trPr>
        <w:tc>
          <w:tcPr>
            <w:tcW w:w="5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523"/>
              <w:jc w:val="right"/>
              <w:rPr>
                <w:rFonts w:ascii="Verdana" w:hAnsi="Verdana" w:cs="Arial"/>
                <w:b/>
                <w:color w:val="FFCB05"/>
                <w:sz w:val="18"/>
                <w:szCs w:val="18"/>
              </w:rPr>
            </w:pPr>
            <w:r>
              <w:rPr>
                <w:rFonts w:ascii="Verdana" w:hAnsi="Verdana" w:cs="Arial"/>
                <w:b/>
                <w:color w:val="FFCB05"/>
                <w:sz w:val="18"/>
                <w:szCs w:val="18"/>
              </w:rPr>
              <w:t>131.3</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76"/>
              <w:jc w:val="right"/>
              <w:rPr>
                <w:rFonts w:ascii="Verdana" w:hAnsi="Verdana" w:cs="Arial"/>
                <w:b/>
                <w:color w:val="FFCB05"/>
                <w:sz w:val="18"/>
                <w:szCs w:val="18"/>
              </w:rPr>
            </w:pPr>
            <w:r>
              <w:rPr>
                <w:rFonts w:ascii="Verdana" w:hAnsi="Verdana" w:cs="Arial"/>
                <w:b/>
                <w:color w:val="FFCB05"/>
                <w:sz w:val="18"/>
                <w:szCs w:val="18"/>
              </w:rPr>
              <w:t>140.6</w:t>
            </w:r>
          </w:p>
        </w:tc>
      </w:tr>
    </w:tbl>
    <w:p w:rsidR="00766764" w:rsidRPr="00AA3EB8" w:rsidRDefault="00766764" w:rsidP="00766764">
      <w:pPr>
        <w:rPr>
          <w:rFonts w:ascii="Verdana" w:hAnsi="Verdana" w:cs="Arial"/>
        </w:rPr>
      </w:pPr>
    </w:p>
    <w:tbl>
      <w:tblPr>
        <w:tblStyle w:val="TableGrid"/>
        <w:tblW w:w="9566" w:type="dxa"/>
        <w:tblInd w:w="108" w:type="dxa"/>
        <w:tblLook w:val="04A0" w:firstRow="1" w:lastRow="0" w:firstColumn="1" w:lastColumn="0" w:noHBand="0" w:noVBand="1"/>
      </w:tblPr>
      <w:tblGrid>
        <w:gridCol w:w="5245"/>
        <w:gridCol w:w="2160"/>
        <w:gridCol w:w="2161"/>
      </w:tblGrid>
      <w:tr w:rsidR="00766764" w:rsidRPr="00AA3EB8" w:rsidTr="00BD0746">
        <w:tc>
          <w:tcPr>
            <w:tcW w:w="524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2017</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2016</w:t>
            </w:r>
          </w:p>
        </w:tc>
      </w:tr>
      <w:tr w:rsidR="00766764" w:rsidRPr="00AA3EB8" w:rsidTr="00BD0746">
        <w:tc>
          <w:tcPr>
            <w:tcW w:w="5245" w:type="dxa"/>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r>
      <w:tr w:rsidR="00766764" w:rsidRPr="00AA3EB8" w:rsidTr="00BD0746">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Tabletext"/>
              <w:rPr>
                <w:rFonts w:ascii="Verdana" w:hAnsi="Verdana" w:cs="Arial"/>
              </w:rPr>
            </w:pPr>
            <w:r w:rsidRPr="00AA3EB8">
              <w:rPr>
                <w:rFonts w:ascii="Verdana" w:hAnsi="Verdana" w:cs="Arial"/>
                <w:b/>
                <w:i/>
              </w:rPr>
              <w:t>Debt securities – maturity analysis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highlight w:val="yellow"/>
              </w:rPr>
            </w:pPr>
          </w:p>
        </w:tc>
      </w:tr>
      <w:tr w:rsidR="00766764" w:rsidRPr="00AA3EB8" w:rsidTr="00BD0746">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rPr>
            </w:pPr>
            <w:r w:rsidRPr="00AA3EB8">
              <w:rPr>
                <w:rFonts w:ascii="Verdana" w:hAnsi="Verdana" w:cs="Arial"/>
              </w:rPr>
              <w:t>Within three months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1023" w:rsidRDefault="00766764" w:rsidP="00BD0746">
            <w:pPr>
              <w:pStyle w:val="ACText"/>
              <w:ind w:right="523"/>
              <w:jc w:val="right"/>
              <w:rPr>
                <w:rFonts w:ascii="Verdana" w:hAnsi="Verdana" w:cs="Arial"/>
                <w:sz w:val="18"/>
                <w:szCs w:val="18"/>
              </w:rPr>
            </w:pPr>
            <w:r>
              <w:rPr>
                <w:rFonts w:ascii="Verdana" w:hAnsi="Verdana" w:cs="Arial"/>
                <w:sz w:val="18"/>
                <w:szCs w:val="18"/>
              </w:rPr>
              <w:t>30.5</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Pr>
                <w:rFonts w:ascii="Verdana" w:hAnsi="Verdana" w:cs="Arial"/>
                <w:sz w:val="18"/>
                <w:szCs w:val="18"/>
              </w:rPr>
              <w:t>22.8</w:t>
            </w:r>
          </w:p>
        </w:tc>
      </w:tr>
      <w:tr w:rsidR="00766764" w:rsidRPr="00AA3EB8" w:rsidTr="00BD0746">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rPr>
            </w:pPr>
            <w:r w:rsidRPr="00AA3EB8">
              <w:rPr>
                <w:rFonts w:ascii="Verdana" w:hAnsi="Verdana" w:cs="Arial"/>
              </w:rPr>
              <w:t>Between three months and one year</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1023" w:rsidRDefault="00766764" w:rsidP="00BD0746">
            <w:pPr>
              <w:pStyle w:val="ACText"/>
              <w:ind w:right="523"/>
              <w:jc w:val="right"/>
              <w:rPr>
                <w:rFonts w:ascii="Verdana" w:hAnsi="Verdana" w:cs="Arial"/>
                <w:sz w:val="18"/>
                <w:szCs w:val="18"/>
              </w:rPr>
            </w:pPr>
            <w:r>
              <w:rPr>
                <w:rFonts w:ascii="Verdana" w:hAnsi="Verdana" w:cs="Arial"/>
                <w:sz w:val="18"/>
                <w:szCs w:val="18"/>
              </w:rPr>
              <w:t>13.4</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15.2</w:t>
            </w:r>
          </w:p>
        </w:tc>
      </w:tr>
      <w:tr w:rsidR="00766764" w:rsidRPr="00AA3EB8" w:rsidTr="00BD0746">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rPr>
            </w:pPr>
            <w:r w:rsidRPr="00AA3EB8">
              <w:rPr>
                <w:rFonts w:ascii="Verdana" w:hAnsi="Verdana" w:cs="Arial"/>
              </w:rPr>
              <w:t>More than one year but less than five years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1023" w:rsidRDefault="00766764" w:rsidP="00BD0746">
            <w:pPr>
              <w:pStyle w:val="ACText"/>
              <w:ind w:right="523"/>
              <w:jc w:val="right"/>
              <w:rPr>
                <w:rFonts w:ascii="Verdana" w:hAnsi="Verdana" w:cs="Arial"/>
                <w:sz w:val="18"/>
                <w:szCs w:val="18"/>
              </w:rPr>
            </w:pPr>
            <w:r>
              <w:rPr>
                <w:rFonts w:ascii="Verdana" w:hAnsi="Verdana" w:cs="Arial"/>
                <w:sz w:val="18"/>
                <w:szCs w:val="18"/>
              </w:rPr>
              <w:t>43.2</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Pr>
                <w:rFonts w:ascii="Verdana" w:hAnsi="Verdana" w:cs="Arial"/>
                <w:sz w:val="18"/>
                <w:szCs w:val="18"/>
              </w:rPr>
              <w:t>60.2</w:t>
            </w:r>
          </w:p>
        </w:tc>
      </w:tr>
      <w:tr w:rsidR="00766764" w:rsidRPr="00AA3EB8" w:rsidTr="00BD0746">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rPr>
            </w:pPr>
            <w:r w:rsidRPr="00AA3EB8">
              <w:rPr>
                <w:rFonts w:ascii="Verdana" w:hAnsi="Verdana" w:cs="Arial"/>
              </w:rPr>
              <w:t>Five years and over</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1023" w:rsidRDefault="00766764" w:rsidP="00BD0746">
            <w:pPr>
              <w:pStyle w:val="ACText"/>
              <w:ind w:right="523"/>
              <w:jc w:val="right"/>
              <w:rPr>
                <w:rFonts w:ascii="Verdana" w:hAnsi="Verdana" w:cs="Arial"/>
                <w:sz w:val="18"/>
                <w:szCs w:val="18"/>
              </w:rPr>
            </w:pPr>
            <w:r>
              <w:rPr>
                <w:rFonts w:ascii="Verdana" w:hAnsi="Verdana" w:cs="Arial"/>
                <w:sz w:val="18"/>
                <w:szCs w:val="18"/>
              </w:rPr>
              <w:t>44.2</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Pr>
                <w:rFonts w:ascii="Verdana" w:hAnsi="Verdana" w:cs="Arial"/>
                <w:sz w:val="18"/>
                <w:szCs w:val="18"/>
              </w:rPr>
              <w:t>42.4</w:t>
            </w:r>
          </w:p>
        </w:tc>
      </w:tr>
      <w:tr w:rsidR="00766764" w:rsidRPr="00AA3EB8" w:rsidTr="00BD0746">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523"/>
              <w:jc w:val="right"/>
              <w:rPr>
                <w:rFonts w:ascii="Verdana" w:hAnsi="Verdana" w:cs="Arial"/>
                <w:b/>
                <w:color w:val="FFCB05"/>
                <w:sz w:val="18"/>
                <w:szCs w:val="18"/>
              </w:rPr>
            </w:pPr>
            <w:r>
              <w:rPr>
                <w:rFonts w:ascii="Verdana" w:hAnsi="Verdana" w:cs="Arial"/>
                <w:b/>
                <w:color w:val="FFCB05"/>
                <w:sz w:val="18"/>
                <w:szCs w:val="18"/>
              </w:rPr>
              <w:t>131.3</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76"/>
              <w:jc w:val="right"/>
              <w:rPr>
                <w:rFonts w:ascii="Verdana" w:hAnsi="Verdana" w:cs="Arial"/>
                <w:b/>
                <w:color w:val="FFCB05"/>
                <w:sz w:val="18"/>
                <w:szCs w:val="18"/>
              </w:rPr>
            </w:pPr>
            <w:r>
              <w:rPr>
                <w:rFonts w:ascii="Verdana" w:hAnsi="Verdana" w:cs="Arial"/>
                <w:b/>
                <w:color w:val="FFCB05"/>
                <w:sz w:val="18"/>
                <w:szCs w:val="18"/>
              </w:rPr>
              <w:t>140.6</w:t>
            </w:r>
          </w:p>
        </w:tc>
      </w:tr>
    </w:tbl>
    <w:p w:rsidR="00766764" w:rsidRPr="00AA3EB8" w:rsidRDefault="00766764" w:rsidP="00766764">
      <w:pPr>
        <w:rPr>
          <w:rFonts w:ascii="Verdana" w:hAnsi="Verdana" w:cs="Arial"/>
        </w:rPr>
      </w:pPr>
    </w:p>
    <w:p w:rsidR="00766764" w:rsidRPr="00AA3EB8" w:rsidRDefault="00766764" w:rsidP="00766764">
      <w:pPr>
        <w:pStyle w:val="Tabletext"/>
        <w:ind w:left="0" w:right="-472" w:firstLine="0"/>
        <w:rPr>
          <w:rFonts w:ascii="Verdana" w:hAnsi="Verdana" w:cs="Arial"/>
          <w:sz w:val="20"/>
        </w:rPr>
      </w:pPr>
      <w:r w:rsidRPr="00AA3EB8">
        <w:rPr>
          <w:rFonts w:ascii="Verdana" w:hAnsi="Verdana" w:cs="Arial"/>
          <w:sz w:val="20"/>
        </w:rPr>
        <w:t xml:space="preserve">Of this amount </w:t>
      </w:r>
      <w:r w:rsidRPr="00965AC4">
        <w:rPr>
          <w:rFonts w:ascii="Verdana" w:hAnsi="Verdana" w:cs="Arial"/>
          <w:sz w:val="20"/>
        </w:rPr>
        <w:t xml:space="preserve">£18.2m </w:t>
      </w:r>
      <w:r w:rsidRPr="004C3005">
        <w:rPr>
          <w:rFonts w:ascii="Verdana" w:hAnsi="Verdana" w:cs="Arial"/>
          <w:sz w:val="20"/>
        </w:rPr>
        <w:t>(2016: £21.2m)</w:t>
      </w:r>
      <w:r w:rsidRPr="00965AC4">
        <w:rPr>
          <w:rFonts w:ascii="Verdana" w:hAnsi="Verdana" w:cs="Arial"/>
          <w:sz w:val="20"/>
        </w:rPr>
        <w:t xml:space="preserve"> has been</w:t>
      </w:r>
      <w:r w:rsidRPr="00AA3EB8">
        <w:rPr>
          <w:rFonts w:ascii="Verdana" w:hAnsi="Verdana" w:cs="Arial"/>
          <w:sz w:val="20"/>
        </w:rPr>
        <w:t xml:space="preserve"> pledged as collateral under the Funding for Lending Scheme. Collateral is provided by the Bank of England in the form of Treasury Bills against residential mortgages, as part of the Group’s participation in the FLS, which it is permitted to re-use. Collateral that has been pledged is not restricted. </w:t>
      </w:r>
    </w:p>
    <w:p w:rsidR="00766764" w:rsidRDefault="00766764" w:rsidP="00766764"/>
    <w:p w:rsidR="00766764" w:rsidRPr="00DD4BAD" w:rsidRDefault="00766764" w:rsidP="00766764">
      <w:pPr>
        <w:pStyle w:val="ListParagraph"/>
        <w:numPr>
          <w:ilvl w:val="0"/>
          <w:numId w:val="5"/>
        </w:numPr>
        <w:spacing w:after="200" w:line="276" w:lineRule="auto"/>
        <w:rPr>
          <w:rFonts w:ascii="Verdana" w:hAnsi="Verdana" w:cs="Arial"/>
          <w:b/>
          <w:sz w:val="24"/>
          <w:szCs w:val="24"/>
        </w:rPr>
      </w:pPr>
      <w:r w:rsidRPr="00DD4BAD">
        <w:rPr>
          <w:rFonts w:ascii="Verdana" w:hAnsi="Verdana" w:cs="Arial"/>
          <w:b/>
          <w:sz w:val="24"/>
          <w:szCs w:val="24"/>
        </w:rPr>
        <w:t>Deposits from customers</w:t>
      </w:r>
    </w:p>
    <w:tbl>
      <w:tblPr>
        <w:tblStyle w:val="TableGrid"/>
        <w:tblW w:w="9560" w:type="dxa"/>
        <w:tblInd w:w="108" w:type="dxa"/>
        <w:tblLook w:val="04A0" w:firstRow="1" w:lastRow="0" w:firstColumn="1" w:lastColumn="0" w:noHBand="0" w:noVBand="1"/>
      </w:tblPr>
      <w:tblGrid>
        <w:gridCol w:w="5274"/>
        <w:gridCol w:w="2126"/>
        <w:gridCol w:w="2160"/>
      </w:tblGrid>
      <w:tr w:rsidR="00766764" w:rsidRPr="00AA3EB8" w:rsidTr="00BD0746">
        <w:trPr>
          <w:trHeight w:val="322"/>
        </w:trPr>
        <w:tc>
          <w:tcPr>
            <w:tcW w:w="527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2017</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2016</w:t>
            </w:r>
          </w:p>
        </w:tc>
      </w:tr>
      <w:tr w:rsidR="00766764" w:rsidRPr="00AA3EB8" w:rsidTr="00BD0746">
        <w:trPr>
          <w:trHeight w:val="344"/>
        </w:trPr>
        <w:tc>
          <w:tcPr>
            <w:tcW w:w="5274" w:type="dxa"/>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AA3EB8">
              <w:rPr>
                <w:rFonts w:ascii="Verdana" w:hAnsi="Verdana" w:cs="Arial"/>
                <w:szCs w:val="18"/>
              </w:rPr>
              <w:t>Repayable on demand</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highlight w:val="green"/>
              </w:rPr>
            </w:pPr>
            <w:r>
              <w:rPr>
                <w:rFonts w:ascii="Verdana" w:hAnsi="Verdana" w:cs="Arial"/>
                <w:sz w:val="18"/>
                <w:szCs w:val="18"/>
              </w:rPr>
              <w:t>20.0</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10.9</w:t>
            </w:r>
          </w:p>
        </w:tc>
      </w:tr>
      <w:tr w:rsidR="00766764" w:rsidRPr="00AA3EB8" w:rsidTr="00BD0746">
        <w:trPr>
          <w:trHeight w:val="416"/>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AA3EB8">
              <w:rPr>
                <w:rFonts w:ascii="Verdana" w:hAnsi="Verdana" w:cs="Arial"/>
                <w:szCs w:val="18"/>
              </w:rPr>
              <w:t>With agreed maturity dates or periods of notice and repayable:</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highlight w:val="green"/>
              </w:rPr>
            </w:pP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AA3EB8">
              <w:rPr>
                <w:rFonts w:ascii="Verdana" w:hAnsi="Verdana" w:cs="Arial"/>
                <w:szCs w:val="18"/>
              </w:rPr>
              <w:t>- within three months</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203145" w:rsidRDefault="00766764" w:rsidP="00BD0746">
            <w:pPr>
              <w:pStyle w:val="ACText"/>
              <w:ind w:right="776"/>
              <w:jc w:val="right"/>
              <w:rPr>
                <w:rFonts w:ascii="Verdana" w:hAnsi="Verdana" w:cs="Arial"/>
                <w:sz w:val="18"/>
                <w:szCs w:val="18"/>
              </w:rPr>
            </w:pPr>
            <w:r>
              <w:rPr>
                <w:rFonts w:ascii="Verdana" w:hAnsi="Verdana" w:cs="Arial"/>
                <w:sz w:val="18"/>
                <w:szCs w:val="18"/>
              </w:rPr>
              <w:t>337.7</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353.5</w:t>
            </w: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AA3EB8">
              <w:rPr>
                <w:rFonts w:ascii="Verdana" w:hAnsi="Verdana" w:cs="Arial"/>
                <w:szCs w:val="18"/>
              </w:rPr>
              <w:t>- between three months and one year</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203145" w:rsidRDefault="00766764" w:rsidP="00BD0746">
            <w:pPr>
              <w:pStyle w:val="ACText"/>
              <w:ind w:right="776"/>
              <w:jc w:val="right"/>
              <w:rPr>
                <w:rFonts w:ascii="Verdana" w:hAnsi="Verdana" w:cs="Arial"/>
                <w:sz w:val="18"/>
                <w:szCs w:val="18"/>
              </w:rPr>
            </w:pPr>
            <w:r>
              <w:rPr>
                <w:rFonts w:ascii="Verdana" w:hAnsi="Verdana" w:cs="Arial"/>
                <w:sz w:val="18"/>
                <w:szCs w:val="18"/>
              </w:rPr>
              <w:t>366.3</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318.1</w:t>
            </w:r>
          </w:p>
        </w:tc>
      </w:tr>
      <w:tr w:rsidR="00766764" w:rsidRPr="00AA3EB8" w:rsidTr="00BD0746">
        <w:trPr>
          <w:trHeight w:val="486"/>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AA3EB8">
              <w:rPr>
                <w:rFonts w:ascii="Verdana" w:hAnsi="Verdana" w:cs="Arial"/>
                <w:szCs w:val="18"/>
              </w:rPr>
              <w:t>- between one and five years</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203145" w:rsidRDefault="00766764" w:rsidP="00BD0746">
            <w:pPr>
              <w:pStyle w:val="ACText"/>
              <w:ind w:right="776"/>
              <w:jc w:val="right"/>
              <w:rPr>
                <w:rFonts w:ascii="Verdana" w:hAnsi="Verdana" w:cs="Arial"/>
                <w:sz w:val="18"/>
                <w:szCs w:val="18"/>
              </w:rPr>
            </w:pPr>
            <w:r>
              <w:rPr>
                <w:rFonts w:ascii="Verdana" w:hAnsi="Verdana" w:cs="Arial"/>
                <w:sz w:val="18"/>
                <w:szCs w:val="18"/>
              </w:rPr>
              <w:t>214.8</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293.6</w:t>
            </w: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AA3EB8">
              <w:rPr>
                <w:rFonts w:ascii="Verdana" w:hAnsi="Verdana" w:cs="Arial"/>
                <w:szCs w:val="18"/>
              </w:rPr>
              <w:t>- over five years</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203145" w:rsidRDefault="00766764" w:rsidP="00BD0746">
            <w:pPr>
              <w:pStyle w:val="ACText"/>
              <w:ind w:right="776"/>
              <w:jc w:val="right"/>
              <w:rPr>
                <w:rFonts w:ascii="Verdana" w:hAnsi="Verdana" w:cs="Arial"/>
                <w:sz w:val="18"/>
                <w:szCs w:val="18"/>
              </w:rPr>
            </w:pPr>
            <w:r>
              <w:rPr>
                <w:rFonts w:ascii="Verdana" w:hAnsi="Verdana" w:cs="Arial"/>
                <w:sz w:val="18"/>
                <w:szCs w:val="18"/>
              </w:rPr>
              <w:t>-</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sidRPr="00AA3EB8">
              <w:rPr>
                <w:rFonts w:ascii="Verdana" w:hAnsi="Verdana" w:cs="Arial"/>
                <w:sz w:val="18"/>
                <w:szCs w:val="18"/>
              </w:rPr>
              <w:t>-</w:t>
            </w: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1005E4" w:rsidRDefault="00766764" w:rsidP="00BD0746">
            <w:pPr>
              <w:pStyle w:val="Tabletext"/>
              <w:rPr>
                <w:rFonts w:ascii="Verdana" w:hAnsi="Verdana" w:cs="Arial"/>
                <w:b/>
                <w:szCs w:val="18"/>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005E4" w:rsidRDefault="00766764" w:rsidP="00BD0746">
            <w:pPr>
              <w:pStyle w:val="ACText"/>
              <w:ind w:right="776"/>
              <w:jc w:val="right"/>
              <w:rPr>
                <w:rFonts w:ascii="Verdana" w:hAnsi="Verdana" w:cs="Arial"/>
                <w:b/>
                <w:sz w:val="18"/>
                <w:szCs w:val="18"/>
                <w:highlight w:val="green"/>
              </w:rPr>
            </w:pPr>
            <w:r>
              <w:rPr>
                <w:rFonts w:ascii="Verdana" w:hAnsi="Verdana" w:cs="Arial"/>
                <w:b/>
                <w:sz w:val="18"/>
                <w:szCs w:val="18"/>
              </w:rPr>
              <w:t>938.8</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005E4" w:rsidRDefault="00766764" w:rsidP="00BD0746">
            <w:pPr>
              <w:pStyle w:val="ACText"/>
              <w:ind w:right="776"/>
              <w:jc w:val="right"/>
              <w:rPr>
                <w:rFonts w:ascii="Verdana" w:hAnsi="Verdana" w:cs="Arial"/>
                <w:b/>
                <w:sz w:val="18"/>
                <w:szCs w:val="18"/>
              </w:rPr>
            </w:pPr>
            <w:r w:rsidRPr="001005E4">
              <w:rPr>
                <w:rFonts w:ascii="Verdana" w:hAnsi="Verdana" w:cs="Arial"/>
                <w:b/>
                <w:sz w:val="18"/>
                <w:szCs w:val="18"/>
              </w:rPr>
              <w:t>976.1</w:t>
            </w: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Tabletext"/>
              <w:rPr>
                <w:rFonts w:ascii="Verdana" w:hAnsi="Verdana" w:cs="Arial"/>
                <w:szCs w:val="18"/>
              </w:rPr>
            </w:pPr>
            <w:r w:rsidRPr="001005E4">
              <w:rPr>
                <w:rFonts w:ascii="Verdana" w:hAnsi="Verdana" w:cs="Arial"/>
                <w:szCs w:val="18"/>
              </w:rPr>
              <w:t>Fair value adjustment for hedged risk</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005E4" w:rsidRDefault="00766764" w:rsidP="00BD0746">
            <w:pPr>
              <w:pStyle w:val="ACText"/>
              <w:ind w:right="776"/>
              <w:jc w:val="right"/>
              <w:rPr>
                <w:rFonts w:ascii="Verdana" w:hAnsi="Verdana" w:cs="Arial"/>
                <w:sz w:val="18"/>
                <w:szCs w:val="18"/>
              </w:rPr>
            </w:pPr>
            <w:r>
              <w:rPr>
                <w:rFonts w:ascii="Verdana" w:hAnsi="Verdana" w:cs="Arial"/>
                <w:sz w:val="18"/>
                <w:szCs w:val="18"/>
              </w:rPr>
              <w:t xml:space="preserve"> </w:t>
            </w:r>
            <w:r w:rsidRPr="001005E4">
              <w:rPr>
                <w:rFonts w:ascii="Verdana" w:hAnsi="Verdana" w:cs="Arial"/>
                <w:sz w:val="18"/>
                <w:szCs w:val="18"/>
              </w:rPr>
              <w:t>(0.3)</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76"/>
              <w:jc w:val="right"/>
              <w:rPr>
                <w:rFonts w:ascii="Verdana" w:hAnsi="Verdana" w:cs="Arial"/>
                <w:sz w:val="18"/>
                <w:szCs w:val="18"/>
              </w:rPr>
            </w:pPr>
            <w:r>
              <w:rPr>
                <w:rFonts w:ascii="Verdana" w:hAnsi="Verdana" w:cs="Arial"/>
                <w:sz w:val="18"/>
                <w:szCs w:val="18"/>
              </w:rPr>
              <w:t>-</w:t>
            </w:r>
          </w:p>
        </w:tc>
      </w:tr>
      <w:tr w:rsidR="00766764" w:rsidRPr="00AA3EB8" w:rsidTr="00BD0746">
        <w:trPr>
          <w:trHeight w:val="322"/>
        </w:trPr>
        <w:tc>
          <w:tcPr>
            <w:tcW w:w="5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76"/>
              <w:jc w:val="right"/>
              <w:rPr>
                <w:rFonts w:ascii="Verdana" w:hAnsi="Verdana" w:cs="Arial"/>
                <w:b/>
                <w:color w:val="FFCB05"/>
                <w:sz w:val="18"/>
                <w:szCs w:val="18"/>
              </w:rPr>
            </w:pPr>
            <w:r>
              <w:rPr>
                <w:rFonts w:ascii="Verdana" w:hAnsi="Verdana" w:cs="Arial"/>
                <w:b/>
                <w:color w:val="FFCB05"/>
                <w:sz w:val="18"/>
                <w:szCs w:val="18"/>
              </w:rPr>
              <w:t>938.5</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76"/>
              <w:jc w:val="right"/>
              <w:rPr>
                <w:rFonts w:ascii="Verdana" w:hAnsi="Verdana" w:cs="Arial"/>
                <w:b/>
                <w:color w:val="FFCB05"/>
                <w:sz w:val="18"/>
                <w:szCs w:val="18"/>
              </w:rPr>
            </w:pPr>
            <w:r>
              <w:rPr>
                <w:rFonts w:ascii="Verdana" w:hAnsi="Verdana" w:cs="Arial"/>
                <w:b/>
                <w:color w:val="FFCB05"/>
                <w:sz w:val="18"/>
                <w:szCs w:val="18"/>
              </w:rPr>
              <w:t>976.1</w:t>
            </w:r>
          </w:p>
        </w:tc>
      </w:tr>
    </w:tbl>
    <w:p w:rsidR="00766764" w:rsidRPr="00FC1348" w:rsidRDefault="00766764" w:rsidP="00766764">
      <w:pPr>
        <w:pStyle w:val="ListParagraph"/>
        <w:numPr>
          <w:ilvl w:val="0"/>
          <w:numId w:val="5"/>
        </w:numPr>
        <w:spacing w:after="200" w:line="276" w:lineRule="auto"/>
        <w:rPr>
          <w:rFonts w:ascii="Verdana" w:hAnsi="Verdana" w:cs="Arial"/>
          <w:b/>
          <w:sz w:val="24"/>
          <w:szCs w:val="24"/>
        </w:rPr>
      </w:pPr>
      <w:r w:rsidRPr="00FC1348">
        <w:rPr>
          <w:rFonts w:ascii="Verdana" w:hAnsi="Verdana" w:cs="Arial"/>
          <w:b/>
          <w:sz w:val="24"/>
          <w:szCs w:val="24"/>
        </w:rPr>
        <w:lastRenderedPageBreak/>
        <w:t>Derivative financial instruments</w:t>
      </w:r>
    </w:p>
    <w:p w:rsidR="00766764" w:rsidRPr="00AA3EB8" w:rsidRDefault="00766764" w:rsidP="00766764">
      <w:pPr>
        <w:ind w:left="75" w:right="-613"/>
        <w:rPr>
          <w:rFonts w:ascii="Verdana" w:hAnsi="Verdana" w:cs="Arial"/>
          <w:sz w:val="20"/>
        </w:rPr>
      </w:pPr>
      <w:r w:rsidRPr="00AA3EB8">
        <w:rPr>
          <w:rFonts w:ascii="Verdana" w:hAnsi="Verdana" w:cs="Arial"/>
          <w:sz w:val="20"/>
        </w:rPr>
        <w:t>Interest rate swaps are used by the Group for hedging purposes. These are commitments to exchange one set of cash flows for another. No exchange of principal takes place.</w:t>
      </w:r>
      <w:r w:rsidRPr="00AA3EB8">
        <w:rPr>
          <w:rFonts w:ascii="Verdana" w:hAnsi="Verdana" w:cs="Arial"/>
          <w:sz w:val="20"/>
        </w:rPr>
        <w:br/>
      </w:r>
    </w:p>
    <w:tbl>
      <w:tblPr>
        <w:tblStyle w:val="TableGrid"/>
        <w:tblW w:w="5313" w:type="pct"/>
        <w:tblInd w:w="108" w:type="dxa"/>
        <w:tblLook w:val="04A0" w:firstRow="1" w:lastRow="0" w:firstColumn="1" w:lastColumn="0" w:noHBand="0" w:noVBand="1"/>
      </w:tblPr>
      <w:tblGrid>
        <w:gridCol w:w="4282"/>
        <w:gridCol w:w="1261"/>
        <w:gridCol w:w="1360"/>
        <w:gridCol w:w="1320"/>
        <w:gridCol w:w="1357"/>
      </w:tblGrid>
      <w:tr w:rsidR="00766764" w:rsidRPr="00AA3EB8" w:rsidTr="00BD0746">
        <w:trPr>
          <w:trHeight w:val="623"/>
        </w:trPr>
        <w:tc>
          <w:tcPr>
            <w:tcW w:w="223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13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tabs>
                <w:tab w:val="left" w:pos="1944"/>
              </w:tabs>
              <w:jc w:val="center"/>
              <w:rPr>
                <w:rFonts w:ascii="Verdana" w:hAnsi="Verdana" w:cs="Arial"/>
                <w:b/>
                <w:color w:val="FFCB05"/>
                <w:sz w:val="18"/>
                <w:szCs w:val="18"/>
              </w:rPr>
            </w:pPr>
            <w:r w:rsidRPr="00AA3EB8">
              <w:rPr>
                <w:rFonts w:ascii="Verdana" w:hAnsi="Verdana" w:cs="Arial"/>
                <w:b/>
                <w:color w:val="FFCB05"/>
                <w:sz w:val="18"/>
                <w:szCs w:val="18"/>
              </w:rPr>
              <w:t>Contract/notional amount</w:t>
            </w:r>
          </w:p>
        </w:tc>
        <w:tc>
          <w:tcPr>
            <w:tcW w:w="13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tabs>
                <w:tab w:val="left" w:pos="1944"/>
              </w:tabs>
              <w:jc w:val="center"/>
              <w:rPr>
                <w:rFonts w:ascii="Verdana" w:hAnsi="Verdana" w:cs="Arial"/>
                <w:b/>
                <w:color w:val="FFCB05"/>
                <w:sz w:val="18"/>
                <w:szCs w:val="18"/>
              </w:rPr>
            </w:pPr>
            <w:r w:rsidRPr="00AA3EB8">
              <w:rPr>
                <w:rFonts w:ascii="Verdana" w:hAnsi="Verdana" w:cs="Arial"/>
                <w:b/>
                <w:color w:val="FFCB05"/>
                <w:sz w:val="18"/>
                <w:szCs w:val="18"/>
              </w:rPr>
              <w:t>Fair value</w:t>
            </w:r>
          </w:p>
        </w:tc>
      </w:tr>
      <w:tr w:rsidR="00766764" w:rsidRPr="00AA3EB8" w:rsidTr="00BD0746">
        <w:trPr>
          <w:trHeight w:val="241"/>
        </w:trPr>
        <w:tc>
          <w:tcPr>
            <w:tcW w:w="2235" w:type="pct"/>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18"/>
              <w:jc w:val="center"/>
              <w:rPr>
                <w:rFonts w:ascii="Verdana" w:hAnsi="Verdana" w:cs="Arial"/>
                <w:b/>
                <w:color w:val="FFCB05"/>
                <w:sz w:val="18"/>
                <w:szCs w:val="18"/>
              </w:rPr>
            </w:pPr>
            <w:r w:rsidRPr="00AA3EB8">
              <w:rPr>
                <w:rFonts w:ascii="Verdana" w:hAnsi="Verdana" w:cs="Arial"/>
                <w:b/>
                <w:color w:val="FFCB05"/>
                <w:sz w:val="18"/>
                <w:szCs w:val="18"/>
              </w:rPr>
              <w:t>2017</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3"/>
              <w:jc w:val="center"/>
              <w:rPr>
                <w:rFonts w:ascii="Verdana" w:hAnsi="Verdana" w:cs="Arial"/>
                <w:b/>
                <w:color w:val="FFCB05"/>
                <w:sz w:val="18"/>
                <w:szCs w:val="18"/>
              </w:rPr>
            </w:pPr>
            <w:r>
              <w:rPr>
                <w:rFonts w:ascii="Verdana" w:hAnsi="Verdana" w:cs="Arial"/>
                <w:b/>
                <w:color w:val="FFCB05"/>
                <w:sz w:val="18"/>
                <w:szCs w:val="18"/>
              </w:rPr>
              <w:t>2016</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center"/>
              <w:rPr>
                <w:rFonts w:ascii="Verdana" w:hAnsi="Verdana" w:cs="Arial"/>
                <w:b/>
                <w:color w:val="FFCB05"/>
                <w:sz w:val="18"/>
                <w:szCs w:val="18"/>
              </w:rPr>
            </w:pPr>
            <w:r w:rsidRPr="00AA3EB8">
              <w:rPr>
                <w:rFonts w:ascii="Verdana" w:hAnsi="Verdana" w:cs="Arial"/>
                <w:b/>
                <w:color w:val="FFCB05"/>
                <w:sz w:val="18"/>
                <w:szCs w:val="18"/>
              </w:rPr>
              <w:t>2017</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tabs>
                <w:tab w:val="left" w:pos="865"/>
              </w:tabs>
              <w:jc w:val="center"/>
              <w:rPr>
                <w:rFonts w:ascii="Verdana" w:hAnsi="Verdana" w:cs="Arial"/>
                <w:b/>
                <w:color w:val="FFCB05"/>
                <w:sz w:val="18"/>
                <w:szCs w:val="18"/>
              </w:rPr>
            </w:pPr>
            <w:r>
              <w:rPr>
                <w:rFonts w:ascii="Verdana" w:hAnsi="Verdana" w:cs="Arial"/>
                <w:b/>
                <w:color w:val="FFCB05"/>
                <w:sz w:val="18"/>
                <w:szCs w:val="18"/>
              </w:rPr>
              <w:t>2016</w:t>
            </w:r>
          </w:p>
        </w:tc>
      </w:tr>
      <w:tr w:rsidR="00766764" w:rsidRPr="00AA3EB8" w:rsidTr="00BD0746">
        <w:trPr>
          <w:trHeight w:val="137"/>
        </w:trPr>
        <w:tc>
          <w:tcPr>
            <w:tcW w:w="2235" w:type="pct"/>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center"/>
              <w:rPr>
                <w:rFonts w:ascii="Verdana" w:hAnsi="Verdana" w:cs="Arial"/>
                <w:b/>
                <w:color w:val="FFCB05"/>
                <w:sz w:val="18"/>
                <w:szCs w:val="18"/>
              </w:rPr>
            </w:pPr>
            <w:r>
              <w:rPr>
                <w:rFonts w:ascii="Verdana" w:hAnsi="Verdana" w:cs="Arial"/>
                <w:b/>
                <w:color w:val="FFCB05"/>
                <w:sz w:val="18"/>
                <w:szCs w:val="18"/>
              </w:rPr>
              <w:t xml:space="preserve">      </w:t>
            </w:r>
            <w:r w:rsidRPr="00AA3EB8">
              <w:rPr>
                <w:rFonts w:ascii="Verdana" w:hAnsi="Verdana" w:cs="Arial"/>
                <w:b/>
                <w:color w:val="FFCB05"/>
                <w:sz w:val="18"/>
                <w:szCs w:val="18"/>
              </w:rPr>
              <w:t>£m</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center"/>
              <w:rPr>
                <w:rFonts w:ascii="Verdana" w:hAnsi="Verdana" w:cs="Arial"/>
                <w:b/>
                <w:color w:val="FFCB05"/>
                <w:sz w:val="18"/>
                <w:szCs w:val="18"/>
              </w:rPr>
            </w:pPr>
            <w:r>
              <w:rPr>
                <w:rFonts w:ascii="Verdana" w:hAnsi="Verdana" w:cs="Arial"/>
                <w:b/>
                <w:color w:val="FFCB05"/>
                <w:sz w:val="18"/>
                <w:szCs w:val="18"/>
              </w:rPr>
              <w:t xml:space="preserve">       </w:t>
            </w:r>
            <w:r w:rsidRPr="00AA3EB8">
              <w:rPr>
                <w:rFonts w:ascii="Verdana" w:hAnsi="Verdana" w:cs="Arial"/>
                <w:b/>
                <w:color w:val="FFCB05"/>
                <w:sz w:val="18"/>
                <w:szCs w:val="18"/>
              </w:rPr>
              <w:t>£m</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center"/>
              <w:rPr>
                <w:rFonts w:ascii="Verdana" w:hAnsi="Verdana" w:cs="Arial"/>
                <w:b/>
                <w:color w:val="FFCB05"/>
                <w:sz w:val="18"/>
                <w:szCs w:val="18"/>
              </w:rPr>
            </w:pPr>
            <w:r>
              <w:rPr>
                <w:rFonts w:ascii="Verdana" w:hAnsi="Verdana" w:cs="Arial"/>
                <w:b/>
                <w:color w:val="FFCB05"/>
                <w:sz w:val="18"/>
                <w:szCs w:val="18"/>
              </w:rPr>
              <w:t xml:space="preserve">       </w:t>
            </w:r>
            <w:r w:rsidRPr="00AA3EB8">
              <w:rPr>
                <w:rFonts w:ascii="Verdana" w:hAnsi="Verdana" w:cs="Arial"/>
                <w:b/>
                <w:color w:val="FFCB05"/>
                <w:sz w:val="18"/>
                <w:szCs w:val="18"/>
              </w:rPr>
              <w:t>£m</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center"/>
              <w:rPr>
                <w:rFonts w:ascii="Verdana" w:hAnsi="Verdana" w:cs="Arial"/>
                <w:b/>
                <w:color w:val="FFCB05"/>
                <w:sz w:val="18"/>
                <w:szCs w:val="18"/>
              </w:rPr>
            </w:pPr>
            <w:r>
              <w:rPr>
                <w:rFonts w:ascii="Verdana" w:hAnsi="Verdana" w:cs="Arial"/>
                <w:b/>
                <w:color w:val="FFCB05"/>
                <w:sz w:val="18"/>
                <w:szCs w:val="18"/>
              </w:rPr>
              <w:t xml:space="preserve">       </w:t>
            </w:r>
            <w:r w:rsidRPr="00AA3EB8">
              <w:rPr>
                <w:rFonts w:ascii="Verdana" w:hAnsi="Verdana" w:cs="Arial"/>
                <w:b/>
                <w:color w:val="FFCB05"/>
                <w:sz w:val="18"/>
                <w:szCs w:val="18"/>
              </w:rPr>
              <w:t>£m</w:t>
            </w:r>
          </w:p>
        </w:tc>
      </w:tr>
      <w:tr w:rsidR="00766764" w:rsidRPr="00AA3EB8" w:rsidTr="00BD0746">
        <w:trPr>
          <w:trHeight w:val="529"/>
        </w:trPr>
        <w:tc>
          <w:tcPr>
            <w:tcW w:w="500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226"/>
              <w:rPr>
                <w:rFonts w:ascii="Verdana" w:hAnsi="Verdana" w:cs="Arial"/>
                <w:sz w:val="18"/>
                <w:szCs w:val="18"/>
              </w:rPr>
            </w:pPr>
            <w:r w:rsidRPr="00AA3EB8">
              <w:rPr>
                <w:rFonts w:ascii="Verdana" w:hAnsi="Verdana" w:cs="Arial"/>
                <w:b/>
                <w:sz w:val="18"/>
                <w:szCs w:val="18"/>
              </w:rPr>
              <w:t>Derivative liabilities held for hedging purposes and designated fair value hedges:</w:t>
            </w:r>
          </w:p>
        </w:tc>
      </w:tr>
      <w:tr w:rsidR="00766764" w:rsidRPr="00AA3EB8" w:rsidTr="00BD0746">
        <w:trPr>
          <w:trHeight w:val="409"/>
        </w:trPr>
        <w:tc>
          <w:tcPr>
            <w:tcW w:w="2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spacing w:before="0"/>
              <w:jc w:val="left"/>
              <w:rPr>
                <w:rFonts w:ascii="Verdana" w:hAnsi="Verdana" w:cs="Arial"/>
                <w:sz w:val="18"/>
                <w:szCs w:val="18"/>
              </w:rPr>
            </w:pPr>
            <w:r w:rsidRPr="00AA3EB8">
              <w:rPr>
                <w:rFonts w:ascii="Verdana" w:hAnsi="Verdana" w:cs="Arial"/>
                <w:sz w:val="18"/>
                <w:szCs w:val="18"/>
              </w:rPr>
              <w:t>Interest rate swaps</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1A0D54" w:rsidRDefault="00766764" w:rsidP="00BD0746">
            <w:pPr>
              <w:pStyle w:val="ACText"/>
              <w:ind w:right="226"/>
              <w:jc w:val="right"/>
              <w:rPr>
                <w:rFonts w:ascii="Verdana" w:hAnsi="Verdana" w:cs="Arial"/>
                <w:sz w:val="18"/>
                <w:szCs w:val="18"/>
              </w:rPr>
            </w:pPr>
            <w:r w:rsidRPr="001A0D54">
              <w:rPr>
                <w:rFonts w:ascii="Verdana" w:hAnsi="Verdana" w:cs="Arial"/>
                <w:sz w:val="18"/>
                <w:szCs w:val="18"/>
              </w:rPr>
              <w:t>364.3</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1A0D54" w:rsidRDefault="00766764" w:rsidP="00BD0746">
            <w:pPr>
              <w:pStyle w:val="ACText"/>
              <w:ind w:right="226"/>
              <w:jc w:val="right"/>
              <w:rPr>
                <w:rFonts w:ascii="Verdana" w:hAnsi="Verdana" w:cs="Arial"/>
                <w:sz w:val="18"/>
                <w:szCs w:val="18"/>
              </w:rPr>
            </w:pPr>
            <w:r w:rsidRPr="001A0D54">
              <w:rPr>
                <w:rFonts w:ascii="Verdana" w:hAnsi="Verdana" w:cs="Arial"/>
                <w:sz w:val="18"/>
                <w:szCs w:val="18"/>
              </w:rPr>
              <w:t>352.9</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11227B" w:rsidRDefault="00766764" w:rsidP="00BD0746">
            <w:pPr>
              <w:pStyle w:val="ACText"/>
              <w:ind w:right="226"/>
              <w:jc w:val="right"/>
              <w:rPr>
                <w:rFonts w:ascii="Verdana" w:hAnsi="Verdana" w:cs="Arial"/>
                <w:sz w:val="18"/>
                <w:szCs w:val="18"/>
              </w:rPr>
            </w:pPr>
            <w:r>
              <w:rPr>
                <w:rFonts w:ascii="Verdana" w:hAnsi="Verdana" w:cs="Arial"/>
                <w:sz w:val="18"/>
                <w:szCs w:val="18"/>
              </w:rPr>
              <w:t>127.7</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ACText"/>
              <w:ind w:right="226"/>
              <w:jc w:val="right"/>
              <w:rPr>
                <w:rFonts w:ascii="Verdana" w:hAnsi="Verdana" w:cs="Arial"/>
                <w:sz w:val="18"/>
                <w:szCs w:val="18"/>
              </w:rPr>
            </w:pPr>
            <w:r>
              <w:rPr>
                <w:rFonts w:ascii="Verdana" w:hAnsi="Verdana" w:cs="Arial"/>
                <w:sz w:val="18"/>
                <w:szCs w:val="18"/>
              </w:rPr>
              <w:t>145.8</w:t>
            </w:r>
          </w:p>
        </w:tc>
      </w:tr>
      <w:tr w:rsidR="00766764" w:rsidRPr="00AA3EB8" w:rsidTr="00BD0746">
        <w:trPr>
          <w:trHeight w:val="347"/>
        </w:trPr>
        <w:tc>
          <w:tcPr>
            <w:tcW w:w="2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pacing w:val="-2"/>
                <w:sz w:val="18"/>
                <w:szCs w:val="18"/>
              </w:rPr>
              <w:t>RPI index linked interest rate swaps</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B01023" w:rsidRDefault="00766764" w:rsidP="00BD0746">
            <w:pPr>
              <w:pStyle w:val="ACText"/>
              <w:ind w:right="226"/>
              <w:jc w:val="right"/>
              <w:rPr>
                <w:rFonts w:ascii="Verdana" w:hAnsi="Verdana" w:cs="Arial"/>
                <w:sz w:val="18"/>
                <w:szCs w:val="18"/>
              </w:rPr>
            </w:pPr>
            <w:r w:rsidRPr="00B01023">
              <w:rPr>
                <w:rFonts w:ascii="Verdana" w:hAnsi="Verdana" w:cs="Arial"/>
                <w:sz w:val="18"/>
                <w:szCs w:val="18"/>
              </w:rPr>
              <w:t>55.0</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ACText"/>
              <w:ind w:right="226"/>
              <w:jc w:val="right"/>
              <w:rPr>
                <w:rFonts w:ascii="Verdana" w:hAnsi="Verdana" w:cs="Arial"/>
                <w:sz w:val="18"/>
                <w:szCs w:val="18"/>
              </w:rPr>
            </w:pPr>
            <w:r>
              <w:rPr>
                <w:rFonts w:ascii="Verdana" w:hAnsi="Verdana" w:cs="Arial"/>
                <w:sz w:val="18"/>
                <w:szCs w:val="18"/>
              </w:rPr>
              <w:t>55.0</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11227B" w:rsidRDefault="00766764" w:rsidP="00BD0746">
            <w:pPr>
              <w:pStyle w:val="ACText"/>
              <w:ind w:right="226"/>
              <w:jc w:val="right"/>
              <w:rPr>
                <w:rFonts w:ascii="Verdana" w:hAnsi="Verdana" w:cs="Arial"/>
                <w:sz w:val="18"/>
                <w:szCs w:val="18"/>
              </w:rPr>
            </w:pPr>
            <w:r>
              <w:rPr>
                <w:rFonts w:ascii="Verdana" w:hAnsi="Verdana" w:cs="Arial"/>
                <w:sz w:val="18"/>
                <w:szCs w:val="18"/>
              </w:rPr>
              <w:t xml:space="preserve">   </w:t>
            </w:r>
            <w:r w:rsidRPr="0011227B">
              <w:rPr>
                <w:rFonts w:ascii="Verdana" w:hAnsi="Verdana" w:cs="Arial"/>
                <w:sz w:val="18"/>
                <w:szCs w:val="18"/>
              </w:rPr>
              <w:t>(0.1)</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ACText"/>
              <w:ind w:right="226"/>
              <w:jc w:val="right"/>
              <w:rPr>
                <w:rFonts w:ascii="Verdana" w:hAnsi="Verdana" w:cs="Arial"/>
                <w:sz w:val="18"/>
                <w:szCs w:val="18"/>
              </w:rPr>
            </w:pPr>
            <w:r w:rsidRPr="00AA3EB8">
              <w:rPr>
                <w:rFonts w:ascii="Verdana" w:hAnsi="Verdana" w:cs="Arial"/>
                <w:sz w:val="18"/>
                <w:szCs w:val="18"/>
              </w:rPr>
              <w:t>0.9</w:t>
            </w:r>
          </w:p>
        </w:tc>
      </w:tr>
      <w:tr w:rsidR="00766764" w:rsidRPr="00AA3EB8" w:rsidTr="00BD0746">
        <w:trPr>
          <w:trHeight w:val="199"/>
        </w:trPr>
        <w:tc>
          <w:tcPr>
            <w:tcW w:w="2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pacing w:val="-2"/>
                <w:sz w:val="18"/>
                <w:szCs w:val="18"/>
              </w:rPr>
            </w:pPr>
            <w:r w:rsidRPr="00AA3EB8">
              <w:rPr>
                <w:rFonts w:ascii="Verdana" w:hAnsi="Verdana" w:cs="Arial"/>
                <w:spacing w:val="-2"/>
                <w:sz w:val="18"/>
                <w:szCs w:val="18"/>
              </w:rPr>
              <w:t>Fair value adjustment for hedged risk</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B01023" w:rsidRDefault="00766764" w:rsidP="00BD0746">
            <w:pPr>
              <w:pStyle w:val="ACText"/>
              <w:ind w:right="226"/>
              <w:jc w:val="right"/>
              <w:rPr>
                <w:rFonts w:ascii="Verdana" w:hAnsi="Verdana" w:cs="Arial"/>
                <w:sz w:val="18"/>
                <w:szCs w:val="18"/>
              </w:rPr>
            </w:pPr>
            <w:r w:rsidRPr="00B01023">
              <w:rPr>
                <w:rFonts w:ascii="Verdana" w:hAnsi="Verdana" w:cs="Arial"/>
                <w:sz w:val="18"/>
                <w:szCs w:val="18"/>
              </w:rPr>
              <w:t>176.5</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ACText"/>
              <w:ind w:right="226"/>
              <w:jc w:val="right"/>
              <w:rPr>
                <w:rFonts w:ascii="Verdana" w:hAnsi="Verdana" w:cs="Arial"/>
                <w:sz w:val="18"/>
                <w:szCs w:val="18"/>
              </w:rPr>
            </w:pPr>
            <w:r>
              <w:rPr>
                <w:rFonts w:ascii="Verdana" w:hAnsi="Verdana" w:cs="Arial"/>
                <w:sz w:val="18"/>
                <w:szCs w:val="18"/>
              </w:rPr>
              <w:t>179.3</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11227B" w:rsidRDefault="00766764" w:rsidP="00BD0746">
            <w:pPr>
              <w:pStyle w:val="ACText"/>
              <w:ind w:right="226"/>
              <w:jc w:val="right"/>
              <w:rPr>
                <w:rFonts w:ascii="Verdana" w:hAnsi="Verdana" w:cs="Arial"/>
                <w:sz w:val="18"/>
                <w:szCs w:val="18"/>
              </w:rPr>
            </w:pPr>
            <w:r w:rsidRPr="0011227B">
              <w:rPr>
                <w:rFonts w:ascii="Verdana" w:hAnsi="Verdana" w:cs="Arial"/>
                <w:sz w:val="18"/>
                <w:szCs w:val="18"/>
              </w:rPr>
              <w:t>4.7</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cPr>
          <w:p w:rsidR="00766764" w:rsidRPr="00AA3EB8" w:rsidRDefault="00766764" w:rsidP="00BD0746">
            <w:pPr>
              <w:pStyle w:val="ACText"/>
              <w:ind w:right="226"/>
              <w:jc w:val="right"/>
              <w:rPr>
                <w:rFonts w:ascii="Verdana" w:hAnsi="Verdana" w:cs="Arial"/>
                <w:sz w:val="18"/>
                <w:szCs w:val="18"/>
              </w:rPr>
            </w:pPr>
            <w:r w:rsidRPr="00AA3EB8">
              <w:rPr>
                <w:rFonts w:ascii="Verdana" w:hAnsi="Verdana" w:cs="Arial"/>
                <w:sz w:val="18"/>
                <w:szCs w:val="18"/>
              </w:rPr>
              <w:t>5.8</w:t>
            </w:r>
          </w:p>
        </w:tc>
      </w:tr>
      <w:tr w:rsidR="00766764" w:rsidRPr="00AA3EB8" w:rsidTr="00BD0746">
        <w:trPr>
          <w:trHeight w:val="261"/>
        </w:trPr>
        <w:tc>
          <w:tcPr>
            <w:tcW w:w="2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pacing w:val="-2"/>
                <w:sz w:val="18"/>
                <w:szCs w:val="18"/>
              </w:rPr>
            </w:pPr>
            <w:r w:rsidRPr="00AA3EB8">
              <w:rPr>
                <w:rFonts w:ascii="Verdana" w:hAnsi="Verdana" w:cs="Arial"/>
                <w:b/>
                <w:color w:val="FFCB05"/>
                <w:spacing w:val="-2"/>
                <w:sz w:val="18"/>
                <w:szCs w:val="18"/>
              </w:rPr>
              <w:t>Total recognised derivative liabilities</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B01023" w:rsidRDefault="00766764" w:rsidP="00BD0746">
            <w:pPr>
              <w:pStyle w:val="ACText"/>
              <w:ind w:right="226"/>
              <w:jc w:val="right"/>
              <w:rPr>
                <w:rFonts w:ascii="Verdana" w:hAnsi="Verdana" w:cs="Arial"/>
                <w:b/>
                <w:color w:val="FFCB05"/>
                <w:sz w:val="18"/>
                <w:szCs w:val="18"/>
              </w:rPr>
            </w:pPr>
            <w:r>
              <w:rPr>
                <w:rFonts w:ascii="Verdana" w:hAnsi="Verdana" w:cs="Arial"/>
                <w:b/>
                <w:color w:val="FFCB05"/>
                <w:sz w:val="18"/>
                <w:szCs w:val="18"/>
              </w:rPr>
              <w:t>595.8</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right"/>
              <w:rPr>
                <w:rFonts w:ascii="Verdana" w:hAnsi="Verdana" w:cs="Arial"/>
                <w:b/>
                <w:color w:val="FFCB05"/>
                <w:sz w:val="18"/>
                <w:szCs w:val="18"/>
              </w:rPr>
            </w:pPr>
            <w:r>
              <w:rPr>
                <w:rFonts w:ascii="Verdana" w:hAnsi="Verdana" w:cs="Arial"/>
                <w:b/>
                <w:color w:val="FFCB05"/>
                <w:sz w:val="18"/>
                <w:szCs w:val="18"/>
              </w:rPr>
              <w:t>587</w:t>
            </w:r>
            <w:r w:rsidRPr="00AA3EB8">
              <w:rPr>
                <w:rFonts w:ascii="Verdana" w:hAnsi="Verdana" w:cs="Arial"/>
                <w:b/>
                <w:color w:val="FFCB05"/>
                <w:sz w:val="18"/>
                <w:szCs w:val="18"/>
              </w:rPr>
              <w:t>.2</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right"/>
              <w:rPr>
                <w:rFonts w:ascii="Verdana" w:hAnsi="Verdana" w:cs="Arial"/>
                <w:b/>
                <w:color w:val="FFCB05"/>
                <w:sz w:val="18"/>
                <w:szCs w:val="18"/>
              </w:rPr>
            </w:pPr>
            <w:r>
              <w:rPr>
                <w:rFonts w:ascii="Verdana" w:hAnsi="Verdana" w:cs="Arial"/>
                <w:b/>
                <w:color w:val="FFCB05"/>
                <w:sz w:val="18"/>
                <w:szCs w:val="18"/>
              </w:rPr>
              <w:t>132.3</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226"/>
              <w:jc w:val="right"/>
              <w:rPr>
                <w:rFonts w:ascii="Verdana" w:hAnsi="Verdana" w:cs="Arial"/>
                <w:b/>
                <w:color w:val="FFCB05"/>
                <w:sz w:val="18"/>
                <w:szCs w:val="18"/>
              </w:rPr>
            </w:pPr>
            <w:r>
              <w:rPr>
                <w:rFonts w:ascii="Verdana" w:hAnsi="Verdana" w:cs="Arial"/>
                <w:b/>
                <w:color w:val="FFCB05"/>
                <w:sz w:val="18"/>
                <w:szCs w:val="18"/>
              </w:rPr>
              <w:t>152.5</w:t>
            </w:r>
          </w:p>
        </w:tc>
      </w:tr>
    </w:tbl>
    <w:p w:rsidR="00766764" w:rsidRDefault="00766764" w:rsidP="00766764"/>
    <w:p w:rsidR="00766764" w:rsidRPr="00EE3EC7" w:rsidRDefault="00766764" w:rsidP="00766764">
      <w:pPr>
        <w:pStyle w:val="ACText"/>
        <w:jc w:val="left"/>
        <w:rPr>
          <w:rFonts w:ascii="Verdana" w:hAnsi="Verdana" w:cs="Arial"/>
          <w:b/>
        </w:rPr>
      </w:pPr>
      <w:r w:rsidRPr="00AA3EB8">
        <w:rPr>
          <w:rFonts w:ascii="Verdana" w:hAnsi="Verdana" w:cs="Arial"/>
          <w:b/>
          <w:sz w:val="24"/>
          <w:szCs w:val="24"/>
        </w:rPr>
        <w:t>3</w:t>
      </w:r>
      <w:r>
        <w:rPr>
          <w:rFonts w:ascii="Verdana" w:hAnsi="Verdana" w:cs="Arial"/>
          <w:b/>
          <w:sz w:val="24"/>
          <w:szCs w:val="24"/>
        </w:rPr>
        <w:t>6</w:t>
      </w:r>
      <w:r w:rsidRPr="00AA3EB8">
        <w:rPr>
          <w:rFonts w:ascii="Verdana" w:hAnsi="Verdana" w:cs="Arial"/>
          <w:b/>
          <w:sz w:val="24"/>
          <w:szCs w:val="24"/>
        </w:rPr>
        <w:t>.  Financial instruments (continued)</w:t>
      </w:r>
      <w:r w:rsidRPr="00AA3EB8">
        <w:rPr>
          <w:rFonts w:ascii="Verdana" w:hAnsi="Verdana" w:cs="Arial"/>
          <w:b/>
          <w:sz w:val="24"/>
          <w:szCs w:val="24"/>
        </w:rPr>
        <w:br/>
      </w:r>
      <w:r w:rsidRPr="00AA3EB8">
        <w:rPr>
          <w:rFonts w:ascii="Verdana" w:hAnsi="Verdana" w:cs="Arial"/>
          <w:b/>
        </w:rPr>
        <w:br/>
      </w:r>
      <w:r w:rsidRPr="009D0452">
        <w:rPr>
          <w:rFonts w:ascii="Verdana" w:hAnsi="Verdana" w:cs="Arial"/>
          <w:b/>
        </w:rPr>
        <w:t>e) Maturity</w:t>
      </w:r>
      <w:r w:rsidRPr="00EE3EC7">
        <w:rPr>
          <w:rFonts w:ascii="Verdana" w:hAnsi="Verdana" w:cs="Arial"/>
          <w:b/>
        </w:rPr>
        <w:t xml:space="preserve"> profile of financial assets and liabilities</w:t>
      </w:r>
    </w:p>
    <w:p w:rsidR="00766764" w:rsidRPr="00AA3EB8" w:rsidRDefault="00766764" w:rsidP="00766764">
      <w:pPr>
        <w:pStyle w:val="ACText"/>
        <w:ind w:right="-330"/>
        <w:rPr>
          <w:rFonts w:ascii="Verdana" w:hAnsi="Verdana" w:cs="Arial"/>
        </w:rPr>
      </w:pPr>
      <w:r w:rsidRPr="00EE3EC7">
        <w:rPr>
          <w:rFonts w:ascii="Verdana" w:hAnsi="Verdana" w:cs="Arial"/>
        </w:rPr>
        <w:t>The table below analyses the carrying value of financial assets and liabilities into relevant maturity groupings based on the remaining period to the contractual maturity date. In practice, customer deposits will be repaid later than on the earliest date on which repayment can be required. Likewise, in practice, customer assets may be repaid ahead of their contractual maturity. As such, the Group uses past performance of each asset and liability class along with management judgement to forecast likely cash flow requirements.</w:t>
      </w:r>
      <w:r w:rsidRPr="00AA3EB8">
        <w:rPr>
          <w:rFonts w:ascii="Verdana" w:hAnsi="Verdana" w:cs="Arial"/>
        </w:rPr>
        <w:t xml:space="preserve"> </w:t>
      </w:r>
      <w:r w:rsidRPr="00AA3EB8">
        <w:rPr>
          <w:rFonts w:ascii="Verdana" w:hAnsi="Verdana" w:cs="Arial"/>
        </w:rPr>
        <w:br/>
      </w:r>
    </w:p>
    <w:tbl>
      <w:tblPr>
        <w:tblStyle w:val="TableGrid"/>
        <w:tblW w:w="5205" w:type="pct"/>
        <w:tblInd w:w="108" w:type="dxa"/>
        <w:tblLayout w:type="fixed"/>
        <w:tblLook w:val="00A0" w:firstRow="1" w:lastRow="0" w:firstColumn="1" w:lastColumn="0" w:noHBand="0" w:noVBand="0"/>
      </w:tblPr>
      <w:tblGrid>
        <w:gridCol w:w="2487"/>
        <w:gridCol w:w="1119"/>
        <w:gridCol w:w="1115"/>
        <w:gridCol w:w="1115"/>
        <w:gridCol w:w="1115"/>
        <w:gridCol w:w="1115"/>
        <w:gridCol w:w="1320"/>
      </w:tblGrid>
      <w:tr w:rsidR="00766764" w:rsidRPr="00AA3EB8" w:rsidTr="00BD0746">
        <w:trPr>
          <w:trHeight w:val="319"/>
        </w:trPr>
        <w:tc>
          <w:tcPr>
            <w:tcW w:w="1325"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r w:rsidRPr="00AA3EB8">
              <w:rPr>
                <w:rFonts w:ascii="Verdana" w:hAnsi="Verdana" w:cs="Arial"/>
                <w:b/>
                <w:color w:val="FFCB05"/>
                <w:sz w:val="18"/>
                <w:szCs w:val="18"/>
              </w:rPr>
              <w:t>As at 31 October 2017</w:t>
            </w:r>
          </w:p>
        </w:tc>
        <w:tc>
          <w:tcPr>
            <w:tcW w:w="596"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Not more than three months</w:t>
            </w:r>
          </w:p>
        </w:tc>
        <w:tc>
          <w:tcPr>
            <w:tcW w:w="59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More than three months but not more than six months</w:t>
            </w:r>
          </w:p>
        </w:tc>
        <w:tc>
          <w:tcPr>
            <w:tcW w:w="59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31"/>
              <w:jc w:val="center"/>
              <w:rPr>
                <w:rFonts w:ascii="Verdana" w:hAnsi="Verdana" w:cs="Arial"/>
                <w:b/>
                <w:color w:val="FFCB05"/>
                <w:sz w:val="18"/>
                <w:szCs w:val="18"/>
              </w:rPr>
            </w:pPr>
            <w:r w:rsidRPr="00AA3EB8">
              <w:rPr>
                <w:rFonts w:ascii="Verdana" w:hAnsi="Verdana" w:cs="Arial"/>
                <w:b/>
                <w:color w:val="FFCB05"/>
                <w:sz w:val="18"/>
                <w:szCs w:val="18"/>
              </w:rPr>
              <w:t>More than six months but not more than one year</w:t>
            </w:r>
          </w:p>
        </w:tc>
        <w:tc>
          <w:tcPr>
            <w:tcW w:w="59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More than one year but not more than five years</w:t>
            </w:r>
          </w:p>
        </w:tc>
        <w:tc>
          <w:tcPr>
            <w:tcW w:w="59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More than five years</w:t>
            </w:r>
          </w:p>
        </w:tc>
        <w:tc>
          <w:tcPr>
            <w:tcW w:w="703"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Total</w:t>
            </w:r>
          </w:p>
        </w:tc>
      </w:tr>
      <w:tr w:rsidR="00766764" w:rsidRPr="00AA3EB8" w:rsidTr="00BD0746">
        <w:trPr>
          <w:trHeight w:val="143"/>
        </w:trPr>
        <w:tc>
          <w:tcPr>
            <w:tcW w:w="1325"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31"/>
              <w:jc w:val="center"/>
              <w:rPr>
                <w:rFonts w:ascii="Verdana" w:hAnsi="Verdana" w:cs="Arial"/>
                <w:b/>
                <w:color w:val="FFCB05"/>
                <w:sz w:val="18"/>
                <w:szCs w:val="18"/>
              </w:rPr>
            </w:pPr>
            <w:r w:rsidRPr="00AA3EB8">
              <w:rPr>
                <w:rFonts w:ascii="Verdana" w:hAnsi="Verdana" w:cs="Arial"/>
                <w:b/>
                <w:color w:val="FFCB05"/>
                <w:sz w:val="18"/>
                <w:szCs w:val="18"/>
              </w:rPr>
              <w:t>£m</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jc w:val="left"/>
              <w:rPr>
                <w:rFonts w:ascii="Verdana" w:hAnsi="Verdana" w:cs="Arial"/>
                <w:b/>
                <w:szCs w:val="18"/>
              </w:rPr>
            </w:pPr>
            <w:r w:rsidRPr="00AA3EB8">
              <w:rPr>
                <w:rFonts w:ascii="Verdana" w:hAnsi="Verdana" w:cs="Arial"/>
                <w:b/>
                <w:szCs w:val="18"/>
              </w:rPr>
              <w:t>Assets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31"/>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AA3EB8">
              <w:rPr>
                <w:rFonts w:ascii="Verdana" w:hAnsi="Verdana" w:cs="Arial"/>
                <w:szCs w:val="18"/>
              </w:rPr>
              <w:t>Cash and balances held at central banks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E0F4B"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E0F4B">
              <w:rPr>
                <w:rFonts w:ascii="Verdana" w:hAnsi="Verdana" w:cs="Arial"/>
                <w:sz w:val="18"/>
                <w:szCs w:val="18"/>
              </w:rPr>
              <w:t>87.0</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E0F4B"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E0F4B">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E0F4B"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E0F4B">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E0F4B"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E0F4B">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E0F4B" w:rsidRDefault="00766764" w:rsidP="00BD0746">
            <w:pPr>
              <w:pStyle w:val="ACText"/>
              <w:ind w:right="-74"/>
              <w:jc w:val="center"/>
              <w:rPr>
                <w:rFonts w:ascii="Verdana" w:hAnsi="Verdana" w:cs="Arial"/>
                <w:sz w:val="18"/>
                <w:szCs w:val="18"/>
              </w:rPr>
            </w:pPr>
            <w:r w:rsidRPr="008E0F4B">
              <w:rPr>
                <w:rFonts w:ascii="Verdana" w:hAnsi="Verdana" w:cs="Arial"/>
                <w:sz w:val="18"/>
                <w:szCs w:val="18"/>
              </w:rPr>
              <w:t>-</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sidRPr="00276F25">
              <w:rPr>
                <w:rFonts w:ascii="Verdana" w:hAnsi="Verdana" w:cs="Arial"/>
                <w:sz w:val="18"/>
                <w:szCs w:val="18"/>
              </w:rPr>
              <w:t xml:space="preserve">     87.0</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jc w:val="left"/>
              <w:rPr>
                <w:rFonts w:ascii="Verdana" w:hAnsi="Verdana" w:cs="Arial"/>
                <w:szCs w:val="18"/>
              </w:rPr>
            </w:pPr>
            <w:r w:rsidRPr="00AA3EB8">
              <w:rPr>
                <w:rFonts w:ascii="Verdana" w:hAnsi="Verdana" w:cs="Arial"/>
                <w:szCs w:val="18"/>
              </w:rPr>
              <w:t>Treasury bills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22ACF"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22ACF">
              <w:rPr>
                <w:rFonts w:ascii="Verdana" w:hAnsi="Verdana" w:cs="Arial"/>
                <w:sz w:val="18"/>
                <w:szCs w:val="18"/>
              </w:rPr>
              <w:t>4.1</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22ACF"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22ACF">
              <w:rPr>
                <w:rFonts w:ascii="Verdana" w:hAnsi="Verdana" w:cs="Arial"/>
                <w:sz w:val="18"/>
                <w:szCs w:val="18"/>
              </w:rPr>
              <w:t>7.5</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22ACF"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22ACF">
              <w:rPr>
                <w:rFonts w:ascii="Verdana" w:hAnsi="Verdana" w:cs="Arial"/>
                <w:sz w:val="18"/>
                <w:szCs w:val="18"/>
              </w:rPr>
              <w:t>9.2</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22ACF"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22ACF">
              <w:rPr>
                <w:rFonts w:ascii="Verdana" w:hAnsi="Verdana" w:cs="Arial"/>
                <w:sz w:val="18"/>
                <w:szCs w:val="18"/>
              </w:rPr>
              <w:t>66.1</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822ACF"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822ACF">
              <w:rPr>
                <w:rFonts w:ascii="Verdana" w:hAnsi="Verdana" w:cs="Arial"/>
                <w:sz w:val="18"/>
                <w:szCs w:val="18"/>
              </w:rPr>
              <w:t>10.4</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EE3EC7" w:rsidRDefault="00766764" w:rsidP="00BD0746">
            <w:pPr>
              <w:pStyle w:val="ACText"/>
              <w:ind w:right="-74"/>
              <w:jc w:val="center"/>
              <w:rPr>
                <w:rFonts w:ascii="Verdana" w:hAnsi="Verdana" w:cs="Arial"/>
                <w:sz w:val="18"/>
                <w:szCs w:val="18"/>
              </w:rPr>
            </w:pPr>
            <w:r w:rsidRPr="00EE3EC7">
              <w:rPr>
                <w:rFonts w:ascii="Verdana" w:hAnsi="Verdana" w:cs="Arial"/>
                <w:sz w:val="18"/>
                <w:szCs w:val="18"/>
              </w:rPr>
              <w:t xml:space="preserve">     97.3</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jc w:val="left"/>
              <w:rPr>
                <w:rFonts w:ascii="Verdana" w:hAnsi="Verdana" w:cs="Arial"/>
                <w:szCs w:val="18"/>
              </w:rPr>
            </w:pPr>
            <w:r w:rsidRPr="00AA3EB8">
              <w:rPr>
                <w:rFonts w:ascii="Verdana" w:hAnsi="Verdana" w:cs="Arial"/>
                <w:szCs w:val="18"/>
              </w:rPr>
              <w:t>Debt securities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4F0C07" w:rsidRDefault="00766764" w:rsidP="00BD0746">
            <w:pPr>
              <w:pStyle w:val="ACText"/>
              <w:ind w:right="-74"/>
              <w:jc w:val="center"/>
              <w:rPr>
                <w:rFonts w:ascii="Verdana" w:hAnsi="Verdana" w:cs="Arial"/>
                <w:sz w:val="18"/>
                <w:szCs w:val="18"/>
              </w:rPr>
            </w:pPr>
            <w:r>
              <w:rPr>
                <w:rFonts w:ascii="Verdana" w:hAnsi="Verdana" w:cs="Arial"/>
                <w:sz w:val="18"/>
                <w:szCs w:val="18"/>
              </w:rPr>
              <w:t xml:space="preserve">    0.3</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4F0C07"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4F0C07">
              <w:rPr>
                <w:rFonts w:ascii="Verdana" w:hAnsi="Verdana" w:cs="Arial"/>
                <w:sz w:val="18"/>
                <w:szCs w:val="18"/>
              </w:rPr>
              <w:t>0.1</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4F0C07"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4F0C07">
              <w:rPr>
                <w:rFonts w:ascii="Verdana" w:hAnsi="Verdana" w:cs="Arial"/>
                <w:sz w:val="18"/>
                <w:szCs w:val="18"/>
              </w:rPr>
              <w:t>0.6</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4F0C07"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4F0C07">
              <w:rPr>
                <w:rFonts w:ascii="Verdana" w:hAnsi="Verdana" w:cs="Arial"/>
                <w:sz w:val="18"/>
                <w:szCs w:val="18"/>
              </w:rPr>
              <w:t>10.3</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4F0C07" w:rsidRDefault="00766764" w:rsidP="00BD0746">
            <w:pPr>
              <w:pStyle w:val="ACText"/>
              <w:ind w:right="-74"/>
              <w:jc w:val="center"/>
              <w:rPr>
                <w:rFonts w:ascii="Verdana" w:hAnsi="Verdana" w:cs="Arial"/>
                <w:sz w:val="18"/>
                <w:szCs w:val="18"/>
              </w:rPr>
            </w:pPr>
            <w:r w:rsidRPr="004F0C07">
              <w:rPr>
                <w:rFonts w:ascii="Verdana" w:hAnsi="Verdana" w:cs="Arial"/>
                <w:sz w:val="18"/>
                <w:szCs w:val="18"/>
              </w:rPr>
              <w:t>120.0</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EE3EC7" w:rsidRDefault="00766764" w:rsidP="00BD0746">
            <w:pPr>
              <w:pStyle w:val="ACText"/>
              <w:ind w:right="-74"/>
              <w:jc w:val="center"/>
              <w:rPr>
                <w:rFonts w:ascii="Verdana" w:hAnsi="Verdana" w:cs="Arial"/>
                <w:sz w:val="18"/>
                <w:szCs w:val="18"/>
              </w:rPr>
            </w:pPr>
            <w:r w:rsidRPr="00EE3EC7">
              <w:rPr>
                <w:rFonts w:ascii="Verdana" w:hAnsi="Verdana" w:cs="Arial"/>
                <w:sz w:val="18"/>
                <w:szCs w:val="18"/>
              </w:rPr>
              <w:t xml:space="preserve">   131.3</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Pr>
                <w:rFonts w:ascii="Verdana" w:hAnsi="Verdana" w:cs="Arial"/>
                <w:szCs w:val="18"/>
              </w:rPr>
              <w:t>Investments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590D81"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590D81">
              <w:rPr>
                <w:rFonts w:ascii="Verdana" w:hAnsi="Verdana" w:cs="Arial"/>
                <w:sz w:val="18"/>
                <w:szCs w:val="18"/>
              </w:rPr>
              <w:t>6.8</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590D81" w:rsidRDefault="00766764" w:rsidP="00BD0746">
            <w:pPr>
              <w:pStyle w:val="ACText"/>
              <w:ind w:right="-74"/>
              <w:jc w:val="center"/>
              <w:rPr>
                <w:rFonts w:ascii="Verdana" w:hAnsi="Verdana" w:cs="Arial"/>
                <w:sz w:val="18"/>
                <w:szCs w:val="18"/>
              </w:rPr>
            </w:pPr>
            <w:r w:rsidRPr="00590D81">
              <w:rPr>
                <w:rFonts w:ascii="Verdana" w:hAnsi="Verdana" w:cs="Arial"/>
                <w:sz w:val="18"/>
                <w:szCs w:val="18"/>
              </w:rPr>
              <w:t xml:space="preserve">     -</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590D81" w:rsidRDefault="00766764" w:rsidP="00BD0746">
            <w:pPr>
              <w:pStyle w:val="ACText"/>
              <w:ind w:right="-74"/>
              <w:jc w:val="center"/>
              <w:rPr>
                <w:rFonts w:ascii="Verdana" w:hAnsi="Verdana" w:cs="Arial"/>
                <w:sz w:val="18"/>
                <w:szCs w:val="18"/>
              </w:rPr>
            </w:pPr>
            <w:r w:rsidRPr="00590D81">
              <w:rPr>
                <w:rFonts w:ascii="Verdana" w:hAnsi="Verdana" w:cs="Arial"/>
                <w:sz w:val="18"/>
                <w:szCs w:val="18"/>
              </w:rPr>
              <w:t xml:space="preserve">     - </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590D81" w:rsidRDefault="00766764" w:rsidP="00BD0746">
            <w:pPr>
              <w:pStyle w:val="ACText"/>
              <w:ind w:right="-74"/>
              <w:jc w:val="center"/>
              <w:rPr>
                <w:rFonts w:ascii="Verdana" w:hAnsi="Verdana" w:cs="Arial"/>
                <w:sz w:val="18"/>
                <w:szCs w:val="18"/>
              </w:rPr>
            </w:pPr>
            <w:r w:rsidRPr="00590D81">
              <w:rPr>
                <w:rFonts w:ascii="Verdana" w:hAnsi="Verdana" w:cs="Arial"/>
                <w:sz w:val="18"/>
                <w:szCs w:val="18"/>
              </w:rPr>
              <w:t xml:space="preserve">       -</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590D81" w:rsidRDefault="00766764" w:rsidP="00BD0746">
            <w:pPr>
              <w:pStyle w:val="ACText"/>
              <w:ind w:right="-74"/>
              <w:jc w:val="center"/>
              <w:rPr>
                <w:rFonts w:ascii="Verdana" w:hAnsi="Verdana" w:cs="Arial"/>
                <w:sz w:val="18"/>
                <w:szCs w:val="18"/>
              </w:rPr>
            </w:pPr>
            <w:r w:rsidRPr="00590D81">
              <w:rPr>
                <w:rFonts w:ascii="Verdana" w:hAnsi="Verdana" w:cs="Arial"/>
                <w:sz w:val="18"/>
                <w:szCs w:val="18"/>
              </w:rPr>
              <w:t xml:space="preserve">       -</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tcPr>
          <w:p w:rsidR="00766764" w:rsidRPr="00EE3EC7" w:rsidRDefault="00766764" w:rsidP="00BD0746">
            <w:pPr>
              <w:pStyle w:val="ACText"/>
              <w:ind w:right="-74"/>
              <w:jc w:val="center"/>
              <w:rPr>
                <w:rFonts w:ascii="Verdana" w:hAnsi="Verdana" w:cs="Arial"/>
                <w:sz w:val="18"/>
                <w:szCs w:val="18"/>
              </w:rPr>
            </w:pPr>
            <w:r w:rsidRPr="00EE3EC7">
              <w:rPr>
                <w:rFonts w:ascii="Verdana" w:hAnsi="Verdana" w:cs="Arial"/>
                <w:sz w:val="18"/>
                <w:szCs w:val="18"/>
              </w:rPr>
              <w:t xml:space="preserve">       6.8</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AA3EB8">
              <w:rPr>
                <w:rFonts w:ascii="Verdana" w:hAnsi="Verdana" w:cs="Arial"/>
                <w:szCs w:val="18"/>
              </w:rPr>
              <w:t>Loans and advances to customers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B46667" w:rsidRDefault="00766764" w:rsidP="00BD0746">
            <w:pPr>
              <w:pStyle w:val="ACText"/>
              <w:ind w:right="-74"/>
              <w:jc w:val="center"/>
              <w:rPr>
                <w:rFonts w:ascii="Verdana" w:hAnsi="Verdana" w:cs="Arial"/>
                <w:sz w:val="18"/>
                <w:szCs w:val="18"/>
              </w:rPr>
            </w:pPr>
            <w:r w:rsidRPr="00B46667">
              <w:rPr>
                <w:rFonts w:ascii="Verdana" w:hAnsi="Verdana" w:cs="Arial"/>
                <w:sz w:val="18"/>
                <w:szCs w:val="18"/>
              </w:rPr>
              <w:t xml:space="preserve">  37.2</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B46667" w:rsidRDefault="00766764" w:rsidP="00BD0746">
            <w:pPr>
              <w:pStyle w:val="ACText"/>
              <w:ind w:right="-74"/>
              <w:jc w:val="center"/>
              <w:rPr>
                <w:rFonts w:ascii="Verdana" w:hAnsi="Verdana" w:cs="Arial"/>
                <w:sz w:val="18"/>
                <w:szCs w:val="18"/>
              </w:rPr>
            </w:pPr>
            <w:r w:rsidRPr="00B46667">
              <w:rPr>
                <w:rFonts w:ascii="Verdana" w:hAnsi="Verdana" w:cs="Arial"/>
                <w:sz w:val="18"/>
                <w:szCs w:val="18"/>
              </w:rPr>
              <w:t xml:space="preserve">   29.3</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B46667" w:rsidRDefault="00766764" w:rsidP="00BD0746">
            <w:pPr>
              <w:pStyle w:val="ACText"/>
              <w:ind w:right="-74"/>
              <w:jc w:val="center"/>
              <w:rPr>
                <w:rFonts w:ascii="Verdana" w:hAnsi="Verdana" w:cs="Arial"/>
                <w:sz w:val="18"/>
                <w:szCs w:val="18"/>
              </w:rPr>
            </w:pPr>
            <w:r w:rsidRPr="00B46667">
              <w:rPr>
                <w:rFonts w:ascii="Verdana" w:hAnsi="Verdana" w:cs="Arial"/>
                <w:sz w:val="18"/>
                <w:szCs w:val="18"/>
              </w:rPr>
              <w:t>19.4</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B46667" w:rsidRDefault="00766764" w:rsidP="00BD0746">
            <w:pPr>
              <w:pStyle w:val="ACText"/>
              <w:ind w:right="-74"/>
              <w:jc w:val="center"/>
              <w:rPr>
                <w:rFonts w:ascii="Verdana" w:hAnsi="Verdana" w:cs="Arial"/>
                <w:sz w:val="18"/>
                <w:szCs w:val="18"/>
              </w:rPr>
            </w:pPr>
            <w:r w:rsidRPr="00B46667">
              <w:rPr>
                <w:rFonts w:ascii="Verdana" w:hAnsi="Verdana" w:cs="Arial"/>
                <w:sz w:val="18"/>
                <w:szCs w:val="18"/>
              </w:rPr>
              <w:t>288.8</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B46667" w:rsidRDefault="00766764" w:rsidP="00BD0746">
            <w:pPr>
              <w:pStyle w:val="ACText"/>
              <w:ind w:right="-74"/>
              <w:jc w:val="center"/>
              <w:rPr>
                <w:rFonts w:ascii="Verdana" w:hAnsi="Verdana" w:cs="Arial"/>
                <w:sz w:val="18"/>
                <w:szCs w:val="18"/>
              </w:rPr>
            </w:pPr>
            <w:r w:rsidRPr="00B46667">
              <w:rPr>
                <w:rFonts w:ascii="Verdana" w:hAnsi="Verdana" w:cs="Arial"/>
                <w:sz w:val="18"/>
                <w:szCs w:val="18"/>
              </w:rPr>
              <w:t>780.3</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tcPr>
          <w:p w:rsidR="00766764" w:rsidRPr="00B46667" w:rsidRDefault="00766764" w:rsidP="00BD0746">
            <w:pPr>
              <w:pStyle w:val="ACText"/>
              <w:ind w:right="-74"/>
              <w:jc w:val="center"/>
              <w:rPr>
                <w:rFonts w:ascii="Verdana" w:hAnsi="Verdana" w:cs="Arial"/>
                <w:sz w:val="18"/>
                <w:szCs w:val="18"/>
              </w:rPr>
            </w:pPr>
            <w:r w:rsidRPr="00B46667">
              <w:rPr>
                <w:rFonts w:ascii="Verdana" w:hAnsi="Verdana" w:cs="Arial"/>
                <w:sz w:val="18"/>
                <w:szCs w:val="18"/>
              </w:rPr>
              <w:t xml:space="preserve"> 1,155.0</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AA3EB8">
              <w:rPr>
                <w:rFonts w:ascii="Verdana" w:hAnsi="Verdana" w:cs="Arial"/>
                <w:szCs w:val="18"/>
              </w:rPr>
              <w:t>Loans and advances to credit institutions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783EC2" w:rsidRDefault="00766764" w:rsidP="00BD0746">
            <w:pPr>
              <w:pStyle w:val="ACText"/>
              <w:ind w:right="-74"/>
              <w:jc w:val="center"/>
              <w:rPr>
                <w:rFonts w:ascii="Verdana" w:hAnsi="Verdana" w:cs="Arial"/>
                <w:sz w:val="18"/>
                <w:szCs w:val="18"/>
              </w:rPr>
            </w:pPr>
            <w:r>
              <w:rPr>
                <w:rFonts w:ascii="Verdana" w:hAnsi="Verdana" w:cs="Arial"/>
                <w:sz w:val="18"/>
                <w:szCs w:val="18"/>
              </w:rPr>
              <w:t>135.0</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783EC2"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783EC2"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783EC2"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783EC2" w:rsidRDefault="00766764" w:rsidP="00BD0746">
            <w:pPr>
              <w:pStyle w:val="ACText"/>
              <w:ind w:right="-74"/>
              <w:jc w:val="center"/>
              <w:rPr>
                <w:rFonts w:ascii="Verdana" w:hAnsi="Verdana" w:cs="Arial"/>
                <w:sz w:val="18"/>
                <w:szCs w:val="18"/>
              </w:rPr>
            </w:pPr>
            <w:r w:rsidRPr="00783EC2">
              <w:rPr>
                <w:rFonts w:ascii="Verdana" w:hAnsi="Verdana" w:cs="Arial"/>
                <w:sz w:val="18"/>
                <w:szCs w:val="18"/>
              </w:rPr>
              <w:t>-</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EE3EC7" w:rsidRDefault="00766764" w:rsidP="00BD0746">
            <w:pPr>
              <w:pStyle w:val="ACText"/>
              <w:ind w:right="-74"/>
              <w:jc w:val="center"/>
              <w:rPr>
                <w:rFonts w:ascii="Verdana" w:hAnsi="Verdana" w:cs="Arial"/>
                <w:sz w:val="18"/>
                <w:szCs w:val="18"/>
              </w:rPr>
            </w:pPr>
            <w:r w:rsidRPr="00EE3EC7">
              <w:rPr>
                <w:rFonts w:ascii="Verdana" w:hAnsi="Verdana" w:cs="Arial"/>
                <w:sz w:val="18"/>
                <w:szCs w:val="18"/>
              </w:rPr>
              <w:t xml:space="preserve">   135.0</w:t>
            </w:r>
          </w:p>
        </w:tc>
      </w:tr>
      <w:tr w:rsidR="008D05D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8D05D4" w:rsidRPr="00AA3EB8" w:rsidRDefault="008D05D4" w:rsidP="00BD0746">
            <w:pPr>
              <w:pStyle w:val="Tabletext"/>
              <w:ind w:left="0" w:firstLine="0"/>
              <w:jc w:val="left"/>
              <w:rPr>
                <w:rFonts w:ascii="Verdana" w:hAnsi="Verdana" w:cs="Arial"/>
                <w:szCs w:val="18"/>
              </w:rPr>
            </w:pP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8D05D4" w:rsidRDefault="008D05D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8D05D4" w:rsidRDefault="008D05D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8D05D4" w:rsidRDefault="008D05D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8D05D4" w:rsidRDefault="008D05D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8D05D4" w:rsidRPr="00783EC2" w:rsidRDefault="008D05D4" w:rsidP="00BD0746">
            <w:pPr>
              <w:pStyle w:val="ACText"/>
              <w:ind w:right="-74"/>
              <w:jc w:val="center"/>
              <w:rPr>
                <w:rFonts w:ascii="Verdana" w:hAnsi="Verdana" w:cs="Arial"/>
                <w:sz w:val="18"/>
                <w:szCs w:val="18"/>
              </w:rPr>
            </w:pP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8D05D4" w:rsidRPr="00EE3EC7" w:rsidRDefault="008D05D4" w:rsidP="00BD0746">
            <w:pPr>
              <w:pStyle w:val="ACText"/>
              <w:ind w:right="-74"/>
              <w:jc w:val="center"/>
              <w:rPr>
                <w:rFonts w:ascii="Verdana" w:hAnsi="Verdana" w:cs="Arial"/>
                <w:sz w:val="18"/>
                <w:szCs w:val="18"/>
              </w:rPr>
            </w:pPr>
          </w:p>
        </w:tc>
      </w:tr>
      <w:tr w:rsidR="00766764" w:rsidRPr="00AA3EB8" w:rsidTr="00BD0746">
        <w:trPr>
          <w:trHeight w:val="45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Tabletext"/>
              <w:ind w:left="0" w:firstLine="0"/>
              <w:jc w:val="left"/>
              <w:rPr>
                <w:rFonts w:ascii="Verdana" w:hAnsi="Verdana" w:cs="Arial"/>
                <w:color w:val="FFCB05"/>
                <w:szCs w:val="18"/>
              </w:rPr>
            </w:pPr>
            <w:r w:rsidRPr="00AA3EB8">
              <w:rPr>
                <w:rFonts w:ascii="Verdana" w:hAnsi="Verdana" w:cs="Arial"/>
                <w:b/>
                <w:color w:val="FFCB05"/>
                <w:szCs w:val="18"/>
              </w:rPr>
              <w:lastRenderedPageBreak/>
              <w:t>Total financial assets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B46667" w:rsidRDefault="00766764" w:rsidP="00BD0746">
            <w:pPr>
              <w:pStyle w:val="ACText"/>
              <w:spacing w:before="240" w:after="240"/>
              <w:ind w:right="-74"/>
              <w:jc w:val="center"/>
              <w:rPr>
                <w:rFonts w:ascii="Verdana" w:hAnsi="Verdana" w:cs="Arial"/>
                <w:b/>
                <w:color w:val="FFCB05"/>
                <w:sz w:val="18"/>
                <w:szCs w:val="18"/>
              </w:rPr>
            </w:pPr>
            <w:r w:rsidRPr="00B46667">
              <w:rPr>
                <w:rFonts w:ascii="Verdana" w:hAnsi="Verdana" w:cs="Arial"/>
                <w:b/>
                <w:color w:val="FFCB05"/>
                <w:sz w:val="18"/>
                <w:szCs w:val="18"/>
              </w:rPr>
              <w:t>270.4</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B46667" w:rsidRDefault="00766764" w:rsidP="00BD0746">
            <w:pPr>
              <w:pStyle w:val="ACText"/>
              <w:spacing w:before="240" w:after="240"/>
              <w:ind w:right="-74"/>
              <w:jc w:val="center"/>
              <w:rPr>
                <w:rFonts w:ascii="Verdana" w:hAnsi="Verdana" w:cs="Arial"/>
                <w:b/>
                <w:color w:val="FFCB05"/>
                <w:sz w:val="18"/>
                <w:szCs w:val="18"/>
              </w:rPr>
            </w:pPr>
            <w:r w:rsidRPr="00B46667">
              <w:rPr>
                <w:rFonts w:ascii="Verdana" w:hAnsi="Verdana" w:cs="Arial"/>
                <w:b/>
                <w:color w:val="FFCB05"/>
                <w:sz w:val="18"/>
                <w:szCs w:val="18"/>
              </w:rPr>
              <w:t xml:space="preserve">  36.9</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B46667" w:rsidRDefault="00766764" w:rsidP="00BD0746">
            <w:pPr>
              <w:pStyle w:val="ACText"/>
              <w:spacing w:before="240" w:after="240"/>
              <w:ind w:right="-74"/>
              <w:jc w:val="center"/>
              <w:rPr>
                <w:rFonts w:ascii="Verdana" w:hAnsi="Verdana" w:cs="Arial"/>
                <w:b/>
                <w:color w:val="FFCB05"/>
                <w:sz w:val="18"/>
                <w:szCs w:val="18"/>
              </w:rPr>
            </w:pPr>
            <w:r w:rsidRPr="00B46667">
              <w:rPr>
                <w:rFonts w:ascii="Verdana" w:hAnsi="Verdana" w:cs="Arial"/>
                <w:b/>
                <w:color w:val="FFCB05"/>
                <w:sz w:val="18"/>
                <w:szCs w:val="18"/>
              </w:rPr>
              <w:t>29.2</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B46667" w:rsidRDefault="00766764" w:rsidP="00BD0746">
            <w:pPr>
              <w:pStyle w:val="ACText"/>
              <w:spacing w:before="240" w:after="240"/>
              <w:ind w:right="-74"/>
              <w:jc w:val="center"/>
              <w:rPr>
                <w:rFonts w:ascii="Verdana" w:hAnsi="Verdana" w:cs="Arial"/>
                <w:b/>
                <w:color w:val="FFCB05"/>
                <w:sz w:val="18"/>
                <w:szCs w:val="18"/>
              </w:rPr>
            </w:pPr>
            <w:r w:rsidRPr="00B46667">
              <w:rPr>
                <w:rFonts w:ascii="Verdana" w:hAnsi="Verdana" w:cs="Arial"/>
                <w:b/>
                <w:color w:val="FFCB05"/>
                <w:sz w:val="18"/>
                <w:szCs w:val="18"/>
              </w:rPr>
              <w:t>365.2</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B46667" w:rsidRDefault="00766764" w:rsidP="00BD0746">
            <w:pPr>
              <w:pStyle w:val="ACText"/>
              <w:spacing w:before="240" w:after="240"/>
              <w:ind w:right="-74"/>
              <w:jc w:val="center"/>
              <w:rPr>
                <w:rFonts w:ascii="Verdana" w:hAnsi="Verdana" w:cs="Arial"/>
                <w:b/>
                <w:color w:val="FFCB05"/>
                <w:sz w:val="18"/>
                <w:szCs w:val="18"/>
              </w:rPr>
            </w:pPr>
            <w:r w:rsidRPr="00B46667">
              <w:rPr>
                <w:rFonts w:ascii="Verdana" w:hAnsi="Verdana" w:cs="Arial"/>
                <w:b/>
                <w:color w:val="FFCB05"/>
                <w:sz w:val="18"/>
                <w:szCs w:val="18"/>
              </w:rPr>
              <w:t>910.7</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223B47"/>
            <w:vAlign w:val="center"/>
          </w:tcPr>
          <w:p w:rsidR="00766764" w:rsidRPr="00B46667" w:rsidRDefault="00766764" w:rsidP="00BD0746">
            <w:pPr>
              <w:pStyle w:val="ACText"/>
              <w:spacing w:before="240" w:after="240"/>
              <w:ind w:right="-74"/>
              <w:jc w:val="center"/>
              <w:rPr>
                <w:rFonts w:ascii="Verdana" w:hAnsi="Verdana" w:cs="Arial"/>
                <w:b/>
                <w:color w:val="FFCB05"/>
                <w:sz w:val="18"/>
                <w:szCs w:val="18"/>
              </w:rPr>
            </w:pPr>
            <w:r w:rsidRPr="00B46667">
              <w:rPr>
                <w:rFonts w:ascii="Verdana" w:hAnsi="Verdana" w:cs="Arial"/>
                <w:b/>
                <w:color w:val="FFCB05"/>
                <w:sz w:val="18"/>
                <w:szCs w:val="18"/>
              </w:rPr>
              <w:t>1,612.4</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jc w:val="left"/>
              <w:rPr>
                <w:rFonts w:ascii="Verdana" w:hAnsi="Verdana" w:cs="Arial"/>
                <w:b/>
                <w:szCs w:val="18"/>
              </w:rPr>
            </w:pPr>
            <w:r w:rsidRPr="00AA3EB8">
              <w:rPr>
                <w:rFonts w:ascii="Verdana" w:hAnsi="Verdana" w:cs="Arial"/>
                <w:b/>
                <w:szCs w:val="18"/>
              </w:rPr>
              <w:t>Liabilities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31"/>
              <w:jc w:val="center"/>
              <w:rPr>
                <w:rFonts w:ascii="Verdana" w:hAnsi="Verdana" w:cs="Arial"/>
                <w:b/>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b/>
                <w:sz w:val="18"/>
                <w:szCs w:val="18"/>
              </w:rPr>
            </w:pP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b/>
                <w:sz w:val="18"/>
                <w:szCs w:val="18"/>
              </w:rPr>
            </w:pP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b/>
                <w:szCs w:val="18"/>
              </w:rPr>
            </w:pPr>
            <w:r w:rsidRPr="00AA3EB8">
              <w:rPr>
                <w:rFonts w:ascii="Verdana" w:hAnsi="Verdana" w:cs="Arial"/>
                <w:szCs w:val="18"/>
              </w:rPr>
              <w:t>Deposit from banks</w:t>
            </w:r>
          </w:p>
        </w:tc>
        <w:tc>
          <w:tcPr>
            <w:tcW w:w="59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A48E2"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2A48E2">
              <w:rPr>
                <w:rFonts w:ascii="Verdana" w:hAnsi="Verdana" w:cs="Arial"/>
                <w:sz w:val="18"/>
                <w:szCs w:val="18"/>
              </w:rPr>
              <w:t>2.8</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A48E2"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2A48E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C72E3" w:rsidRDefault="00766764" w:rsidP="00BD0746">
            <w:pPr>
              <w:pStyle w:val="ACText"/>
              <w:ind w:right="-74"/>
              <w:jc w:val="center"/>
              <w:rPr>
                <w:rFonts w:ascii="Verdana" w:hAnsi="Verdana" w:cs="Arial"/>
                <w:sz w:val="18"/>
                <w:szCs w:val="18"/>
                <w:highlight w:val="green"/>
              </w:rPr>
            </w:pPr>
            <w:r>
              <w:rPr>
                <w:rFonts w:ascii="Verdana" w:hAnsi="Verdana" w:cs="Arial"/>
                <w:sz w:val="18"/>
                <w:szCs w:val="18"/>
              </w:rPr>
              <w:t xml:space="preserve">      </w:t>
            </w:r>
            <w:r w:rsidRPr="008E0F4B">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C72E3" w:rsidRDefault="00766764" w:rsidP="00BD0746">
            <w:pPr>
              <w:pStyle w:val="ACText"/>
              <w:ind w:right="-74"/>
              <w:jc w:val="center"/>
              <w:rPr>
                <w:rFonts w:ascii="Verdana" w:hAnsi="Verdana" w:cs="Arial"/>
                <w:sz w:val="18"/>
                <w:szCs w:val="18"/>
                <w:highlight w:val="green"/>
              </w:rPr>
            </w:pPr>
            <w:r>
              <w:rPr>
                <w:rFonts w:ascii="Verdana" w:hAnsi="Verdana" w:cs="Arial"/>
                <w:sz w:val="18"/>
                <w:szCs w:val="18"/>
              </w:rPr>
              <w:t xml:space="preserve">      </w:t>
            </w:r>
            <w:r w:rsidRPr="008E0F4B">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C72E3" w:rsidRDefault="00766764" w:rsidP="00BD0746">
            <w:pPr>
              <w:pStyle w:val="ACText"/>
              <w:ind w:right="-74"/>
              <w:jc w:val="center"/>
              <w:rPr>
                <w:rFonts w:ascii="Verdana" w:hAnsi="Verdana" w:cs="Arial"/>
                <w:sz w:val="18"/>
                <w:szCs w:val="18"/>
                <w:highlight w:val="green"/>
              </w:rPr>
            </w:pPr>
            <w:r>
              <w:rPr>
                <w:rFonts w:ascii="Verdana" w:hAnsi="Verdana" w:cs="Arial"/>
                <w:sz w:val="18"/>
                <w:szCs w:val="18"/>
              </w:rPr>
              <w:t xml:space="preserve">      </w:t>
            </w:r>
            <w:r w:rsidRPr="008E0F4B">
              <w:rPr>
                <w:rFonts w:ascii="Verdana" w:hAnsi="Verdana" w:cs="Arial"/>
                <w:sz w:val="18"/>
                <w:szCs w:val="18"/>
              </w:rPr>
              <w:t>-</w:t>
            </w:r>
          </w:p>
        </w:tc>
        <w:tc>
          <w:tcPr>
            <w:tcW w:w="70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4840B7" w:rsidRDefault="00766764" w:rsidP="00BD0746">
            <w:pPr>
              <w:pStyle w:val="ACText"/>
              <w:ind w:right="-74"/>
              <w:jc w:val="center"/>
              <w:rPr>
                <w:rFonts w:ascii="Verdana" w:hAnsi="Verdana" w:cs="Arial"/>
                <w:sz w:val="18"/>
                <w:szCs w:val="18"/>
              </w:rPr>
            </w:pPr>
            <w:r w:rsidRPr="004840B7">
              <w:rPr>
                <w:rFonts w:ascii="Verdana" w:hAnsi="Verdana" w:cs="Arial"/>
                <w:sz w:val="18"/>
                <w:szCs w:val="18"/>
              </w:rPr>
              <w:t xml:space="preserve">      2.8</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AA3EB8">
              <w:rPr>
                <w:rFonts w:ascii="Verdana" w:hAnsi="Verdana" w:cs="Arial"/>
                <w:szCs w:val="18"/>
              </w:rPr>
              <w:t>Deposit from customers</w:t>
            </w:r>
          </w:p>
        </w:tc>
        <w:tc>
          <w:tcPr>
            <w:tcW w:w="59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ACText"/>
              <w:ind w:right="-74"/>
              <w:rPr>
                <w:rFonts w:ascii="Verdana" w:hAnsi="Verdana" w:cs="Arial"/>
                <w:sz w:val="18"/>
                <w:szCs w:val="18"/>
              </w:rPr>
            </w:pPr>
            <w:r w:rsidRPr="009D0452">
              <w:rPr>
                <w:rFonts w:ascii="Verdana" w:hAnsi="Verdana" w:cs="Arial"/>
                <w:sz w:val="18"/>
                <w:szCs w:val="18"/>
              </w:rPr>
              <w:t xml:space="preserve">  357.4</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ACText"/>
              <w:ind w:right="-74"/>
              <w:jc w:val="center"/>
              <w:rPr>
                <w:rFonts w:ascii="Verdana" w:hAnsi="Verdana" w:cs="Arial"/>
                <w:sz w:val="18"/>
                <w:szCs w:val="18"/>
              </w:rPr>
            </w:pPr>
            <w:r w:rsidRPr="009D0452">
              <w:rPr>
                <w:rFonts w:ascii="Verdana" w:hAnsi="Verdana" w:cs="Arial"/>
                <w:sz w:val="18"/>
                <w:szCs w:val="18"/>
              </w:rPr>
              <w:t>114.0</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ACText"/>
              <w:ind w:right="-74"/>
              <w:jc w:val="center"/>
              <w:rPr>
                <w:rFonts w:ascii="Verdana" w:hAnsi="Verdana" w:cs="Arial"/>
                <w:sz w:val="18"/>
                <w:szCs w:val="18"/>
              </w:rPr>
            </w:pPr>
            <w:r w:rsidRPr="009D0452">
              <w:rPr>
                <w:rFonts w:ascii="Verdana" w:hAnsi="Verdana" w:cs="Arial"/>
                <w:sz w:val="18"/>
                <w:szCs w:val="18"/>
              </w:rPr>
              <w:t>252.3</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ACText"/>
              <w:ind w:right="-74"/>
              <w:jc w:val="center"/>
              <w:rPr>
                <w:rFonts w:ascii="Verdana" w:hAnsi="Verdana" w:cs="Arial"/>
                <w:sz w:val="18"/>
                <w:szCs w:val="18"/>
              </w:rPr>
            </w:pPr>
            <w:r w:rsidRPr="009D0452">
              <w:rPr>
                <w:rFonts w:ascii="Verdana" w:hAnsi="Verdana" w:cs="Arial"/>
                <w:sz w:val="18"/>
                <w:szCs w:val="18"/>
              </w:rPr>
              <w:t>214.8</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ACText"/>
              <w:ind w:right="-74"/>
              <w:jc w:val="center"/>
              <w:rPr>
                <w:rFonts w:ascii="Verdana" w:hAnsi="Verdana" w:cs="Arial"/>
                <w:sz w:val="18"/>
                <w:szCs w:val="18"/>
              </w:rPr>
            </w:pPr>
            <w:r w:rsidRPr="009D0452">
              <w:rPr>
                <w:rFonts w:ascii="Verdana" w:hAnsi="Verdana" w:cs="Arial"/>
                <w:sz w:val="18"/>
                <w:szCs w:val="18"/>
              </w:rPr>
              <w:t xml:space="preserve">       -</w:t>
            </w:r>
          </w:p>
        </w:tc>
        <w:tc>
          <w:tcPr>
            <w:tcW w:w="70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4840B7" w:rsidRDefault="00766764" w:rsidP="00BD0746">
            <w:pPr>
              <w:pStyle w:val="ACText"/>
              <w:ind w:right="-74"/>
              <w:jc w:val="center"/>
              <w:rPr>
                <w:rFonts w:ascii="Verdana" w:hAnsi="Verdana" w:cs="Arial"/>
                <w:sz w:val="18"/>
                <w:szCs w:val="18"/>
              </w:rPr>
            </w:pPr>
            <w:r>
              <w:rPr>
                <w:rFonts w:ascii="Verdana" w:hAnsi="Verdana" w:cs="Arial"/>
                <w:sz w:val="18"/>
                <w:szCs w:val="18"/>
              </w:rPr>
              <w:t xml:space="preserve">  938.5</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AA3EB8">
              <w:rPr>
                <w:rFonts w:ascii="Verdana" w:hAnsi="Verdana" w:cs="Arial"/>
                <w:szCs w:val="18"/>
              </w:rPr>
              <w:t>Derivative financial instruments</w:t>
            </w:r>
          </w:p>
        </w:tc>
        <w:tc>
          <w:tcPr>
            <w:tcW w:w="59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0.3</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0.2</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0.7</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11.0</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120.1</w:t>
            </w:r>
          </w:p>
        </w:tc>
        <w:tc>
          <w:tcPr>
            <w:tcW w:w="70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132.3</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FC00B5">
              <w:rPr>
                <w:rFonts w:ascii="Verdana" w:hAnsi="Verdana" w:cs="Arial"/>
                <w:szCs w:val="18"/>
              </w:rPr>
              <w:t>Other liabilities</w:t>
            </w:r>
          </w:p>
        </w:tc>
        <w:tc>
          <w:tcPr>
            <w:tcW w:w="59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rPr>
                <w:rFonts w:ascii="Verdana" w:hAnsi="Verdana" w:cs="Arial"/>
                <w:sz w:val="18"/>
                <w:szCs w:val="18"/>
              </w:rPr>
            </w:pPr>
            <w:r w:rsidRPr="00CC3FCA">
              <w:rPr>
                <w:rFonts w:ascii="Verdana" w:hAnsi="Verdana" w:cs="Arial"/>
                <w:sz w:val="18"/>
                <w:szCs w:val="18"/>
              </w:rPr>
              <w:t xml:space="preserve">      3.1</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w:t>
            </w:r>
          </w:p>
        </w:tc>
        <w:tc>
          <w:tcPr>
            <w:tcW w:w="70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8"/>
                <w:szCs w:val="18"/>
              </w:rPr>
            </w:pPr>
            <w:r w:rsidRPr="00CC3FCA">
              <w:rPr>
                <w:rFonts w:ascii="Verdana" w:hAnsi="Verdana" w:cs="Arial"/>
                <w:sz w:val="18"/>
                <w:szCs w:val="18"/>
              </w:rPr>
              <w:t xml:space="preserve">      3.1</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r w:rsidRPr="00FC00B5">
              <w:rPr>
                <w:rFonts w:ascii="Verdana" w:hAnsi="Verdana" w:cs="Arial"/>
                <w:szCs w:val="18"/>
              </w:rPr>
              <w:t>Accruals and deferred income</w:t>
            </w:r>
          </w:p>
        </w:tc>
        <w:tc>
          <w:tcPr>
            <w:tcW w:w="59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Pr>
                <w:rFonts w:ascii="Verdana" w:hAnsi="Verdana" w:cs="Arial"/>
                <w:sz w:val="18"/>
                <w:szCs w:val="18"/>
              </w:rPr>
              <w:t xml:space="preserve"> 3.9</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Pr>
                <w:rFonts w:ascii="Verdana" w:hAnsi="Verdana" w:cs="Arial"/>
                <w:sz w:val="18"/>
                <w:szCs w:val="18"/>
              </w:rPr>
              <w:t xml:space="preserve">       </w:t>
            </w:r>
            <w:r w:rsidRPr="00783EC2">
              <w:rPr>
                <w:rFonts w:ascii="Verdana" w:hAnsi="Verdana" w:cs="Arial"/>
                <w:sz w:val="18"/>
                <w:szCs w:val="18"/>
              </w:rPr>
              <w:t>-</w:t>
            </w:r>
          </w:p>
        </w:tc>
        <w:tc>
          <w:tcPr>
            <w:tcW w:w="70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276F25" w:rsidRDefault="00766764" w:rsidP="00BD0746">
            <w:pPr>
              <w:pStyle w:val="ACText"/>
              <w:ind w:right="-74"/>
              <w:jc w:val="center"/>
              <w:rPr>
                <w:rFonts w:ascii="Verdana" w:hAnsi="Verdana" w:cs="Arial"/>
                <w:sz w:val="18"/>
                <w:szCs w:val="18"/>
              </w:rPr>
            </w:pPr>
            <w:r>
              <w:rPr>
                <w:rFonts w:ascii="Verdana" w:hAnsi="Verdana" w:cs="Arial"/>
                <w:sz w:val="18"/>
                <w:szCs w:val="18"/>
              </w:rPr>
              <w:t xml:space="preserve">      3.9</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Tabletext"/>
              <w:ind w:left="0" w:firstLine="0"/>
              <w:jc w:val="left"/>
              <w:rPr>
                <w:rFonts w:ascii="Verdana" w:hAnsi="Verdana" w:cs="Arial"/>
                <w:color w:val="FFCB05"/>
                <w:szCs w:val="18"/>
              </w:rPr>
            </w:pPr>
            <w:r w:rsidRPr="00AA3EB8">
              <w:rPr>
                <w:rFonts w:ascii="Verdana" w:hAnsi="Verdana" w:cs="Arial"/>
                <w:b/>
                <w:color w:val="FFCB05"/>
                <w:szCs w:val="18"/>
              </w:rPr>
              <w:t>Total financial liabilities</w:t>
            </w: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spacing w:before="240" w:after="240"/>
              <w:ind w:right="-74"/>
              <w:rPr>
                <w:rFonts w:ascii="Verdana" w:hAnsi="Verdana" w:cs="Arial"/>
                <w:b/>
                <w:color w:val="FFCB05"/>
                <w:sz w:val="18"/>
                <w:szCs w:val="18"/>
              </w:rPr>
            </w:pPr>
            <w:r>
              <w:rPr>
                <w:rFonts w:ascii="Verdana" w:hAnsi="Verdana" w:cs="Arial"/>
                <w:b/>
                <w:color w:val="FFCB05"/>
                <w:sz w:val="18"/>
                <w:szCs w:val="18"/>
              </w:rPr>
              <w:t xml:space="preserve"> 367.5</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spacing w:before="240" w:after="240"/>
              <w:ind w:right="-74"/>
              <w:jc w:val="center"/>
              <w:rPr>
                <w:rFonts w:ascii="Verdana" w:hAnsi="Verdana" w:cs="Arial"/>
                <w:b/>
                <w:color w:val="FFCB05"/>
                <w:sz w:val="18"/>
                <w:szCs w:val="18"/>
              </w:rPr>
            </w:pPr>
            <w:r>
              <w:rPr>
                <w:rFonts w:ascii="Verdana" w:hAnsi="Verdana" w:cs="Arial"/>
                <w:b/>
                <w:color w:val="FFCB05"/>
                <w:sz w:val="18"/>
                <w:szCs w:val="18"/>
              </w:rPr>
              <w:t>114.2</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spacing w:before="240" w:after="240"/>
              <w:ind w:right="-74"/>
              <w:jc w:val="center"/>
              <w:rPr>
                <w:rFonts w:ascii="Verdana" w:hAnsi="Verdana" w:cs="Arial"/>
                <w:b/>
                <w:color w:val="FFCB05"/>
                <w:sz w:val="18"/>
                <w:szCs w:val="18"/>
              </w:rPr>
            </w:pPr>
            <w:r>
              <w:rPr>
                <w:rFonts w:ascii="Verdana" w:hAnsi="Verdana" w:cs="Arial"/>
                <w:b/>
                <w:color w:val="FFCB05"/>
                <w:sz w:val="18"/>
                <w:szCs w:val="18"/>
              </w:rPr>
              <w:t xml:space="preserve"> 253.0</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spacing w:before="240" w:after="240"/>
              <w:ind w:right="-74"/>
              <w:jc w:val="center"/>
              <w:rPr>
                <w:rFonts w:ascii="Verdana" w:hAnsi="Verdana" w:cs="Arial"/>
                <w:b/>
                <w:color w:val="FFCB05"/>
                <w:sz w:val="18"/>
                <w:szCs w:val="18"/>
              </w:rPr>
            </w:pPr>
            <w:r>
              <w:rPr>
                <w:rFonts w:ascii="Verdana" w:hAnsi="Verdana" w:cs="Arial"/>
                <w:b/>
                <w:color w:val="FFCB05"/>
                <w:sz w:val="18"/>
                <w:szCs w:val="18"/>
              </w:rPr>
              <w:t>225.8</w:t>
            </w: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spacing w:before="240" w:after="240"/>
              <w:ind w:right="-74"/>
              <w:jc w:val="center"/>
              <w:rPr>
                <w:rFonts w:ascii="Verdana" w:hAnsi="Verdana" w:cs="Arial"/>
                <w:b/>
                <w:color w:val="FFCB05"/>
                <w:sz w:val="18"/>
                <w:szCs w:val="18"/>
              </w:rPr>
            </w:pPr>
            <w:r>
              <w:rPr>
                <w:rFonts w:ascii="Verdana" w:hAnsi="Verdana" w:cs="Arial"/>
                <w:b/>
                <w:color w:val="FFCB05"/>
                <w:sz w:val="18"/>
                <w:szCs w:val="18"/>
              </w:rPr>
              <w:t>120</w:t>
            </w:r>
            <w:r w:rsidRPr="009D0452">
              <w:rPr>
                <w:rFonts w:ascii="Verdana" w:hAnsi="Verdana" w:cs="Arial"/>
                <w:b/>
                <w:color w:val="FFCB05"/>
                <w:sz w:val="18"/>
                <w:szCs w:val="18"/>
              </w:rPr>
              <w:t>.1</w:t>
            </w: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223B47"/>
            <w:vAlign w:val="center"/>
          </w:tcPr>
          <w:p w:rsidR="00766764" w:rsidRPr="00EE3EC7" w:rsidRDefault="00766764" w:rsidP="00BD0746">
            <w:pPr>
              <w:pStyle w:val="ACText"/>
              <w:spacing w:before="240" w:after="240"/>
              <w:ind w:right="-74"/>
              <w:rPr>
                <w:rFonts w:ascii="Verdana" w:hAnsi="Verdana" w:cs="Arial"/>
                <w:b/>
                <w:color w:val="FFCB05"/>
                <w:sz w:val="18"/>
                <w:szCs w:val="18"/>
                <w:highlight w:val="green"/>
              </w:rPr>
            </w:pPr>
            <w:r>
              <w:rPr>
                <w:rFonts w:ascii="Verdana" w:hAnsi="Verdana" w:cs="Arial"/>
                <w:b/>
                <w:color w:val="FFCB05"/>
                <w:sz w:val="18"/>
                <w:szCs w:val="18"/>
              </w:rPr>
              <w:t xml:space="preserve">   1,080.6</w:t>
            </w:r>
          </w:p>
        </w:tc>
      </w:tr>
      <w:tr w:rsidR="00766764" w:rsidRPr="00AA3EB8" w:rsidTr="00BD0746">
        <w:trPr>
          <w:trHeight w:val="336"/>
        </w:trPr>
        <w:tc>
          <w:tcPr>
            <w:tcW w:w="132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Tabletext"/>
              <w:ind w:left="0" w:firstLine="0"/>
              <w:jc w:val="left"/>
              <w:rPr>
                <w:rFonts w:ascii="Verdana" w:hAnsi="Verdana" w:cs="Arial"/>
                <w:szCs w:val="18"/>
              </w:rPr>
            </w:pPr>
          </w:p>
        </w:tc>
        <w:tc>
          <w:tcPr>
            <w:tcW w:w="5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31"/>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c>
          <w:tcPr>
            <w:tcW w:w="5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c>
          <w:tcPr>
            <w:tcW w:w="703"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sz w:val="18"/>
                <w:szCs w:val="18"/>
              </w:rPr>
            </w:pPr>
          </w:p>
        </w:tc>
      </w:tr>
      <w:tr w:rsidR="00766764" w:rsidRPr="00AA3EB8" w:rsidTr="00BD0746">
        <w:trPr>
          <w:trHeight w:val="491"/>
        </w:trPr>
        <w:tc>
          <w:tcPr>
            <w:tcW w:w="132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AA3EB8" w:rsidRDefault="00766764" w:rsidP="00BD0746">
            <w:pPr>
              <w:pStyle w:val="Tabletext"/>
              <w:ind w:left="0" w:firstLine="0"/>
              <w:jc w:val="left"/>
              <w:rPr>
                <w:rFonts w:ascii="Verdana" w:hAnsi="Verdana" w:cs="Arial"/>
                <w:color w:val="FFCB05"/>
                <w:szCs w:val="18"/>
              </w:rPr>
            </w:pPr>
            <w:r w:rsidRPr="00AA3EB8">
              <w:rPr>
                <w:rFonts w:ascii="Verdana" w:hAnsi="Verdana" w:cs="Arial"/>
                <w:b/>
                <w:color w:val="FFCB05"/>
                <w:szCs w:val="18"/>
              </w:rPr>
              <w:t xml:space="preserve">Loan </w:t>
            </w:r>
            <w:r>
              <w:rPr>
                <w:rFonts w:ascii="Verdana" w:hAnsi="Verdana" w:cs="Arial"/>
                <w:b/>
                <w:color w:val="FFCB05"/>
                <w:szCs w:val="18"/>
              </w:rPr>
              <w:t>c</w:t>
            </w:r>
            <w:r w:rsidRPr="00AA3EB8">
              <w:rPr>
                <w:rFonts w:ascii="Verdana" w:hAnsi="Verdana" w:cs="Arial"/>
                <w:b/>
                <w:color w:val="FFCB05"/>
                <w:szCs w:val="18"/>
              </w:rPr>
              <w:t>ommitments liabilities</w:t>
            </w:r>
          </w:p>
        </w:tc>
        <w:tc>
          <w:tcPr>
            <w:tcW w:w="59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276F25" w:rsidRDefault="00766764" w:rsidP="00BD0746">
            <w:pPr>
              <w:pStyle w:val="ACText"/>
              <w:spacing w:before="240" w:after="240"/>
              <w:ind w:right="-74"/>
              <w:rPr>
                <w:rFonts w:ascii="Verdana" w:hAnsi="Verdana" w:cs="Arial"/>
                <w:b/>
                <w:color w:val="FFCB05"/>
                <w:sz w:val="18"/>
                <w:szCs w:val="18"/>
              </w:rPr>
            </w:pPr>
            <w:r>
              <w:rPr>
                <w:rFonts w:ascii="Verdana" w:hAnsi="Verdana" w:cs="Arial"/>
                <w:b/>
                <w:color w:val="FFCB05"/>
                <w:sz w:val="18"/>
                <w:szCs w:val="18"/>
              </w:rPr>
              <w:t xml:space="preserve">   </w:t>
            </w:r>
            <w:r w:rsidRPr="00276F25">
              <w:rPr>
                <w:rFonts w:ascii="Verdana" w:hAnsi="Verdana" w:cs="Arial"/>
                <w:b/>
                <w:color w:val="FFCB05"/>
                <w:sz w:val="18"/>
                <w:szCs w:val="18"/>
              </w:rPr>
              <w:t>82.2</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276F25" w:rsidRDefault="00766764" w:rsidP="00BD0746">
            <w:pPr>
              <w:pStyle w:val="ACText"/>
              <w:spacing w:before="240" w:after="240"/>
              <w:ind w:right="-74"/>
              <w:jc w:val="center"/>
              <w:rPr>
                <w:rFonts w:ascii="Verdana" w:hAnsi="Verdana" w:cs="Arial"/>
                <w:b/>
                <w:color w:val="FFCB05"/>
                <w:sz w:val="18"/>
                <w:szCs w:val="18"/>
              </w:rPr>
            </w:pPr>
            <w:r w:rsidRPr="00276F25">
              <w:rPr>
                <w:rFonts w:ascii="Verdana" w:hAnsi="Verdana" w:cs="Arial"/>
                <w:b/>
                <w:color w:val="FFCB05"/>
                <w:sz w:val="18"/>
                <w:szCs w:val="18"/>
              </w:rPr>
              <w:t>0.8</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276F25" w:rsidRDefault="00766764" w:rsidP="00BD0746">
            <w:pPr>
              <w:pStyle w:val="ACText"/>
              <w:spacing w:before="240" w:after="240"/>
              <w:ind w:right="-74"/>
              <w:jc w:val="center"/>
              <w:rPr>
                <w:rFonts w:ascii="Verdana" w:hAnsi="Verdana" w:cs="Arial"/>
                <w:b/>
                <w:color w:val="FFCB05"/>
                <w:sz w:val="18"/>
                <w:szCs w:val="18"/>
              </w:rPr>
            </w:pPr>
            <w:r w:rsidRPr="00276F25">
              <w:rPr>
                <w:rFonts w:ascii="Verdana" w:hAnsi="Verdana" w:cs="Arial"/>
                <w:b/>
                <w:color w:val="FFCB05"/>
                <w:sz w:val="18"/>
                <w:szCs w:val="18"/>
              </w:rPr>
              <w:t>0.8</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276F25" w:rsidRDefault="00766764" w:rsidP="00BD0746">
            <w:pPr>
              <w:pStyle w:val="ACText"/>
              <w:spacing w:before="240" w:after="240"/>
              <w:ind w:right="-74"/>
              <w:jc w:val="center"/>
              <w:rPr>
                <w:rFonts w:ascii="Verdana" w:hAnsi="Verdana" w:cs="Arial"/>
                <w:b/>
                <w:color w:val="FFCB05"/>
                <w:sz w:val="18"/>
                <w:szCs w:val="18"/>
              </w:rPr>
            </w:pPr>
            <w:r w:rsidRPr="00276F25">
              <w:rPr>
                <w:rFonts w:ascii="Verdana" w:hAnsi="Verdana" w:cs="Arial"/>
                <w:b/>
                <w:color w:val="FFCB05"/>
                <w:sz w:val="18"/>
                <w:szCs w:val="18"/>
              </w:rPr>
              <w:t>50.</w:t>
            </w:r>
            <w:r>
              <w:rPr>
                <w:rFonts w:ascii="Verdana" w:hAnsi="Verdana" w:cs="Arial"/>
                <w:b/>
                <w:color w:val="FFCB05"/>
                <w:sz w:val="18"/>
                <w:szCs w:val="18"/>
              </w:rPr>
              <w:t>2</w:t>
            </w:r>
          </w:p>
        </w:tc>
        <w:tc>
          <w:tcPr>
            <w:tcW w:w="5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276F25" w:rsidRDefault="00766764" w:rsidP="00BD0746">
            <w:pPr>
              <w:pStyle w:val="ACText"/>
              <w:spacing w:before="240" w:after="240"/>
              <w:ind w:right="-74"/>
              <w:jc w:val="center"/>
              <w:rPr>
                <w:rFonts w:ascii="Verdana" w:hAnsi="Verdana" w:cs="Arial"/>
                <w:b/>
                <w:color w:val="FFCB05"/>
                <w:sz w:val="18"/>
                <w:szCs w:val="18"/>
              </w:rPr>
            </w:pPr>
            <w:r w:rsidRPr="00276F25">
              <w:rPr>
                <w:rFonts w:ascii="Verdana" w:hAnsi="Verdana" w:cs="Arial"/>
                <w:b/>
                <w:color w:val="FFCB05"/>
                <w:sz w:val="18"/>
                <w:szCs w:val="18"/>
              </w:rPr>
              <w:t>7.4</w:t>
            </w:r>
          </w:p>
        </w:tc>
        <w:tc>
          <w:tcPr>
            <w:tcW w:w="70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4840B7" w:rsidRDefault="00766764" w:rsidP="00BD0746">
            <w:pPr>
              <w:pStyle w:val="ACText"/>
              <w:spacing w:before="240" w:after="240"/>
              <w:ind w:right="-74"/>
              <w:rPr>
                <w:rFonts w:ascii="Verdana" w:hAnsi="Verdana" w:cs="Arial"/>
                <w:b/>
                <w:color w:val="FFCB05"/>
                <w:sz w:val="18"/>
                <w:szCs w:val="18"/>
                <w:highlight w:val="red"/>
              </w:rPr>
            </w:pPr>
            <w:r w:rsidRPr="009022E6">
              <w:rPr>
                <w:rFonts w:ascii="Verdana" w:hAnsi="Verdana" w:cs="Arial"/>
                <w:b/>
                <w:color w:val="FFCB05"/>
                <w:sz w:val="18"/>
                <w:szCs w:val="18"/>
              </w:rPr>
              <w:t xml:space="preserve">      1</w:t>
            </w:r>
            <w:r>
              <w:rPr>
                <w:rFonts w:ascii="Verdana" w:hAnsi="Verdana" w:cs="Arial"/>
                <w:b/>
                <w:color w:val="FFCB05"/>
                <w:sz w:val="18"/>
                <w:szCs w:val="18"/>
              </w:rPr>
              <w:t>41</w:t>
            </w:r>
            <w:r w:rsidRPr="009022E6">
              <w:rPr>
                <w:rFonts w:ascii="Verdana" w:hAnsi="Verdana" w:cs="Arial"/>
                <w:b/>
                <w:color w:val="FFCB05"/>
                <w:sz w:val="18"/>
                <w:szCs w:val="18"/>
              </w:rPr>
              <w:t>.</w:t>
            </w:r>
            <w:r>
              <w:rPr>
                <w:rFonts w:ascii="Verdana" w:hAnsi="Verdana" w:cs="Arial"/>
                <w:b/>
                <w:color w:val="FFCB05"/>
                <w:sz w:val="18"/>
                <w:szCs w:val="18"/>
              </w:rPr>
              <w:t>4</w:t>
            </w:r>
          </w:p>
        </w:tc>
      </w:tr>
    </w:tbl>
    <w:p w:rsidR="00766764" w:rsidRPr="00AA3EB8" w:rsidRDefault="00766764" w:rsidP="00766764">
      <w:pPr>
        <w:rPr>
          <w:rFonts w:ascii="Verdana" w:hAnsi="Verdana" w:cs="Arial"/>
          <w:sz w:val="20"/>
        </w:rPr>
      </w:pPr>
    </w:p>
    <w:p w:rsidR="00766764" w:rsidRPr="00AA3EB8" w:rsidRDefault="00766764" w:rsidP="00766764">
      <w:pPr>
        <w:pStyle w:val="ACText"/>
        <w:rPr>
          <w:rFonts w:ascii="Verdana" w:hAnsi="Verdana" w:cs="Arial"/>
          <w:b/>
        </w:rPr>
      </w:pPr>
      <w:r w:rsidRPr="00AA3EB8">
        <w:rPr>
          <w:rFonts w:ascii="Verdana" w:hAnsi="Verdana" w:cs="Arial"/>
          <w:b/>
        </w:rPr>
        <w:t>f) Maturity profile of financial liabilities-contractual undiscounted cash flows</w:t>
      </w:r>
    </w:p>
    <w:p w:rsidR="00766764" w:rsidRDefault="00766764" w:rsidP="00766764">
      <w:pPr>
        <w:pStyle w:val="ACText"/>
        <w:ind w:right="-472"/>
        <w:rPr>
          <w:rFonts w:ascii="Verdana" w:hAnsi="Verdana" w:cs="Arial"/>
        </w:rPr>
      </w:pPr>
      <w:r w:rsidRPr="00AA3EB8">
        <w:rPr>
          <w:rFonts w:ascii="Verdana" w:hAnsi="Verdana" w:cs="Arial"/>
        </w:rPr>
        <w:t>The table below analyses the Group’s non-derivative financial liabilities and net-settled derivative financial liabilities into relevant maturity groupings based on the period to maturity at the balance sheet. Derivative financial liabilities are included in the analysis if their contractual maturities are essential for an understanding of the timing of the cash flows. The amounts disclosed in the table are the contr</w:t>
      </w:r>
      <w:r>
        <w:rPr>
          <w:rFonts w:ascii="Verdana" w:hAnsi="Verdana" w:cs="Arial"/>
        </w:rPr>
        <w:t xml:space="preserve">actual undiscounted cashflows. </w:t>
      </w:r>
    </w:p>
    <w:p w:rsidR="00766764" w:rsidRPr="00AA3EB8" w:rsidRDefault="00766764" w:rsidP="00766764">
      <w:pPr>
        <w:pStyle w:val="ACText"/>
        <w:rPr>
          <w:rFonts w:ascii="Verdana" w:hAnsi="Verdana" w:cs="Arial"/>
        </w:rPr>
      </w:pPr>
    </w:p>
    <w:tbl>
      <w:tblPr>
        <w:tblStyle w:val="TableGrid"/>
        <w:tblW w:w="5172" w:type="pct"/>
        <w:tblInd w:w="108" w:type="dxa"/>
        <w:tblLayout w:type="fixed"/>
        <w:tblLook w:val="04A0" w:firstRow="1" w:lastRow="0" w:firstColumn="1" w:lastColumn="0" w:noHBand="0" w:noVBand="1"/>
      </w:tblPr>
      <w:tblGrid>
        <w:gridCol w:w="2248"/>
        <w:gridCol w:w="1013"/>
        <w:gridCol w:w="1011"/>
        <w:gridCol w:w="1011"/>
        <w:gridCol w:w="1011"/>
        <w:gridCol w:w="1011"/>
        <w:gridCol w:w="1059"/>
        <w:gridCol w:w="962"/>
      </w:tblGrid>
      <w:tr w:rsidR="00766764" w:rsidRPr="00AA3EB8" w:rsidTr="00BD0746">
        <w:trPr>
          <w:trHeight w:val="372"/>
        </w:trPr>
        <w:tc>
          <w:tcPr>
            <w:tcW w:w="1205"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jc w:val="left"/>
              <w:rPr>
                <w:rFonts w:ascii="Verdana" w:hAnsi="Verdana" w:cs="Arial"/>
                <w:b/>
                <w:color w:val="FFCB05"/>
                <w:sz w:val="17"/>
                <w:szCs w:val="17"/>
              </w:rPr>
            </w:pPr>
            <w:r w:rsidRPr="009D0452">
              <w:rPr>
                <w:rFonts w:ascii="Verdana" w:hAnsi="Verdana" w:cs="Arial"/>
                <w:b/>
                <w:color w:val="FFCB05"/>
                <w:sz w:val="17"/>
                <w:szCs w:val="17"/>
              </w:rPr>
              <w:t>As at 31 October 2017</w:t>
            </w:r>
          </w:p>
        </w:tc>
        <w:tc>
          <w:tcPr>
            <w:tcW w:w="543" w:type="pct"/>
            <w:tcBorders>
              <w:top w:val="single" w:sz="4"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223B47"/>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Book value</w:t>
            </w:r>
          </w:p>
        </w:tc>
        <w:tc>
          <w:tcPr>
            <w:tcW w:w="542" w:type="pct"/>
            <w:tcBorders>
              <w:top w:val="single" w:sz="4" w:space="0" w:color="FFFFFF" w:themeColor="background1"/>
              <w:left w:val="single" w:sz="18" w:space="0" w:color="FFFFFF" w:themeColor="background1"/>
              <w:bottom w:val="single" w:sz="6" w:space="0" w:color="FFFFFF" w:themeColor="background1"/>
              <w:right w:val="single" w:sz="6" w:space="0" w:color="FFFFFF" w:themeColor="background1"/>
            </w:tcBorders>
            <w:shd w:val="clear" w:color="auto" w:fill="223B47"/>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Not more than three months</w:t>
            </w:r>
          </w:p>
        </w:tc>
        <w:tc>
          <w:tcPr>
            <w:tcW w:w="54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More than three months but not more than six months</w:t>
            </w:r>
          </w:p>
        </w:tc>
        <w:tc>
          <w:tcPr>
            <w:tcW w:w="54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More than six months but not more than one year</w:t>
            </w:r>
          </w:p>
        </w:tc>
        <w:tc>
          <w:tcPr>
            <w:tcW w:w="54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More than one year but not more than five years</w:t>
            </w:r>
          </w:p>
        </w:tc>
        <w:tc>
          <w:tcPr>
            <w:tcW w:w="568"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More than five years</w:t>
            </w:r>
          </w:p>
        </w:tc>
        <w:tc>
          <w:tcPr>
            <w:tcW w:w="516"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223B47"/>
            <w:vAlign w:val="center"/>
          </w:tcPr>
          <w:p w:rsidR="00766764" w:rsidRPr="009D0452" w:rsidRDefault="00766764" w:rsidP="00BD0746">
            <w:pPr>
              <w:pStyle w:val="ACText"/>
              <w:ind w:right="-74"/>
              <w:jc w:val="center"/>
              <w:rPr>
                <w:rFonts w:ascii="Verdana" w:hAnsi="Verdana" w:cs="Arial"/>
                <w:b/>
                <w:color w:val="FFCB05"/>
                <w:sz w:val="17"/>
                <w:szCs w:val="17"/>
              </w:rPr>
            </w:pPr>
            <w:r w:rsidRPr="009D0452">
              <w:rPr>
                <w:rFonts w:ascii="Verdana" w:hAnsi="Verdana" w:cs="Arial"/>
                <w:b/>
                <w:color w:val="FFCB05"/>
                <w:sz w:val="17"/>
                <w:szCs w:val="17"/>
              </w:rPr>
              <w:t>Total</w:t>
            </w:r>
          </w:p>
        </w:tc>
      </w:tr>
      <w:tr w:rsidR="00766764" w:rsidRPr="00AA3EB8" w:rsidTr="00BD0746">
        <w:trPr>
          <w:trHeight w:val="167"/>
        </w:trPr>
        <w:tc>
          <w:tcPr>
            <w:tcW w:w="1205"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9D0452" w:rsidRDefault="00766764" w:rsidP="00BD0746">
            <w:pPr>
              <w:pStyle w:val="ACText"/>
              <w:jc w:val="left"/>
              <w:rPr>
                <w:rFonts w:ascii="Verdana" w:hAnsi="Verdana" w:cs="Arial"/>
                <w:b/>
                <w:color w:val="FFCB05"/>
                <w:sz w:val="17"/>
                <w:szCs w:val="17"/>
              </w:rPr>
            </w:pP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c>
          <w:tcPr>
            <w:tcW w:w="542" w:type="pct"/>
            <w:tcBorders>
              <w:top w:val="single" w:sz="6" w:space="0" w:color="FFFFFF" w:themeColor="background1"/>
              <w:left w:val="single" w:sz="18"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c>
          <w:tcPr>
            <w:tcW w:w="5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c>
          <w:tcPr>
            <w:tcW w:w="5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c>
          <w:tcPr>
            <w:tcW w:w="5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c>
          <w:tcPr>
            <w:tcW w:w="56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c>
          <w:tcPr>
            <w:tcW w:w="516"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223B47"/>
          </w:tcPr>
          <w:p w:rsidR="00766764" w:rsidRPr="00AA3EB8" w:rsidRDefault="00766764" w:rsidP="00BD0746">
            <w:pPr>
              <w:pStyle w:val="ACText"/>
              <w:ind w:right="-74"/>
              <w:jc w:val="center"/>
              <w:rPr>
                <w:rFonts w:ascii="Verdana" w:hAnsi="Verdana" w:cs="Arial"/>
                <w:b/>
                <w:color w:val="FFCB05"/>
                <w:sz w:val="16"/>
                <w:szCs w:val="16"/>
              </w:rPr>
            </w:pPr>
            <w:r w:rsidRPr="00AA3EB8">
              <w:rPr>
                <w:rFonts w:ascii="Verdana" w:hAnsi="Verdana" w:cs="Arial"/>
                <w:b/>
                <w:color w:val="FFCB05"/>
                <w:sz w:val="16"/>
                <w:szCs w:val="16"/>
              </w:rPr>
              <w:t>£m</w:t>
            </w: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9D0452" w:rsidRDefault="00766764" w:rsidP="00BD0746">
            <w:pPr>
              <w:pStyle w:val="Tabletext"/>
              <w:jc w:val="left"/>
              <w:rPr>
                <w:rFonts w:ascii="Verdana" w:hAnsi="Verdana" w:cs="Arial"/>
                <w:b/>
                <w:sz w:val="17"/>
                <w:szCs w:val="17"/>
              </w:rPr>
            </w:pPr>
            <w:r w:rsidRPr="009D0452">
              <w:rPr>
                <w:rFonts w:ascii="Verdana" w:hAnsi="Verdana" w:cs="Arial"/>
                <w:b/>
                <w:sz w:val="17"/>
                <w:szCs w:val="17"/>
              </w:rPr>
              <w:t>Financial liabilities</w:t>
            </w: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F8F8F8"/>
          </w:tcPr>
          <w:p w:rsidR="00766764" w:rsidRPr="00AA3EB8" w:rsidRDefault="00766764" w:rsidP="00BD0746">
            <w:pPr>
              <w:pStyle w:val="ACText"/>
              <w:ind w:right="-74"/>
              <w:jc w:val="center"/>
              <w:rPr>
                <w:rFonts w:ascii="Verdana" w:hAnsi="Verdana" w:cs="Arial"/>
                <w:b/>
                <w:color w:val="FFCB05"/>
                <w:sz w:val="16"/>
                <w:szCs w:val="16"/>
              </w:rPr>
            </w:pPr>
          </w:p>
        </w:tc>
        <w:tc>
          <w:tcPr>
            <w:tcW w:w="542" w:type="pct"/>
            <w:tcBorders>
              <w:top w:val="single" w:sz="6" w:space="0" w:color="FFFFFF" w:themeColor="background1"/>
              <w:left w:val="single" w:sz="18"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color w:val="FFCB05"/>
                <w:sz w:val="16"/>
                <w:szCs w:val="16"/>
              </w:rPr>
            </w:pPr>
          </w:p>
        </w:tc>
        <w:tc>
          <w:tcPr>
            <w:tcW w:w="5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color w:val="FFCB05"/>
                <w:sz w:val="16"/>
                <w:szCs w:val="16"/>
              </w:rPr>
            </w:pPr>
          </w:p>
        </w:tc>
        <w:tc>
          <w:tcPr>
            <w:tcW w:w="5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color w:val="FFCB05"/>
                <w:sz w:val="16"/>
                <w:szCs w:val="16"/>
              </w:rPr>
            </w:pPr>
          </w:p>
        </w:tc>
        <w:tc>
          <w:tcPr>
            <w:tcW w:w="5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b/>
                <w:color w:val="FFCB05"/>
                <w:sz w:val="16"/>
                <w:szCs w:val="16"/>
              </w:rPr>
            </w:pPr>
          </w:p>
        </w:tc>
        <w:tc>
          <w:tcPr>
            <w:tcW w:w="56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8F8F8"/>
          </w:tcPr>
          <w:p w:rsidR="00766764" w:rsidRPr="00AA3EB8" w:rsidRDefault="00766764" w:rsidP="00BD0746">
            <w:pPr>
              <w:pStyle w:val="ACText"/>
              <w:ind w:right="-74"/>
              <w:jc w:val="center"/>
              <w:rPr>
                <w:rFonts w:ascii="Verdana" w:hAnsi="Verdana" w:cs="Arial"/>
                <w:b/>
                <w:color w:val="FFCB05"/>
                <w:sz w:val="16"/>
                <w:szCs w:val="16"/>
              </w:rPr>
            </w:pPr>
          </w:p>
        </w:tc>
        <w:tc>
          <w:tcPr>
            <w:tcW w:w="516"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74"/>
              <w:jc w:val="center"/>
              <w:rPr>
                <w:rFonts w:ascii="Verdana" w:hAnsi="Verdana" w:cs="Arial"/>
                <w:b/>
                <w:sz w:val="16"/>
                <w:szCs w:val="16"/>
              </w:rPr>
            </w:pP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Tabletext"/>
              <w:ind w:left="0" w:firstLine="0"/>
              <w:jc w:val="left"/>
              <w:rPr>
                <w:rFonts w:ascii="Verdana" w:hAnsi="Verdana" w:cs="Arial"/>
                <w:b/>
                <w:sz w:val="17"/>
                <w:szCs w:val="17"/>
              </w:rPr>
            </w:pPr>
            <w:r w:rsidRPr="009D0452">
              <w:rPr>
                <w:rFonts w:ascii="Verdana" w:hAnsi="Verdana" w:cs="Arial"/>
                <w:sz w:val="17"/>
                <w:szCs w:val="17"/>
              </w:rPr>
              <w:t>Deposit from banks</w:t>
            </w: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2.8</w:t>
            </w:r>
          </w:p>
        </w:tc>
        <w:tc>
          <w:tcPr>
            <w:tcW w:w="542" w:type="pct"/>
            <w:tcBorders>
              <w:top w:val="single" w:sz="6" w:space="0" w:color="FFFFFF" w:themeColor="background1"/>
              <w:left w:val="single" w:sz="18"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2.8</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w:t>
            </w:r>
          </w:p>
        </w:tc>
        <w:tc>
          <w:tcPr>
            <w:tcW w:w="5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w:t>
            </w:r>
          </w:p>
        </w:tc>
        <w:tc>
          <w:tcPr>
            <w:tcW w:w="5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sidRPr="004E11E7">
              <w:rPr>
                <w:rFonts w:ascii="Verdana" w:hAnsi="Verdana" w:cs="Arial"/>
                <w:sz w:val="16"/>
                <w:szCs w:val="16"/>
              </w:rPr>
              <w:t xml:space="preserve">       2.8</w:t>
            </w: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Tabletext"/>
              <w:ind w:left="0" w:firstLine="0"/>
              <w:jc w:val="left"/>
              <w:rPr>
                <w:rFonts w:ascii="Verdana" w:hAnsi="Verdana" w:cs="Arial"/>
                <w:sz w:val="17"/>
                <w:szCs w:val="17"/>
              </w:rPr>
            </w:pPr>
            <w:r w:rsidRPr="009D0452">
              <w:rPr>
                <w:rFonts w:ascii="Verdana" w:hAnsi="Verdana" w:cs="Arial"/>
                <w:sz w:val="17"/>
                <w:szCs w:val="17"/>
              </w:rPr>
              <w:t>Deposit from customers</w:t>
            </w: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Pr>
                <w:rFonts w:ascii="Verdana" w:hAnsi="Verdana" w:cs="Arial"/>
                <w:sz w:val="16"/>
                <w:szCs w:val="16"/>
              </w:rPr>
              <w:t>938.5</w:t>
            </w:r>
          </w:p>
        </w:tc>
        <w:tc>
          <w:tcPr>
            <w:tcW w:w="542" w:type="pct"/>
            <w:tcBorders>
              <w:top w:val="single" w:sz="6" w:space="0" w:color="FFFFFF" w:themeColor="background1"/>
              <w:left w:val="single" w:sz="18"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highlight w:val="green"/>
              </w:rPr>
            </w:pPr>
            <w:r>
              <w:rPr>
                <w:rFonts w:ascii="Verdana" w:hAnsi="Verdana" w:cs="Arial"/>
                <w:sz w:val="16"/>
                <w:szCs w:val="16"/>
              </w:rPr>
              <w:t>357.4</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highlight w:val="green"/>
              </w:rPr>
            </w:pPr>
            <w:r>
              <w:rPr>
                <w:rFonts w:ascii="Verdana" w:hAnsi="Verdana" w:cs="Arial"/>
                <w:sz w:val="16"/>
                <w:szCs w:val="16"/>
              </w:rPr>
              <w:t>114.5</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highlight w:val="green"/>
              </w:rPr>
            </w:pPr>
            <w:r>
              <w:rPr>
                <w:rFonts w:ascii="Verdana" w:hAnsi="Verdana" w:cs="Arial"/>
                <w:sz w:val="16"/>
                <w:szCs w:val="16"/>
              </w:rPr>
              <w:t xml:space="preserve"> 254.9</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highlight w:val="green"/>
              </w:rPr>
            </w:pPr>
            <w:r>
              <w:rPr>
                <w:rFonts w:ascii="Verdana" w:hAnsi="Verdana" w:cs="Arial"/>
                <w:sz w:val="16"/>
                <w:szCs w:val="16"/>
              </w:rPr>
              <w:t>224.6</w:t>
            </w:r>
          </w:p>
        </w:tc>
        <w:tc>
          <w:tcPr>
            <w:tcW w:w="5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highlight w:val="green"/>
              </w:rPr>
            </w:pPr>
            <w:r w:rsidRPr="004E11E7">
              <w:rPr>
                <w:rFonts w:ascii="Verdana" w:hAnsi="Verdana" w:cs="Arial"/>
                <w:sz w:val="16"/>
                <w:szCs w:val="16"/>
              </w:rPr>
              <w:t xml:space="preserve">     -</w:t>
            </w:r>
          </w:p>
        </w:tc>
        <w:tc>
          <w:tcPr>
            <w:tcW w:w="5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highlight w:val="green"/>
              </w:rPr>
            </w:pPr>
            <w:r w:rsidRPr="004E11E7">
              <w:rPr>
                <w:rFonts w:ascii="Verdana" w:hAnsi="Verdana" w:cs="Arial"/>
                <w:sz w:val="16"/>
                <w:szCs w:val="16"/>
              </w:rPr>
              <w:t xml:space="preserve">    </w:t>
            </w:r>
            <w:r>
              <w:rPr>
                <w:rFonts w:ascii="Verdana" w:hAnsi="Verdana" w:cs="Arial"/>
                <w:sz w:val="16"/>
                <w:szCs w:val="16"/>
              </w:rPr>
              <w:t>951.4</w:t>
            </w: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Tabletext"/>
              <w:ind w:left="0" w:firstLine="0"/>
              <w:jc w:val="left"/>
              <w:rPr>
                <w:rFonts w:ascii="Verdana" w:hAnsi="Verdana" w:cs="Arial"/>
                <w:sz w:val="17"/>
                <w:szCs w:val="17"/>
              </w:rPr>
            </w:pPr>
            <w:r w:rsidRPr="009D0452">
              <w:rPr>
                <w:rFonts w:ascii="Verdana" w:hAnsi="Verdana" w:cs="Arial"/>
                <w:sz w:val="17"/>
                <w:szCs w:val="17"/>
              </w:rPr>
              <w:t>Other liabilities</w:t>
            </w: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Pr>
                <w:rFonts w:ascii="Verdana" w:hAnsi="Verdana" w:cs="Arial"/>
                <w:sz w:val="16"/>
                <w:szCs w:val="16"/>
              </w:rPr>
              <w:t xml:space="preserve">    3.1</w:t>
            </w:r>
          </w:p>
        </w:tc>
        <w:tc>
          <w:tcPr>
            <w:tcW w:w="542" w:type="pct"/>
            <w:tcBorders>
              <w:top w:val="single" w:sz="6" w:space="0" w:color="FFFFFF" w:themeColor="background1"/>
              <w:left w:val="single" w:sz="18"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Pr>
                <w:rFonts w:ascii="Verdana" w:hAnsi="Verdana" w:cs="Arial"/>
                <w:sz w:val="16"/>
                <w:szCs w:val="16"/>
              </w:rPr>
              <w:t xml:space="preserve">    3.1</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Pr>
                <w:rFonts w:ascii="Verdana" w:hAnsi="Verdana" w:cs="Arial"/>
                <w:sz w:val="16"/>
                <w:szCs w:val="16"/>
              </w:rPr>
              <w:t xml:space="preserve">       3.1</w:t>
            </w: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Tabletext"/>
              <w:ind w:left="0" w:firstLine="0"/>
              <w:jc w:val="left"/>
              <w:rPr>
                <w:rFonts w:ascii="Verdana" w:hAnsi="Verdana" w:cs="Arial"/>
                <w:sz w:val="17"/>
                <w:szCs w:val="17"/>
              </w:rPr>
            </w:pPr>
            <w:r w:rsidRPr="009D0452">
              <w:rPr>
                <w:rFonts w:ascii="Verdana" w:hAnsi="Verdana" w:cs="Arial"/>
                <w:sz w:val="17"/>
                <w:szCs w:val="17"/>
              </w:rPr>
              <w:t>Accruals and deferred income</w:t>
            </w: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Pr>
                <w:rFonts w:ascii="Verdana" w:hAnsi="Verdana" w:cs="Arial"/>
                <w:sz w:val="16"/>
                <w:szCs w:val="16"/>
              </w:rPr>
              <w:t xml:space="preserve">    3.9</w:t>
            </w:r>
          </w:p>
        </w:tc>
        <w:tc>
          <w:tcPr>
            <w:tcW w:w="542" w:type="pct"/>
            <w:tcBorders>
              <w:top w:val="single" w:sz="6" w:space="0" w:color="FFFFFF" w:themeColor="background1"/>
              <w:left w:val="single" w:sz="18"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Pr>
                <w:rFonts w:ascii="Verdana" w:hAnsi="Verdana" w:cs="Arial"/>
                <w:sz w:val="16"/>
                <w:szCs w:val="16"/>
              </w:rPr>
              <w:t xml:space="preserve">    3.9</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sidRPr="004E11E7">
              <w:rPr>
                <w:rFonts w:ascii="Verdana" w:hAnsi="Verdana" w:cs="Arial"/>
                <w:sz w:val="16"/>
                <w:szCs w:val="16"/>
              </w:rPr>
              <w:t xml:space="preserve">     -</w:t>
            </w:r>
          </w:p>
        </w:tc>
        <w:tc>
          <w:tcPr>
            <w:tcW w:w="5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sz w:val="16"/>
                <w:szCs w:val="16"/>
              </w:rPr>
            </w:pPr>
            <w:r>
              <w:rPr>
                <w:rFonts w:ascii="Verdana" w:hAnsi="Verdana" w:cs="Arial"/>
                <w:sz w:val="16"/>
                <w:szCs w:val="16"/>
              </w:rPr>
              <w:t xml:space="preserve">       3.9</w:t>
            </w: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9D0452" w:rsidRDefault="00766764" w:rsidP="00BD0746">
            <w:pPr>
              <w:pStyle w:val="Tabletext"/>
              <w:ind w:left="0" w:firstLine="0"/>
              <w:jc w:val="left"/>
              <w:rPr>
                <w:rFonts w:ascii="Verdana" w:hAnsi="Verdana" w:cs="Arial"/>
                <w:sz w:val="17"/>
                <w:szCs w:val="17"/>
              </w:rPr>
            </w:pPr>
            <w:r w:rsidRPr="009D0452">
              <w:rPr>
                <w:rFonts w:ascii="Verdana" w:hAnsi="Verdana" w:cs="Arial"/>
                <w:sz w:val="17"/>
                <w:szCs w:val="17"/>
              </w:rPr>
              <w:t xml:space="preserve">Derivative financial instruments </w:t>
            </w:r>
          </w:p>
        </w:tc>
        <w:tc>
          <w:tcPr>
            <w:tcW w:w="543" w:type="pct"/>
            <w:tcBorders>
              <w:top w:val="single" w:sz="6" w:space="0" w:color="FFFFFF" w:themeColor="background1"/>
              <w:left w:val="single" w:sz="6" w:space="0" w:color="FFFFFF" w:themeColor="background1"/>
              <w:bottom w:val="single" w:sz="6" w:space="0" w:color="FFFFFF" w:themeColor="background1"/>
              <w:right w:val="single" w:sz="18" w:space="0" w:color="FFFFFF" w:themeColor="background1"/>
            </w:tcBorders>
            <w:shd w:val="clear" w:color="auto" w:fill="F8F8F8"/>
            <w:vAlign w:val="center"/>
          </w:tcPr>
          <w:p w:rsidR="00766764" w:rsidRPr="004E11E7" w:rsidRDefault="00766764" w:rsidP="00BD0746">
            <w:pPr>
              <w:pStyle w:val="ACText"/>
              <w:ind w:right="-74"/>
              <w:jc w:val="center"/>
              <w:rPr>
                <w:rFonts w:ascii="Verdana" w:hAnsi="Verdana" w:cs="Arial"/>
                <w:b/>
                <w:sz w:val="16"/>
                <w:szCs w:val="16"/>
              </w:rPr>
            </w:pPr>
            <w:r>
              <w:rPr>
                <w:rFonts w:ascii="Verdana" w:hAnsi="Verdana" w:cs="Arial"/>
                <w:sz w:val="16"/>
                <w:szCs w:val="16"/>
              </w:rPr>
              <w:t xml:space="preserve"> 132.3</w:t>
            </w:r>
          </w:p>
        </w:tc>
        <w:tc>
          <w:tcPr>
            <w:tcW w:w="542" w:type="pct"/>
            <w:tcBorders>
              <w:top w:val="single" w:sz="6" w:space="0" w:color="FFFFFF" w:themeColor="background1"/>
              <w:left w:val="single" w:sz="18"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b/>
                <w:sz w:val="16"/>
                <w:szCs w:val="16"/>
              </w:rPr>
            </w:pPr>
            <w:r w:rsidRPr="00CC3FCA">
              <w:rPr>
                <w:rFonts w:ascii="Verdana" w:hAnsi="Verdana" w:cs="Arial"/>
                <w:sz w:val="16"/>
                <w:szCs w:val="16"/>
              </w:rPr>
              <w:t xml:space="preserve">    7.9</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b/>
                <w:sz w:val="16"/>
                <w:szCs w:val="16"/>
              </w:rPr>
            </w:pPr>
            <w:r w:rsidRPr="00CC3FCA">
              <w:rPr>
                <w:rFonts w:ascii="Verdana" w:hAnsi="Verdana" w:cs="Arial"/>
                <w:sz w:val="16"/>
                <w:szCs w:val="16"/>
              </w:rPr>
              <w:t xml:space="preserve">    4.5</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b/>
                <w:sz w:val="16"/>
                <w:szCs w:val="16"/>
              </w:rPr>
            </w:pPr>
            <w:r w:rsidRPr="00CC3FCA">
              <w:rPr>
                <w:rFonts w:ascii="Verdana" w:hAnsi="Verdana" w:cs="Arial"/>
                <w:sz w:val="16"/>
                <w:szCs w:val="16"/>
              </w:rPr>
              <w:t xml:space="preserve">    7.2</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b/>
                <w:sz w:val="16"/>
                <w:szCs w:val="16"/>
              </w:rPr>
            </w:pPr>
            <w:r w:rsidRPr="00CC3FCA">
              <w:rPr>
                <w:rFonts w:ascii="Verdana" w:hAnsi="Verdana" w:cs="Arial"/>
                <w:sz w:val="16"/>
                <w:szCs w:val="16"/>
              </w:rPr>
              <w:t xml:space="preserve">  45.8</w:t>
            </w:r>
          </w:p>
        </w:tc>
        <w:tc>
          <w:tcPr>
            <w:tcW w:w="5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b/>
                <w:sz w:val="16"/>
                <w:szCs w:val="16"/>
              </w:rPr>
            </w:pPr>
            <w:r w:rsidRPr="00CC3FCA">
              <w:rPr>
                <w:rFonts w:ascii="Verdana" w:hAnsi="Verdana" w:cs="Arial"/>
                <w:sz w:val="16"/>
                <w:szCs w:val="16"/>
              </w:rPr>
              <w:t>91.2</w:t>
            </w:r>
          </w:p>
        </w:tc>
        <w:tc>
          <w:tcPr>
            <w:tcW w:w="5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CC3FCA" w:rsidRDefault="00766764" w:rsidP="00BD0746">
            <w:pPr>
              <w:pStyle w:val="ACText"/>
              <w:ind w:right="-74"/>
              <w:jc w:val="center"/>
              <w:rPr>
                <w:rFonts w:ascii="Verdana" w:hAnsi="Verdana" w:cs="Arial"/>
                <w:sz w:val="16"/>
                <w:szCs w:val="16"/>
              </w:rPr>
            </w:pPr>
            <w:r w:rsidRPr="00CC3FCA">
              <w:rPr>
                <w:rFonts w:ascii="Verdana" w:hAnsi="Verdana" w:cs="Arial"/>
                <w:sz w:val="16"/>
                <w:szCs w:val="16"/>
              </w:rPr>
              <w:t xml:space="preserve">    156.6</w:t>
            </w:r>
          </w:p>
        </w:tc>
      </w:tr>
      <w:tr w:rsidR="00766764" w:rsidRPr="00AA3EB8" w:rsidTr="00BD0746">
        <w:trPr>
          <w:trHeight w:val="391"/>
        </w:trPr>
        <w:tc>
          <w:tcPr>
            <w:tcW w:w="120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223B47"/>
            <w:vAlign w:val="center"/>
          </w:tcPr>
          <w:p w:rsidR="00766764" w:rsidRPr="009D0452" w:rsidRDefault="00766764" w:rsidP="00BD0746">
            <w:pPr>
              <w:pStyle w:val="Tabletext"/>
              <w:ind w:left="0" w:firstLine="0"/>
              <w:jc w:val="left"/>
              <w:rPr>
                <w:rFonts w:ascii="Verdana" w:hAnsi="Verdana" w:cs="Arial"/>
                <w:color w:val="FFCB05"/>
                <w:sz w:val="17"/>
                <w:szCs w:val="17"/>
              </w:rPr>
            </w:pPr>
            <w:r w:rsidRPr="009D0452">
              <w:rPr>
                <w:rFonts w:ascii="Verdana" w:hAnsi="Verdana" w:cs="Arial"/>
                <w:b/>
                <w:color w:val="FFCB05"/>
                <w:sz w:val="17"/>
                <w:szCs w:val="17"/>
              </w:rPr>
              <w:t>Total financial liabilities</w:t>
            </w:r>
          </w:p>
        </w:tc>
        <w:tc>
          <w:tcPr>
            <w:tcW w:w="543" w:type="pct"/>
            <w:tcBorders>
              <w:top w:val="single" w:sz="6" w:space="0" w:color="FFFFFF" w:themeColor="background1"/>
              <w:left w:val="single" w:sz="6" w:space="0" w:color="FFFFFF" w:themeColor="background1"/>
              <w:bottom w:val="single" w:sz="4" w:space="0" w:color="FFFFFF" w:themeColor="background1"/>
              <w:right w:val="single" w:sz="18" w:space="0" w:color="FFFFFF" w:themeColor="background1"/>
            </w:tcBorders>
            <w:shd w:val="clear" w:color="auto" w:fill="223B47"/>
          </w:tcPr>
          <w:p w:rsidR="00766764" w:rsidRPr="004E11E7" w:rsidRDefault="00766764" w:rsidP="00BD0746">
            <w:pPr>
              <w:pStyle w:val="ACText"/>
              <w:ind w:right="-74"/>
              <w:rPr>
                <w:rFonts w:ascii="Verdana" w:hAnsi="Verdana" w:cs="Arial"/>
                <w:b/>
                <w:color w:val="FFCB05"/>
                <w:sz w:val="16"/>
                <w:szCs w:val="16"/>
              </w:rPr>
            </w:pPr>
            <w:r>
              <w:rPr>
                <w:rFonts w:ascii="Verdana" w:hAnsi="Verdana" w:cs="Arial"/>
                <w:b/>
                <w:color w:val="FFCB05"/>
                <w:sz w:val="16"/>
                <w:szCs w:val="16"/>
              </w:rPr>
              <w:t>1,080.6</w:t>
            </w:r>
          </w:p>
        </w:tc>
        <w:tc>
          <w:tcPr>
            <w:tcW w:w="542" w:type="pct"/>
            <w:tcBorders>
              <w:top w:val="single" w:sz="6" w:space="0" w:color="FFFFFF" w:themeColor="background1"/>
              <w:left w:val="single" w:sz="18" w:space="0" w:color="FFFFFF" w:themeColor="background1"/>
              <w:bottom w:val="single" w:sz="4" w:space="0" w:color="FFFFFF" w:themeColor="background1"/>
              <w:right w:val="single" w:sz="6" w:space="0" w:color="FFFFFF" w:themeColor="background1"/>
            </w:tcBorders>
            <w:shd w:val="clear" w:color="auto" w:fill="223B47"/>
          </w:tcPr>
          <w:p w:rsidR="00766764" w:rsidRPr="00CC3FCA" w:rsidRDefault="00766764" w:rsidP="00BD0746">
            <w:pPr>
              <w:pStyle w:val="ACText"/>
              <w:ind w:right="-74"/>
              <w:jc w:val="center"/>
              <w:rPr>
                <w:rFonts w:ascii="Verdana" w:hAnsi="Verdana" w:cs="Arial"/>
                <w:b/>
                <w:color w:val="FFCB05"/>
                <w:sz w:val="16"/>
                <w:szCs w:val="16"/>
              </w:rPr>
            </w:pPr>
            <w:r>
              <w:rPr>
                <w:rFonts w:ascii="Verdana" w:hAnsi="Verdana" w:cs="Arial"/>
                <w:b/>
                <w:color w:val="FFCB05"/>
                <w:sz w:val="16"/>
                <w:szCs w:val="16"/>
              </w:rPr>
              <w:t>375.1</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tcPr>
          <w:p w:rsidR="00766764" w:rsidRPr="00CC3FCA" w:rsidRDefault="00766764" w:rsidP="00BD0746">
            <w:pPr>
              <w:pStyle w:val="ACText"/>
              <w:ind w:right="-74"/>
              <w:jc w:val="center"/>
              <w:rPr>
                <w:rFonts w:ascii="Verdana" w:hAnsi="Verdana" w:cs="Arial"/>
                <w:b/>
                <w:color w:val="FFCB05"/>
                <w:sz w:val="16"/>
                <w:szCs w:val="16"/>
              </w:rPr>
            </w:pPr>
            <w:r w:rsidRPr="00CC3FCA">
              <w:rPr>
                <w:rFonts w:ascii="Verdana" w:hAnsi="Verdana" w:cs="Arial"/>
                <w:b/>
                <w:color w:val="FFCB05"/>
                <w:sz w:val="16"/>
                <w:szCs w:val="16"/>
              </w:rPr>
              <w:t>119.0</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tcPr>
          <w:p w:rsidR="00766764" w:rsidRPr="00CC3FCA" w:rsidRDefault="00766764" w:rsidP="00BD0746">
            <w:pPr>
              <w:pStyle w:val="ACText"/>
              <w:ind w:right="-74"/>
              <w:jc w:val="center"/>
              <w:rPr>
                <w:rFonts w:ascii="Verdana" w:hAnsi="Verdana" w:cs="Arial"/>
                <w:b/>
                <w:color w:val="FFCB05"/>
                <w:sz w:val="16"/>
                <w:szCs w:val="16"/>
              </w:rPr>
            </w:pPr>
            <w:r w:rsidRPr="00CC3FCA">
              <w:rPr>
                <w:rFonts w:ascii="Verdana" w:hAnsi="Verdana" w:cs="Arial"/>
                <w:b/>
                <w:color w:val="FFCB05"/>
                <w:sz w:val="16"/>
                <w:szCs w:val="16"/>
              </w:rPr>
              <w:t>262.1</w:t>
            </w:r>
          </w:p>
        </w:tc>
        <w:tc>
          <w:tcPr>
            <w:tcW w:w="54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tcPr>
          <w:p w:rsidR="00766764" w:rsidRPr="00CC3FCA" w:rsidRDefault="00766764" w:rsidP="00BD0746">
            <w:pPr>
              <w:pStyle w:val="ACText"/>
              <w:ind w:right="-74"/>
              <w:jc w:val="center"/>
              <w:rPr>
                <w:rFonts w:ascii="Verdana" w:hAnsi="Verdana" w:cs="Arial"/>
                <w:b/>
                <w:color w:val="FFCB05"/>
                <w:sz w:val="16"/>
                <w:szCs w:val="16"/>
              </w:rPr>
            </w:pPr>
            <w:r w:rsidRPr="00CC3FCA">
              <w:rPr>
                <w:rFonts w:ascii="Verdana" w:hAnsi="Verdana" w:cs="Arial"/>
                <w:b/>
                <w:color w:val="FFCB05"/>
                <w:sz w:val="16"/>
                <w:szCs w:val="16"/>
              </w:rPr>
              <w:t>270.4</w:t>
            </w:r>
          </w:p>
        </w:tc>
        <w:tc>
          <w:tcPr>
            <w:tcW w:w="5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223B47"/>
          </w:tcPr>
          <w:p w:rsidR="00766764" w:rsidRPr="00CC3FCA" w:rsidRDefault="00766764" w:rsidP="00BD0746">
            <w:pPr>
              <w:pStyle w:val="ACText"/>
              <w:ind w:right="-74"/>
              <w:jc w:val="center"/>
              <w:rPr>
                <w:rFonts w:ascii="Verdana" w:hAnsi="Verdana" w:cs="Arial"/>
                <w:b/>
                <w:color w:val="FFCB05"/>
                <w:sz w:val="16"/>
                <w:szCs w:val="16"/>
              </w:rPr>
            </w:pPr>
            <w:r w:rsidRPr="00CC3FCA">
              <w:rPr>
                <w:rFonts w:ascii="Verdana" w:hAnsi="Verdana" w:cs="Arial"/>
                <w:b/>
                <w:color w:val="FFCB05"/>
                <w:sz w:val="16"/>
                <w:szCs w:val="16"/>
              </w:rPr>
              <w:t>91.2</w:t>
            </w:r>
          </w:p>
        </w:tc>
        <w:tc>
          <w:tcPr>
            <w:tcW w:w="51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223B47"/>
          </w:tcPr>
          <w:p w:rsidR="00766764" w:rsidRPr="00CC3FCA" w:rsidRDefault="00766764" w:rsidP="00BD0746">
            <w:pPr>
              <w:pStyle w:val="ACText"/>
              <w:ind w:right="-74"/>
              <w:jc w:val="center"/>
              <w:rPr>
                <w:rFonts w:ascii="Verdana" w:hAnsi="Verdana" w:cs="Arial"/>
                <w:b/>
                <w:color w:val="FFCB05"/>
                <w:sz w:val="16"/>
                <w:szCs w:val="16"/>
              </w:rPr>
            </w:pPr>
            <w:r>
              <w:rPr>
                <w:rFonts w:ascii="Verdana" w:hAnsi="Verdana" w:cs="Arial"/>
                <w:b/>
                <w:color w:val="FFCB05"/>
                <w:sz w:val="16"/>
                <w:szCs w:val="16"/>
              </w:rPr>
              <w:t>1,117.8</w:t>
            </w:r>
          </w:p>
        </w:tc>
      </w:tr>
    </w:tbl>
    <w:p w:rsidR="00766764" w:rsidRPr="00AA3EB8" w:rsidRDefault="00766764" w:rsidP="00766764">
      <w:pPr>
        <w:pStyle w:val="ACText"/>
        <w:rPr>
          <w:rFonts w:ascii="Verdana" w:hAnsi="Verdana" w:cs="Arial"/>
        </w:rPr>
      </w:pPr>
    </w:p>
    <w:p w:rsidR="00766764" w:rsidRDefault="00766764" w:rsidP="00766764"/>
    <w:p w:rsidR="008048F3" w:rsidRDefault="008048F3" w:rsidP="00766764"/>
    <w:p w:rsidR="008048F3" w:rsidRDefault="008048F3" w:rsidP="00766764"/>
    <w:p w:rsidR="00766764" w:rsidRDefault="00766764" w:rsidP="00766764">
      <w:pPr>
        <w:ind w:right="-613"/>
        <w:rPr>
          <w:rFonts w:ascii="Verdana" w:hAnsi="Verdana" w:cs="Arial"/>
          <w:b/>
          <w:sz w:val="20"/>
        </w:rPr>
      </w:pPr>
      <w:r w:rsidRPr="00AA3EB8">
        <w:rPr>
          <w:rFonts w:ascii="Verdana" w:hAnsi="Verdana" w:cs="Arial"/>
          <w:b/>
          <w:sz w:val="24"/>
          <w:szCs w:val="24"/>
        </w:rPr>
        <w:lastRenderedPageBreak/>
        <w:t>3</w:t>
      </w:r>
      <w:r>
        <w:rPr>
          <w:rFonts w:ascii="Verdana" w:hAnsi="Verdana" w:cs="Arial"/>
          <w:b/>
          <w:sz w:val="24"/>
          <w:szCs w:val="24"/>
        </w:rPr>
        <w:t>7</w:t>
      </w:r>
      <w:r w:rsidRPr="00AA3EB8">
        <w:rPr>
          <w:rFonts w:ascii="Verdana" w:hAnsi="Verdana" w:cs="Arial"/>
          <w:b/>
          <w:sz w:val="24"/>
          <w:szCs w:val="24"/>
        </w:rPr>
        <w:t>.  Financial risk management objectives and policies</w:t>
      </w:r>
    </w:p>
    <w:p w:rsidR="00766764" w:rsidRPr="00AA3EB8" w:rsidRDefault="00766764" w:rsidP="00766764">
      <w:pPr>
        <w:ind w:right="-613"/>
        <w:rPr>
          <w:rFonts w:ascii="Verdana" w:hAnsi="Verdana" w:cs="Arial"/>
          <w:sz w:val="20"/>
        </w:rPr>
      </w:pPr>
      <w:r w:rsidRPr="00AA3EB8">
        <w:rPr>
          <w:rFonts w:ascii="Verdana" w:hAnsi="Verdana" w:cs="Arial"/>
          <w:b/>
          <w:sz w:val="20"/>
        </w:rPr>
        <w:t>Treasury credit risk</w:t>
      </w:r>
    </w:p>
    <w:p w:rsidR="00766764" w:rsidRPr="00AA3EB8" w:rsidRDefault="00766764" w:rsidP="00766764">
      <w:pPr>
        <w:ind w:right="-613"/>
        <w:rPr>
          <w:rFonts w:ascii="Verdana" w:hAnsi="Verdana" w:cs="Arial"/>
          <w:sz w:val="20"/>
        </w:rPr>
      </w:pPr>
      <w:r w:rsidRPr="00AA3EB8">
        <w:rPr>
          <w:rFonts w:ascii="Verdana" w:hAnsi="Verdana" w:cs="Arial"/>
          <w:sz w:val="20"/>
        </w:rPr>
        <w:t>Treasury risk comprises exposure to central banks, treasury bills, debt securities, credit institutions and financial derivatives. The following table shows the maximum exposure to cr</w:t>
      </w:r>
      <w:r>
        <w:rPr>
          <w:rFonts w:ascii="Verdana" w:hAnsi="Verdana" w:cs="Arial"/>
          <w:sz w:val="20"/>
        </w:rPr>
        <w:t>edit risk excluding collateral:</w:t>
      </w:r>
      <w:r>
        <w:rPr>
          <w:rFonts w:ascii="Verdana" w:hAnsi="Verdana" w:cs="Arial"/>
          <w:sz w:val="20"/>
        </w:rPr>
        <w:br/>
      </w:r>
    </w:p>
    <w:tbl>
      <w:tblPr>
        <w:tblStyle w:val="TableGrid"/>
        <w:tblW w:w="9549" w:type="dxa"/>
        <w:tblInd w:w="108" w:type="dxa"/>
        <w:tblLook w:val="04A0" w:firstRow="1" w:lastRow="0" w:firstColumn="1" w:lastColumn="0" w:noHBand="0" w:noVBand="1"/>
      </w:tblPr>
      <w:tblGrid>
        <w:gridCol w:w="5236"/>
        <w:gridCol w:w="2156"/>
        <w:gridCol w:w="2157"/>
      </w:tblGrid>
      <w:tr w:rsidR="00766764" w:rsidRPr="00AA3EB8" w:rsidTr="00BD0746">
        <w:trPr>
          <w:trHeight w:val="262"/>
        </w:trPr>
        <w:tc>
          <w:tcPr>
            <w:tcW w:w="523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2017</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40"/>
              <w:jc w:val="center"/>
              <w:rPr>
                <w:rFonts w:ascii="Verdana" w:hAnsi="Verdana" w:cs="Arial"/>
                <w:b/>
                <w:color w:val="FFCB05"/>
                <w:sz w:val="18"/>
                <w:szCs w:val="18"/>
              </w:rPr>
            </w:pPr>
            <w:r w:rsidRPr="00AA3EB8">
              <w:rPr>
                <w:rFonts w:ascii="Verdana" w:hAnsi="Verdana" w:cs="Arial"/>
                <w:b/>
                <w:color w:val="FFCB05"/>
                <w:sz w:val="18"/>
                <w:szCs w:val="18"/>
              </w:rPr>
              <w:t>2016</w:t>
            </w:r>
          </w:p>
        </w:tc>
      </w:tr>
      <w:tr w:rsidR="00766764" w:rsidRPr="00AA3EB8" w:rsidTr="00BD0746">
        <w:trPr>
          <w:trHeight w:val="280"/>
        </w:trPr>
        <w:tc>
          <w:tcPr>
            <w:tcW w:w="5236" w:type="dxa"/>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tabs>
                <w:tab w:val="left" w:pos="1310"/>
              </w:tabs>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40"/>
              <w:jc w:val="center"/>
              <w:rPr>
                <w:rFonts w:ascii="Verdana" w:hAnsi="Verdana" w:cs="Arial"/>
                <w:b/>
                <w:color w:val="FFCB05"/>
                <w:sz w:val="18"/>
                <w:szCs w:val="18"/>
              </w:rPr>
            </w:pPr>
            <w:r w:rsidRPr="00AA3EB8">
              <w:rPr>
                <w:rFonts w:ascii="Verdana" w:hAnsi="Verdana" w:cs="Arial"/>
                <w:b/>
                <w:color w:val="FFCB05"/>
                <w:sz w:val="18"/>
                <w:szCs w:val="18"/>
              </w:rPr>
              <w:t>£m</w:t>
            </w:r>
          </w:p>
        </w:tc>
      </w:tr>
      <w:tr w:rsidR="00766764" w:rsidRPr="00AA3EB8" w:rsidTr="00BD0746">
        <w:trPr>
          <w:trHeight w:val="262"/>
        </w:trPr>
        <w:tc>
          <w:tcPr>
            <w:tcW w:w="5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 xml:space="preserve">UK government and amounts held with central banks </w:t>
            </w: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F27508" w:rsidRDefault="00766764" w:rsidP="00BD0746">
            <w:pPr>
              <w:pStyle w:val="ACText"/>
              <w:ind w:right="634"/>
              <w:jc w:val="right"/>
              <w:rPr>
                <w:rFonts w:ascii="Verdana" w:hAnsi="Verdana" w:cs="Arial"/>
                <w:sz w:val="18"/>
                <w:szCs w:val="18"/>
              </w:rPr>
            </w:pPr>
            <w:r w:rsidRPr="00F27508">
              <w:rPr>
                <w:rFonts w:ascii="Verdana" w:hAnsi="Verdana" w:cs="Arial"/>
                <w:sz w:val="18"/>
                <w:szCs w:val="18"/>
              </w:rPr>
              <w:t>87.0</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634"/>
              <w:jc w:val="right"/>
              <w:rPr>
                <w:rFonts w:ascii="Verdana" w:hAnsi="Verdana" w:cs="Arial"/>
                <w:sz w:val="18"/>
                <w:szCs w:val="18"/>
              </w:rPr>
            </w:pPr>
            <w:r w:rsidRPr="00AA3EB8">
              <w:rPr>
                <w:rFonts w:ascii="Verdana" w:hAnsi="Verdana" w:cs="Arial"/>
                <w:sz w:val="18"/>
                <w:szCs w:val="18"/>
              </w:rPr>
              <w:t>168.0</w:t>
            </w:r>
          </w:p>
        </w:tc>
      </w:tr>
      <w:tr w:rsidR="00766764" w:rsidRPr="00AA3EB8" w:rsidTr="00BD0746">
        <w:trPr>
          <w:trHeight w:val="271"/>
        </w:trPr>
        <w:tc>
          <w:tcPr>
            <w:tcW w:w="5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Treasury bills</w:t>
            </w: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F27508" w:rsidRDefault="00766764" w:rsidP="00BD0746">
            <w:pPr>
              <w:pStyle w:val="ACText"/>
              <w:ind w:right="634"/>
              <w:jc w:val="right"/>
              <w:rPr>
                <w:rFonts w:ascii="Verdana" w:hAnsi="Verdana" w:cs="Arial"/>
                <w:sz w:val="18"/>
                <w:szCs w:val="18"/>
              </w:rPr>
            </w:pPr>
            <w:r>
              <w:rPr>
                <w:rFonts w:ascii="Verdana" w:hAnsi="Verdana" w:cs="Arial"/>
                <w:sz w:val="18"/>
                <w:szCs w:val="18"/>
              </w:rPr>
              <w:t>97.3</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634"/>
              <w:jc w:val="right"/>
              <w:rPr>
                <w:rFonts w:ascii="Verdana" w:hAnsi="Verdana" w:cs="Arial"/>
                <w:sz w:val="18"/>
                <w:szCs w:val="18"/>
              </w:rPr>
            </w:pPr>
            <w:r w:rsidRPr="00AA3EB8">
              <w:rPr>
                <w:rFonts w:ascii="Verdana" w:hAnsi="Verdana" w:cs="Arial"/>
                <w:sz w:val="18"/>
                <w:szCs w:val="18"/>
              </w:rPr>
              <w:t>84.7</w:t>
            </w:r>
          </w:p>
        </w:tc>
      </w:tr>
      <w:tr w:rsidR="00766764" w:rsidRPr="00AA3EB8" w:rsidTr="00BD0746">
        <w:trPr>
          <w:trHeight w:val="262"/>
        </w:trPr>
        <w:tc>
          <w:tcPr>
            <w:tcW w:w="5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Loans and advances to credit institutions</w:t>
            </w: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F27508" w:rsidRDefault="00766764" w:rsidP="00BD0746">
            <w:pPr>
              <w:pStyle w:val="ACText"/>
              <w:ind w:right="634"/>
              <w:jc w:val="right"/>
              <w:rPr>
                <w:rFonts w:ascii="Verdana" w:hAnsi="Verdana" w:cs="Arial"/>
                <w:sz w:val="18"/>
                <w:szCs w:val="18"/>
              </w:rPr>
            </w:pPr>
            <w:r>
              <w:rPr>
                <w:rFonts w:ascii="Verdana" w:hAnsi="Verdana" w:cs="Arial"/>
                <w:sz w:val="18"/>
                <w:szCs w:val="18"/>
              </w:rPr>
              <w:t>30.0</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634"/>
              <w:jc w:val="right"/>
              <w:rPr>
                <w:rFonts w:ascii="Verdana" w:hAnsi="Verdana" w:cs="Arial"/>
                <w:sz w:val="18"/>
                <w:szCs w:val="18"/>
              </w:rPr>
            </w:pPr>
            <w:r>
              <w:rPr>
                <w:rFonts w:ascii="Verdana" w:hAnsi="Verdana" w:cs="Arial"/>
                <w:sz w:val="18"/>
                <w:szCs w:val="18"/>
              </w:rPr>
              <w:t>52.4</w:t>
            </w:r>
          </w:p>
        </w:tc>
      </w:tr>
      <w:tr w:rsidR="00766764" w:rsidRPr="00AA3EB8" w:rsidTr="00BD0746">
        <w:trPr>
          <w:trHeight w:val="262"/>
        </w:trPr>
        <w:tc>
          <w:tcPr>
            <w:tcW w:w="5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Debt securities</w:t>
            </w: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F27508" w:rsidRDefault="00766764" w:rsidP="00BD0746">
            <w:pPr>
              <w:pStyle w:val="ACText"/>
              <w:ind w:right="634"/>
              <w:jc w:val="right"/>
              <w:rPr>
                <w:rFonts w:ascii="Verdana" w:hAnsi="Verdana" w:cs="Arial"/>
                <w:sz w:val="18"/>
                <w:szCs w:val="18"/>
              </w:rPr>
            </w:pPr>
            <w:r>
              <w:rPr>
                <w:rFonts w:ascii="Verdana" w:hAnsi="Verdana" w:cs="Arial"/>
                <w:sz w:val="18"/>
                <w:szCs w:val="18"/>
              </w:rPr>
              <w:t xml:space="preserve">131.3 </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ind w:right="634"/>
              <w:jc w:val="right"/>
              <w:rPr>
                <w:rFonts w:ascii="Verdana" w:hAnsi="Verdana" w:cs="Arial"/>
                <w:sz w:val="18"/>
                <w:szCs w:val="18"/>
              </w:rPr>
            </w:pPr>
            <w:r>
              <w:rPr>
                <w:rFonts w:ascii="Verdana" w:hAnsi="Verdana" w:cs="Arial"/>
                <w:sz w:val="18"/>
                <w:szCs w:val="18"/>
              </w:rPr>
              <w:t>140.6</w:t>
            </w:r>
          </w:p>
        </w:tc>
      </w:tr>
      <w:tr w:rsidR="00766764" w:rsidRPr="00AA3EB8" w:rsidTr="00BD0746">
        <w:trPr>
          <w:trHeight w:val="271"/>
        </w:trPr>
        <w:tc>
          <w:tcPr>
            <w:tcW w:w="5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color w:val="FFCB05"/>
                <w:sz w:val="18"/>
                <w:szCs w:val="18"/>
              </w:rPr>
            </w:pPr>
          </w:p>
        </w:tc>
        <w:tc>
          <w:tcPr>
            <w:tcW w:w="2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634"/>
              <w:jc w:val="right"/>
              <w:rPr>
                <w:rFonts w:ascii="Verdana" w:hAnsi="Verdana" w:cs="Arial"/>
                <w:b/>
                <w:color w:val="FFCB05"/>
                <w:sz w:val="18"/>
                <w:szCs w:val="18"/>
              </w:rPr>
            </w:pPr>
            <w:r>
              <w:rPr>
                <w:rFonts w:ascii="Verdana" w:hAnsi="Verdana" w:cs="Arial"/>
                <w:b/>
                <w:color w:val="FFCB05"/>
                <w:sz w:val="18"/>
                <w:szCs w:val="18"/>
              </w:rPr>
              <w:t>345.6</w:t>
            </w:r>
          </w:p>
        </w:tc>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634"/>
              <w:jc w:val="right"/>
              <w:rPr>
                <w:rFonts w:ascii="Verdana" w:hAnsi="Verdana" w:cs="Arial"/>
                <w:b/>
                <w:color w:val="FFCB05"/>
                <w:sz w:val="18"/>
                <w:szCs w:val="18"/>
              </w:rPr>
            </w:pPr>
            <w:r>
              <w:rPr>
                <w:rFonts w:ascii="Verdana" w:hAnsi="Verdana" w:cs="Arial"/>
                <w:b/>
                <w:color w:val="FFCB05"/>
                <w:sz w:val="18"/>
                <w:szCs w:val="18"/>
              </w:rPr>
              <w:t>445.7</w:t>
            </w:r>
          </w:p>
        </w:tc>
      </w:tr>
    </w:tbl>
    <w:p w:rsidR="00766764" w:rsidRDefault="00766764" w:rsidP="00766764">
      <w:pPr>
        <w:rPr>
          <w:rFonts w:ascii="Verdana" w:hAnsi="Verdana" w:cs="Arial"/>
          <w:sz w:val="20"/>
        </w:rPr>
      </w:pPr>
    </w:p>
    <w:p w:rsidR="00766764" w:rsidRDefault="00766764" w:rsidP="00766764">
      <w:pPr>
        <w:rPr>
          <w:rFonts w:ascii="Verdana" w:hAnsi="Verdana" w:cs="Arial"/>
          <w:sz w:val="20"/>
        </w:rPr>
      </w:pPr>
      <w:r w:rsidRPr="00AA3EB8">
        <w:rPr>
          <w:rFonts w:ascii="Verdana" w:hAnsi="Verdana" w:cs="Arial"/>
          <w:sz w:val="20"/>
        </w:rPr>
        <w:t xml:space="preserve">None of these exposures are past due or impaired. </w:t>
      </w:r>
    </w:p>
    <w:p w:rsidR="00766764" w:rsidRPr="00AA3EB8" w:rsidRDefault="00766764" w:rsidP="00766764">
      <w:pPr>
        <w:rPr>
          <w:rFonts w:ascii="Verdana" w:hAnsi="Verdana" w:cs="Arial"/>
          <w:b/>
          <w:sz w:val="20"/>
        </w:rPr>
      </w:pPr>
      <w:r w:rsidRPr="00AA3EB8">
        <w:rPr>
          <w:rFonts w:ascii="Verdana" w:hAnsi="Verdana" w:cs="Arial"/>
          <w:b/>
          <w:sz w:val="20"/>
        </w:rPr>
        <w:t>Credit quality of financial assets that are neither past due nor impaired</w:t>
      </w:r>
    </w:p>
    <w:p w:rsidR="00766764" w:rsidRDefault="00766764" w:rsidP="00766764">
      <w:pPr>
        <w:rPr>
          <w:rFonts w:ascii="Verdana" w:hAnsi="Verdana" w:cs="Arial"/>
          <w:sz w:val="20"/>
        </w:rPr>
      </w:pPr>
      <w:r w:rsidRPr="00AA3EB8">
        <w:rPr>
          <w:rFonts w:ascii="Verdana" w:hAnsi="Verdana" w:cs="Arial"/>
          <w:sz w:val="20"/>
        </w:rPr>
        <w:t>The following shows the exposures broken down by rating:</w:t>
      </w:r>
    </w:p>
    <w:p w:rsidR="00766764" w:rsidRPr="00AA3EB8" w:rsidRDefault="00766764" w:rsidP="00766764">
      <w:pPr>
        <w:rPr>
          <w:rFonts w:ascii="Verdana" w:hAnsi="Verdana" w:cs="Arial"/>
          <w:sz w:val="20"/>
        </w:rPr>
      </w:pPr>
    </w:p>
    <w:tbl>
      <w:tblPr>
        <w:tblStyle w:val="TableGrid"/>
        <w:tblW w:w="9503" w:type="dxa"/>
        <w:tblInd w:w="108" w:type="dxa"/>
        <w:tblLook w:val="04A0" w:firstRow="1" w:lastRow="0" w:firstColumn="1" w:lastColumn="0" w:noHBand="0" w:noVBand="1"/>
      </w:tblPr>
      <w:tblGrid>
        <w:gridCol w:w="5211"/>
        <w:gridCol w:w="2146"/>
        <w:gridCol w:w="2146"/>
      </w:tblGrid>
      <w:tr w:rsidR="00766764" w:rsidRPr="00AA3EB8" w:rsidTr="00BD0746">
        <w:trPr>
          <w:trHeight w:val="394"/>
        </w:trPr>
        <w:tc>
          <w:tcPr>
            <w:tcW w:w="521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2017</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40"/>
              <w:jc w:val="center"/>
              <w:rPr>
                <w:rFonts w:ascii="Verdana" w:hAnsi="Verdana" w:cs="Arial"/>
                <w:b/>
                <w:color w:val="FFCB05"/>
                <w:sz w:val="18"/>
                <w:szCs w:val="18"/>
              </w:rPr>
            </w:pPr>
            <w:r w:rsidRPr="00AA3EB8">
              <w:rPr>
                <w:rFonts w:ascii="Verdana" w:hAnsi="Verdana" w:cs="Arial"/>
                <w:b/>
                <w:color w:val="FFCB05"/>
                <w:sz w:val="18"/>
                <w:szCs w:val="18"/>
              </w:rPr>
              <w:t>2016</w:t>
            </w:r>
          </w:p>
        </w:tc>
      </w:tr>
      <w:tr w:rsidR="00766764" w:rsidRPr="00AA3EB8" w:rsidTr="00BD0746">
        <w:trPr>
          <w:trHeight w:val="420"/>
        </w:trPr>
        <w:tc>
          <w:tcPr>
            <w:tcW w:w="5211" w:type="dxa"/>
            <w:vMerge/>
            <w:tcBorders>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b/>
                <w:color w:val="FFCB05"/>
                <w:sz w:val="18"/>
                <w:szCs w:val="18"/>
              </w:rPr>
            </w:pP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ind w:right="-74"/>
              <w:jc w:val="center"/>
              <w:rPr>
                <w:rFonts w:ascii="Verdana" w:hAnsi="Verdana" w:cs="Arial"/>
                <w:b/>
                <w:color w:val="FFCB05"/>
                <w:sz w:val="18"/>
                <w:szCs w:val="18"/>
              </w:rPr>
            </w:pPr>
            <w:r w:rsidRPr="00AA3EB8">
              <w:rPr>
                <w:rFonts w:ascii="Verdana" w:hAnsi="Verdana" w:cs="Arial"/>
                <w:b/>
                <w:color w:val="FFCB05"/>
                <w:sz w:val="18"/>
                <w:szCs w:val="18"/>
              </w:rPr>
              <w:t>£m</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tcPr>
          <w:p w:rsidR="00766764" w:rsidRPr="00AA3EB8" w:rsidRDefault="00766764" w:rsidP="00BD0746">
            <w:pPr>
              <w:pStyle w:val="ACText"/>
              <w:ind w:right="-40"/>
              <w:jc w:val="center"/>
              <w:rPr>
                <w:rFonts w:ascii="Verdana" w:hAnsi="Verdana" w:cs="Arial"/>
                <w:b/>
                <w:color w:val="FFCB05"/>
                <w:sz w:val="18"/>
                <w:szCs w:val="18"/>
              </w:rPr>
            </w:pPr>
            <w:r w:rsidRPr="00AA3EB8">
              <w:rPr>
                <w:rFonts w:ascii="Verdana" w:hAnsi="Verdana" w:cs="Arial"/>
                <w:b/>
                <w:color w:val="FFCB05"/>
                <w:sz w:val="18"/>
                <w:szCs w:val="18"/>
              </w:rPr>
              <w:t>£m</w:t>
            </w:r>
          </w:p>
        </w:tc>
      </w:tr>
      <w:tr w:rsidR="00766764" w:rsidRPr="00AA3EB8" w:rsidTr="00BD0746">
        <w:trPr>
          <w:trHeight w:val="394"/>
        </w:trPr>
        <w:tc>
          <w:tcPr>
            <w:tcW w:w="5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 xml:space="preserve">AAA to AA- </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4051" w:rsidRDefault="00766764" w:rsidP="00BD0746">
            <w:pPr>
              <w:pStyle w:val="ACText"/>
              <w:tabs>
                <w:tab w:val="left" w:pos="1310"/>
                <w:tab w:val="left" w:pos="1944"/>
              </w:tabs>
              <w:ind w:right="634"/>
              <w:jc w:val="right"/>
              <w:rPr>
                <w:rFonts w:ascii="Verdana" w:hAnsi="Verdana" w:cs="Arial"/>
                <w:sz w:val="18"/>
                <w:szCs w:val="18"/>
              </w:rPr>
            </w:pPr>
            <w:r>
              <w:rPr>
                <w:rFonts w:ascii="Verdana" w:hAnsi="Verdana" w:cs="Arial"/>
                <w:sz w:val="18"/>
                <w:szCs w:val="18"/>
              </w:rPr>
              <w:t>298.5</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tabs>
                <w:tab w:val="left" w:pos="1310"/>
                <w:tab w:val="left" w:pos="1944"/>
              </w:tabs>
              <w:ind w:right="634"/>
              <w:jc w:val="right"/>
              <w:rPr>
                <w:rFonts w:ascii="Verdana" w:hAnsi="Verdana" w:cs="Arial"/>
                <w:sz w:val="18"/>
                <w:szCs w:val="18"/>
                <w:highlight w:val="green"/>
              </w:rPr>
            </w:pPr>
            <w:r>
              <w:rPr>
                <w:rFonts w:ascii="Verdana" w:hAnsi="Verdana" w:cs="Arial"/>
                <w:sz w:val="18"/>
                <w:szCs w:val="18"/>
              </w:rPr>
              <w:t>365.3</w:t>
            </w:r>
          </w:p>
        </w:tc>
      </w:tr>
      <w:tr w:rsidR="00766764" w:rsidRPr="00AA3EB8" w:rsidTr="00BD0746">
        <w:trPr>
          <w:trHeight w:val="407"/>
        </w:trPr>
        <w:tc>
          <w:tcPr>
            <w:tcW w:w="5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A+ to A-</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4051" w:rsidRDefault="00766764" w:rsidP="00BD0746">
            <w:pPr>
              <w:pStyle w:val="ACText"/>
              <w:tabs>
                <w:tab w:val="left" w:pos="1310"/>
                <w:tab w:val="left" w:pos="1944"/>
              </w:tabs>
              <w:ind w:right="634"/>
              <w:jc w:val="right"/>
              <w:rPr>
                <w:rFonts w:ascii="Verdana" w:hAnsi="Verdana" w:cs="Arial"/>
                <w:sz w:val="18"/>
                <w:szCs w:val="18"/>
              </w:rPr>
            </w:pPr>
            <w:r w:rsidRPr="00B04051">
              <w:rPr>
                <w:rFonts w:ascii="Verdana" w:hAnsi="Verdana" w:cs="Arial"/>
                <w:sz w:val="18"/>
                <w:szCs w:val="18"/>
              </w:rPr>
              <w:t>25.4</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tabs>
                <w:tab w:val="left" w:pos="1310"/>
                <w:tab w:val="left" w:pos="1944"/>
              </w:tabs>
              <w:ind w:right="634"/>
              <w:jc w:val="right"/>
              <w:rPr>
                <w:rFonts w:ascii="Verdana" w:hAnsi="Verdana" w:cs="Arial"/>
                <w:sz w:val="18"/>
                <w:szCs w:val="18"/>
                <w:highlight w:val="green"/>
              </w:rPr>
            </w:pPr>
            <w:r>
              <w:rPr>
                <w:rFonts w:ascii="Verdana" w:hAnsi="Verdana" w:cs="Arial"/>
                <w:sz w:val="18"/>
                <w:szCs w:val="18"/>
              </w:rPr>
              <w:t>55.1</w:t>
            </w:r>
          </w:p>
        </w:tc>
      </w:tr>
      <w:tr w:rsidR="00766764" w:rsidRPr="00AA3EB8" w:rsidTr="00BD0746">
        <w:trPr>
          <w:trHeight w:val="394"/>
        </w:trPr>
        <w:tc>
          <w:tcPr>
            <w:tcW w:w="5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jc w:val="left"/>
              <w:rPr>
                <w:rFonts w:ascii="Verdana" w:hAnsi="Verdana" w:cs="Arial"/>
                <w:sz w:val="18"/>
                <w:szCs w:val="18"/>
              </w:rPr>
            </w:pPr>
            <w:r w:rsidRPr="00AA3EB8">
              <w:rPr>
                <w:rFonts w:ascii="Verdana" w:hAnsi="Verdana" w:cs="Arial"/>
                <w:sz w:val="18"/>
                <w:szCs w:val="18"/>
              </w:rPr>
              <w:t>BBB+ to BBB-</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B04051" w:rsidRDefault="00766764" w:rsidP="00BD0746">
            <w:pPr>
              <w:pStyle w:val="ACText"/>
              <w:tabs>
                <w:tab w:val="left" w:pos="1310"/>
                <w:tab w:val="left" w:pos="1944"/>
              </w:tabs>
              <w:ind w:right="634"/>
              <w:jc w:val="right"/>
              <w:rPr>
                <w:rFonts w:ascii="Verdana" w:hAnsi="Verdana" w:cs="Arial"/>
                <w:sz w:val="18"/>
                <w:szCs w:val="18"/>
              </w:rPr>
            </w:pPr>
            <w:r w:rsidRPr="00B04051">
              <w:rPr>
                <w:rFonts w:ascii="Verdana" w:hAnsi="Verdana" w:cs="Arial"/>
                <w:sz w:val="18"/>
                <w:szCs w:val="18"/>
              </w:rPr>
              <w:t>17.8</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AA3EB8" w:rsidRDefault="00766764" w:rsidP="00BD0746">
            <w:pPr>
              <w:pStyle w:val="ACText"/>
              <w:tabs>
                <w:tab w:val="left" w:pos="1310"/>
                <w:tab w:val="left" w:pos="1944"/>
              </w:tabs>
              <w:ind w:right="634"/>
              <w:jc w:val="right"/>
              <w:rPr>
                <w:rFonts w:ascii="Verdana" w:hAnsi="Verdana" w:cs="Arial"/>
                <w:sz w:val="18"/>
                <w:szCs w:val="18"/>
              </w:rPr>
            </w:pPr>
            <w:r w:rsidRPr="00AA3EB8">
              <w:rPr>
                <w:rFonts w:ascii="Verdana" w:hAnsi="Verdana" w:cs="Arial"/>
                <w:sz w:val="18"/>
                <w:szCs w:val="18"/>
              </w:rPr>
              <w:t>21.9</w:t>
            </w:r>
          </w:p>
        </w:tc>
      </w:tr>
      <w:tr w:rsidR="00766764" w:rsidRPr="00AA3EB8" w:rsidTr="00BD0746">
        <w:trPr>
          <w:trHeight w:val="394"/>
        </w:trPr>
        <w:tc>
          <w:tcPr>
            <w:tcW w:w="5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54C48" w:rsidRDefault="00766764" w:rsidP="00BD0746">
            <w:pPr>
              <w:pStyle w:val="ACText"/>
              <w:jc w:val="left"/>
              <w:rPr>
                <w:rFonts w:ascii="Verdana" w:hAnsi="Verdana" w:cs="Arial"/>
                <w:sz w:val="18"/>
                <w:szCs w:val="18"/>
              </w:rPr>
            </w:pPr>
            <w:r w:rsidRPr="00154C48">
              <w:rPr>
                <w:rFonts w:ascii="Verdana" w:hAnsi="Verdana" w:cs="Arial"/>
                <w:sz w:val="18"/>
                <w:szCs w:val="18"/>
              </w:rPr>
              <w:t>BB+ to BB-</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54C48" w:rsidRDefault="00766764" w:rsidP="00BD0746">
            <w:pPr>
              <w:pStyle w:val="ACText"/>
              <w:tabs>
                <w:tab w:val="left" w:pos="1310"/>
                <w:tab w:val="left" w:pos="1944"/>
              </w:tabs>
              <w:ind w:right="634"/>
              <w:jc w:val="right"/>
              <w:rPr>
                <w:rFonts w:ascii="Verdana" w:hAnsi="Verdana" w:cs="Arial"/>
                <w:sz w:val="18"/>
                <w:szCs w:val="18"/>
              </w:rPr>
            </w:pPr>
            <w:r w:rsidRPr="00154C48">
              <w:rPr>
                <w:rFonts w:ascii="Verdana" w:hAnsi="Verdana" w:cs="Arial"/>
                <w:sz w:val="18"/>
                <w:szCs w:val="18"/>
              </w:rPr>
              <w:t>3.9</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vAlign w:val="center"/>
          </w:tcPr>
          <w:p w:rsidR="00766764" w:rsidRPr="00154C48" w:rsidRDefault="00766764" w:rsidP="00BD0746">
            <w:pPr>
              <w:pStyle w:val="ACText"/>
              <w:tabs>
                <w:tab w:val="left" w:pos="1310"/>
                <w:tab w:val="left" w:pos="1944"/>
              </w:tabs>
              <w:ind w:right="634"/>
              <w:jc w:val="right"/>
              <w:rPr>
                <w:rFonts w:ascii="Verdana" w:hAnsi="Verdana" w:cs="Arial"/>
                <w:sz w:val="18"/>
                <w:szCs w:val="18"/>
              </w:rPr>
            </w:pPr>
            <w:r w:rsidRPr="00154C48">
              <w:rPr>
                <w:rFonts w:ascii="Verdana" w:hAnsi="Verdana" w:cs="Arial"/>
                <w:sz w:val="18"/>
                <w:szCs w:val="18"/>
              </w:rPr>
              <w:t>3.4</w:t>
            </w:r>
          </w:p>
        </w:tc>
      </w:tr>
      <w:tr w:rsidR="00766764" w:rsidRPr="00AA3EB8" w:rsidTr="00BD0746">
        <w:trPr>
          <w:trHeight w:val="407"/>
        </w:trPr>
        <w:tc>
          <w:tcPr>
            <w:tcW w:w="5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jc w:val="left"/>
              <w:rPr>
                <w:rFonts w:ascii="Verdana" w:hAnsi="Verdana" w:cs="Arial"/>
                <w:color w:val="FFCB05"/>
                <w:sz w:val="18"/>
                <w:szCs w:val="18"/>
              </w:rPr>
            </w:pP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tabs>
                <w:tab w:val="left" w:pos="1310"/>
                <w:tab w:val="left" w:pos="1944"/>
              </w:tabs>
              <w:ind w:right="634"/>
              <w:jc w:val="right"/>
              <w:rPr>
                <w:rFonts w:ascii="Verdana" w:hAnsi="Verdana" w:cs="Arial"/>
                <w:b/>
                <w:color w:val="FFCB05"/>
                <w:sz w:val="18"/>
                <w:szCs w:val="18"/>
              </w:rPr>
            </w:pPr>
            <w:r>
              <w:rPr>
                <w:rFonts w:ascii="Verdana" w:hAnsi="Verdana" w:cs="Arial"/>
                <w:b/>
                <w:color w:val="FFCB05"/>
                <w:sz w:val="18"/>
                <w:szCs w:val="18"/>
              </w:rPr>
              <w:t>345.6</w:t>
            </w:r>
          </w:p>
        </w:tc>
        <w:tc>
          <w:tcPr>
            <w:tcW w:w="2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3B47"/>
            <w:vAlign w:val="center"/>
          </w:tcPr>
          <w:p w:rsidR="00766764" w:rsidRPr="00AA3EB8" w:rsidRDefault="00766764" w:rsidP="00BD0746">
            <w:pPr>
              <w:pStyle w:val="ACText"/>
              <w:tabs>
                <w:tab w:val="left" w:pos="1310"/>
                <w:tab w:val="left" w:pos="1944"/>
              </w:tabs>
              <w:ind w:right="634"/>
              <w:jc w:val="right"/>
              <w:rPr>
                <w:rFonts w:ascii="Verdana" w:hAnsi="Verdana" w:cs="Arial"/>
                <w:b/>
                <w:color w:val="FFCB05"/>
                <w:sz w:val="18"/>
                <w:szCs w:val="18"/>
              </w:rPr>
            </w:pPr>
            <w:r>
              <w:rPr>
                <w:rFonts w:ascii="Verdana" w:hAnsi="Verdana" w:cs="Arial"/>
                <w:b/>
                <w:color w:val="FFCB05"/>
                <w:sz w:val="18"/>
                <w:szCs w:val="18"/>
              </w:rPr>
              <w:t>445.7</w:t>
            </w:r>
          </w:p>
        </w:tc>
      </w:tr>
    </w:tbl>
    <w:p w:rsidR="00766764" w:rsidRPr="00AA3EB8" w:rsidRDefault="00766764" w:rsidP="00766764">
      <w:pPr>
        <w:rPr>
          <w:rFonts w:ascii="Verdana" w:hAnsi="Verdana" w:cs="Arial"/>
          <w:b/>
          <w:sz w:val="20"/>
        </w:rPr>
      </w:pPr>
    </w:p>
    <w:sectPr w:rsidR="00766764" w:rsidRPr="00AA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C0890C8"/>
    <w:lvl w:ilvl="0">
      <w:start w:val="1"/>
      <w:numFmt w:val="decimal"/>
      <w:lvlText w:val="%1"/>
      <w:lvlJc w:val="left"/>
      <w:pPr>
        <w:ind w:left="0" w:firstLine="0"/>
      </w:pPr>
      <w:rPr>
        <w:rFonts w:ascii="Verdana" w:hAnsi="Verdana" w:cs="Arial" w:hint="default"/>
        <w:b/>
        <w:i w:val="0"/>
        <w:color w:val="333333"/>
        <w:sz w:val="24"/>
        <w:szCs w:val="24"/>
      </w:rPr>
    </w:lvl>
    <w:lvl w:ilvl="1">
      <w:start w:val="1"/>
      <w:numFmt w:val="upperLetter"/>
      <w:pStyle w:val="Heading2"/>
      <w:lvlText w:val="%2."/>
      <w:lvlJc w:val="left"/>
      <w:pPr>
        <w:ind w:left="708" w:hanging="708"/>
      </w:pPr>
      <w:rPr>
        <w:rFonts w:hint="default"/>
      </w:rPr>
    </w:lvl>
    <w:lvl w:ilvl="2">
      <w:start w:val="1"/>
      <w:numFmt w:val="decimal"/>
      <w:pStyle w:val="Heading3"/>
      <w:lvlText w:val="%3."/>
      <w:lvlJc w:val="left"/>
      <w:pPr>
        <w:ind w:left="1416" w:hanging="708"/>
      </w:pPr>
      <w:rPr>
        <w:rFonts w:hint="default"/>
      </w:rPr>
    </w:lvl>
    <w:lvl w:ilvl="3">
      <w:start w:val="1"/>
      <w:numFmt w:val="lowerLetter"/>
      <w:pStyle w:val="Heading4"/>
      <w:lvlText w:val="%4)"/>
      <w:lvlJc w:val="left"/>
      <w:pPr>
        <w:ind w:left="2124" w:hanging="708"/>
      </w:pPr>
      <w:rPr>
        <w:rFonts w:hint="default"/>
      </w:rPr>
    </w:lvl>
    <w:lvl w:ilvl="4">
      <w:start w:val="1"/>
      <w:numFmt w:val="decimal"/>
      <w:pStyle w:val="Heading5"/>
      <w:lvlText w:val="(%5)"/>
      <w:lvlJc w:val="left"/>
      <w:pPr>
        <w:ind w:left="2832" w:hanging="708"/>
      </w:pPr>
      <w:rPr>
        <w:rFonts w:hint="default"/>
      </w:rPr>
    </w:lvl>
    <w:lvl w:ilvl="5">
      <w:start w:val="1"/>
      <w:numFmt w:val="lowerLetter"/>
      <w:pStyle w:val="Heading6"/>
      <w:lvlText w:val="(%6)"/>
      <w:lvlJc w:val="left"/>
      <w:pPr>
        <w:ind w:left="3540" w:hanging="708"/>
      </w:pPr>
      <w:rPr>
        <w:rFonts w:hint="default"/>
      </w:rPr>
    </w:lvl>
    <w:lvl w:ilvl="6">
      <w:start w:val="1"/>
      <w:numFmt w:val="lowerRoman"/>
      <w:pStyle w:val="Heading7"/>
      <w:lvlText w:val="(%7)"/>
      <w:lvlJc w:val="left"/>
      <w:pPr>
        <w:ind w:left="4248" w:hanging="708"/>
      </w:pPr>
      <w:rPr>
        <w:rFonts w:hint="default"/>
      </w:rPr>
    </w:lvl>
    <w:lvl w:ilvl="7">
      <w:start w:val="1"/>
      <w:numFmt w:val="lowerLetter"/>
      <w:pStyle w:val="Heading8"/>
      <w:lvlText w:val="(%8)"/>
      <w:lvlJc w:val="left"/>
      <w:pPr>
        <w:ind w:left="4956" w:hanging="708"/>
      </w:pPr>
      <w:rPr>
        <w:rFonts w:hint="default"/>
      </w:rPr>
    </w:lvl>
    <w:lvl w:ilvl="8">
      <w:start w:val="1"/>
      <w:numFmt w:val="lowerRoman"/>
      <w:pStyle w:val="Heading9"/>
      <w:lvlText w:val="(%9)"/>
      <w:lvlJc w:val="left"/>
      <w:pPr>
        <w:ind w:left="5664" w:hanging="708"/>
      </w:pPr>
      <w:rPr>
        <w:rFonts w:hint="default"/>
      </w:rPr>
    </w:lvl>
  </w:abstractNum>
  <w:abstractNum w:abstractNumId="1" w15:restartNumberingAfterBreak="0">
    <w:nsid w:val="02982AFB"/>
    <w:multiLevelType w:val="hybridMultilevel"/>
    <w:tmpl w:val="50FA1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D1A71"/>
    <w:multiLevelType w:val="hybridMultilevel"/>
    <w:tmpl w:val="0F3A82F4"/>
    <w:lvl w:ilvl="0" w:tplc="008C348A">
      <w:start w:val="36"/>
      <w:numFmt w:val="decimal"/>
      <w:lvlText w:val="%1."/>
      <w:lvlJc w:val="left"/>
      <w:pPr>
        <w:ind w:left="495" w:hanging="4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0791D"/>
    <w:multiLevelType w:val="hybridMultilevel"/>
    <w:tmpl w:val="963CF640"/>
    <w:lvl w:ilvl="0" w:tplc="7DE42CE4">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76F55"/>
    <w:multiLevelType w:val="hybridMultilevel"/>
    <w:tmpl w:val="87D8FA72"/>
    <w:lvl w:ilvl="0" w:tplc="3104EB6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9C0891"/>
    <w:multiLevelType w:val="hybridMultilevel"/>
    <w:tmpl w:val="C2168180"/>
    <w:lvl w:ilvl="0" w:tplc="FB00C36A">
      <w:start w:val="28"/>
      <w:numFmt w:val="decimal"/>
      <w:lvlText w:val="%1."/>
      <w:lvlJc w:val="left"/>
      <w:pPr>
        <w:ind w:left="495"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F3EAA"/>
    <w:multiLevelType w:val="hybridMultilevel"/>
    <w:tmpl w:val="47AE3DF6"/>
    <w:lvl w:ilvl="0" w:tplc="627209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3E753E"/>
    <w:multiLevelType w:val="hybridMultilevel"/>
    <w:tmpl w:val="EAECF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7D47D4"/>
    <w:multiLevelType w:val="hybridMultilevel"/>
    <w:tmpl w:val="4DA4E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A10AB"/>
    <w:multiLevelType w:val="hybridMultilevel"/>
    <w:tmpl w:val="3BF0BCFE"/>
    <w:lvl w:ilvl="0" w:tplc="258275EE">
      <w:start w:val="24"/>
      <w:numFmt w:val="decimal"/>
      <w:lvlText w:val="%1."/>
      <w:lvlJc w:val="left"/>
      <w:pPr>
        <w:ind w:left="495"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237A5F"/>
    <w:multiLevelType w:val="hybridMultilevel"/>
    <w:tmpl w:val="76508090"/>
    <w:lvl w:ilvl="0" w:tplc="2F682AC0">
      <w:start w:val="14"/>
      <w:numFmt w:val="decimal"/>
      <w:lvlText w:val="%1."/>
      <w:lvlJc w:val="left"/>
      <w:pPr>
        <w:ind w:left="495"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20795"/>
    <w:multiLevelType w:val="hybridMultilevel"/>
    <w:tmpl w:val="3E3CEF42"/>
    <w:lvl w:ilvl="0" w:tplc="17B6E23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D84026"/>
    <w:multiLevelType w:val="hybridMultilevel"/>
    <w:tmpl w:val="8D9C0A38"/>
    <w:lvl w:ilvl="0" w:tplc="930A927E">
      <w:start w:val="1"/>
      <w:numFmt w:val="decimal"/>
      <w:lvlText w:val="%1-"/>
      <w:lvlJc w:val="left"/>
      <w:pPr>
        <w:ind w:left="360" w:hanging="360"/>
      </w:pPr>
      <w:rPr>
        <w:rFonts w:ascii="Calibri" w:eastAsia="Times New Roman" w:hAnsi="Calibri" w:cs="Times New Roman" w:hint="default"/>
        <w:b/>
        <w:color w:val="4F81BD"/>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51B0937"/>
    <w:multiLevelType w:val="hybridMultilevel"/>
    <w:tmpl w:val="4322CB6C"/>
    <w:lvl w:ilvl="0" w:tplc="06EC0FBE">
      <w:start w:val="35"/>
      <w:numFmt w:val="decimal"/>
      <w:lvlText w:val="%1."/>
      <w:lvlJc w:val="left"/>
      <w:pPr>
        <w:ind w:left="495" w:hanging="42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14" w15:restartNumberingAfterBreak="0">
    <w:nsid w:val="68C93B7E"/>
    <w:multiLevelType w:val="hybridMultilevel"/>
    <w:tmpl w:val="DC9E4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812563"/>
    <w:multiLevelType w:val="hybridMultilevel"/>
    <w:tmpl w:val="8902B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01019C"/>
    <w:multiLevelType w:val="hybridMultilevel"/>
    <w:tmpl w:val="B40E3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26412B"/>
    <w:multiLevelType w:val="hybridMultilevel"/>
    <w:tmpl w:val="654EFE4C"/>
    <w:lvl w:ilvl="0" w:tplc="84FC576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0"/>
  </w:num>
  <w:num w:numId="5">
    <w:abstractNumId w:val="9"/>
  </w:num>
  <w:num w:numId="6">
    <w:abstractNumId w:val="0"/>
  </w:num>
  <w:num w:numId="7">
    <w:abstractNumId w:val="5"/>
  </w:num>
  <w:num w:numId="8">
    <w:abstractNumId w:val="13"/>
  </w:num>
  <w:num w:numId="9">
    <w:abstractNumId w:val="2"/>
  </w:num>
  <w:num w:numId="10">
    <w:abstractNumId w:val="1"/>
  </w:num>
  <w:num w:numId="11">
    <w:abstractNumId w:val="7"/>
  </w:num>
  <w:num w:numId="12">
    <w:abstractNumId w:val="14"/>
  </w:num>
  <w:num w:numId="13">
    <w:abstractNumId w:val="15"/>
  </w:num>
  <w:num w:numId="14">
    <w:abstractNumId w:val="8"/>
  </w:num>
  <w:num w:numId="15">
    <w:abstractNumId w:val="16"/>
  </w:num>
  <w:num w:numId="16">
    <w:abstractNumId w:val="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11"/>
    <w:rsid w:val="000152E0"/>
    <w:rsid w:val="000219C2"/>
    <w:rsid w:val="0002462C"/>
    <w:rsid w:val="00024B64"/>
    <w:rsid w:val="00032151"/>
    <w:rsid w:val="00113625"/>
    <w:rsid w:val="001A1F33"/>
    <w:rsid w:val="001B74DF"/>
    <w:rsid w:val="001D7052"/>
    <w:rsid w:val="00206C08"/>
    <w:rsid w:val="002A06BA"/>
    <w:rsid w:val="002A4820"/>
    <w:rsid w:val="002E42ED"/>
    <w:rsid w:val="00344857"/>
    <w:rsid w:val="00382E2D"/>
    <w:rsid w:val="003D0E0C"/>
    <w:rsid w:val="003D252A"/>
    <w:rsid w:val="004270DD"/>
    <w:rsid w:val="00481900"/>
    <w:rsid w:val="00487975"/>
    <w:rsid w:val="004C545B"/>
    <w:rsid w:val="004E1B0E"/>
    <w:rsid w:val="004F12EB"/>
    <w:rsid w:val="00512680"/>
    <w:rsid w:val="0051575B"/>
    <w:rsid w:val="00522CE7"/>
    <w:rsid w:val="00572686"/>
    <w:rsid w:val="005C1D9D"/>
    <w:rsid w:val="00615E7A"/>
    <w:rsid w:val="006D1B11"/>
    <w:rsid w:val="007445A1"/>
    <w:rsid w:val="00766764"/>
    <w:rsid w:val="008048F3"/>
    <w:rsid w:val="00821656"/>
    <w:rsid w:val="00874F4C"/>
    <w:rsid w:val="008A4578"/>
    <w:rsid w:val="008D05D4"/>
    <w:rsid w:val="008D7B18"/>
    <w:rsid w:val="008F6826"/>
    <w:rsid w:val="00991092"/>
    <w:rsid w:val="009B6A3A"/>
    <w:rsid w:val="00A21EF5"/>
    <w:rsid w:val="00AC4057"/>
    <w:rsid w:val="00B45B7E"/>
    <w:rsid w:val="00BA7F8D"/>
    <w:rsid w:val="00BD0746"/>
    <w:rsid w:val="00C60632"/>
    <w:rsid w:val="00C633C3"/>
    <w:rsid w:val="00D064D3"/>
    <w:rsid w:val="00D251CE"/>
    <w:rsid w:val="00D33611"/>
    <w:rsid w:val="00E04EC1"/>
    <w:rsid w:val="00E113CC"/>
    <w:rsid w:val="00E21DEF"/>
    <w:rsid w:val="00E41A81"/>
    <w:rsid w:val="00E83C86"/>
    <w:rsid w:val="00F3571E"/>
    <w:rsid w:val="00F624B2"/>
    <w:rsid w:val="00FA3157"/>
    <w:rsid w:val="00FC536B"/>
    <w:rsid w:val="00FE1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7455DB"/>
  <w15:chartTrackingRefBased/>
  <w15:docId w15:val="{8CA7CC90-A96B-4B19-AFFE-3DC42A8D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764"/>
    <w:pPr>
      <w:keepNext/>
      <w:overflowPunct w:val="0"/>
      <w:autoSpaceDE w:val="0"/>
      <w:autoSpaceDN w:val="0"/>
      <w:adjustRightInd w:val="0"/>
      <w:spacing w:before="130" w:after="0" w:line="240" w:lineRule="auto"/>
      <w:textAlignment w:val="baseline"/>
      <w:outlineLvl w:val="0"/>
    </w:pPr>
    <w:rPr>
      <w:rFonts w:ascii="Times New Roman" w:eastAsia="Times New Roman" w:hAnsi="Times New Roman" w:cs="Times New Roman"/>
      <w:b/>
      <w:sz w:val="20"/>
      <w:szCs w:val="20"/>
    </w:rPr>
  </w:style>
  <w:style w:type="paragraph" w:styleId="Heading2">
    <w:name w:val="heading 2"/>
    <w:basedOn w:val="Normal"/>
    <w:next w:val="Heading3"/>
    <w:link w:val="Heading2Char"/>
    <w:qFormat/>
    <w:rsid w:val="00766764"/>
    <w:pPr>
      <w:keepNext/>
      <w:numPr>
        <w:ilvl w:val="1"/>
        <w:numId w:val="6"/>
      </w:numPr>
      <w:overflowPunct w:val="0"/>
      <w:autoSpaceDE w:val="0"/>
      <w:autoSpaceDN w:val="0"/>
      <w:adjustRightInd w:val="0"/>
      <w:spacing w:before="260" w:after="40" w:line="360" w:lineRule="exact"/>
      <w:jc w:val="both"/>
      <w:textAlignment w:val="baseline"/>
      <w:outlineLvl w:val="1"/>
    </w:pPr>
    <w:rPr>
      <w:rFonts w:ascii="Times New Roman" w:eastAsia="Times New Roman" w:hAnsi="Times New Roman" w:cs="Times New Roman"/>
      <w:b/>
      <w:sz w:val="26"/>
      <w:szCs w:val="20"/>
    </w:rPr>
  </w:style>
  <w:style w:type="paragraph" w:styleId="Heading3">
    <w:name w:val="heading 3"/>
    <w:basedOn w:val="Normal"/>
    <w:next w:val="Normal"/>
    <w:link w:val="Heading3Char"/>
    <w:qFormat/>
    <w:rsid w:val="00766764"/>
    <w:pPr>
      <w:keepNext/>
      <w:numPr>
        <w:ilvl w:val="2"/>
        <w:numId w:val="6"/>
      </w:numPr>
      <w:overflowPunct w:val="0"/>
      <w:autoSpaceDE w:val="0"/>
      <w:autoSpaceDN w:val="0"/>
      <w:adjustRightInd w:val="0"/>
      <w:spacing w:before="260" w:after="0" w:line="360" w:lineRule="exact"/>
      <w:jc w:val="both"/>
      <w:textAlignment w:val="baseline"/>
      <w:outlineLvl w:val="2"/>
    </w:pPr>
    <w:rPr>
      <w:rFonts w:ascii="Times New Roman" w:eastAsia="Times New Roman" w:hAnsi="Times New Roman" w:cs="Times New Roman"/>
      <w:b/>
      <w:i/>
      <w:szCs w:val="20"/>
    </w:rPr>
  </w:style>
  <w:style w:type="paragraph" w:styleId="Heading4">
    <w:name w:val="heading 4"/>
    <w:basedOn w:val="Normal"/>
    <w:next w:val="Normal"/>
    <w:link w:val="Heading4Char"/>
    <w:qFormat/>
    <w:rsid w:val="00766764"/>
    <w:pPr>
      <w:keepNext/>
      <w:numPr>
        <w:ilvl w:val="3"/>
        <w:numId w:val="6"/>
      </w:numPr>
      <w:overflowPunct w:val="0"/>
      <w:autoSpaceDE w:val="0"/>
      <w:autoSpaceDN w:val="0"/>
      <w:adjustRightInd w:val="0"/>
      <w:spacing w:before="260" w:after="0" w:line="360" w:lineRule="exact"/>
      <w:jc w:val="both"/>
      <w:textAlignment w:val="baseline"/>
      <w:outlineLvl w:val="3"/>
    </w:pPr>
    <w:rPr>
      <w:rFonts w:ascii="Times New Roman" w:eastAsia="Times New Roman" w:hAnsi="Times New Roman" w:cs="Times New Roman"/>
      <w:i/>
      <w:szCs w:val="20"/>
    </w:rPr>
  </w:style>
  <w:style w:type="paragraph" w:styleId="Heading5">
    <w:name w:val="heading 5"/>
    <w:basedOn w:val="Normal"/>
    <w:link w:val="Heading5Char"/>
    <w:qFormat/>
    <w:rsid w:val="00766764"/>
    <w:pPr>
      <w:numPr>
        <w:ilvl w:val="4"/>
        <w:numId w:val="6"/>
      </w:numPr>
      <w:overflowPunct w:val="0"/>
      <w:autoSpaceDE w:val="0"/>
      <w:autoSpaceDN w:val="0"/>
      <w:adjustRightInd w:val="0"/>
      <w:spacing w:before="130" w:after="0" w:line="240" w:lineRule="auto"/>
      <w:jc w:val="both"/>
      <w:textAlignment w:val="baseline"/>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766764"/>
    <w:pPr>
      <w:numPr>
        <w:ilvl w:val="5"/>
        <w:numId w:val="6"/>
      </w:numPr>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cs="Times New Roman"/>
      <w:szCs w:val="20"/>
    </w:rPr>
  </w:style>
  <w:style w:type="paragraph" w:styleId="Heading7">
    <w:name w:val="heading 7"/>
    <w:basedOn w:val="Normal"/>
    <w:next w:val="Normal"/>
    <w:link w:val="Heading7Char"/>
    <w:qFormat/>
    <w:rsid w:val="00766764"/>
    <w:pPr>
      <w:numPr>
        <w:ilvl w:val="6"/>
        <w:numId w:val="6"/>
      </w:numPr>
      <w:overflowPunct w:val="0"/>
      <w:autoSpaceDE w:val="0"/>
      <w:autoSpaceDN w:val="0"/>
      <w:adjustRightInd w:val="0"/>
      <w:spacing w:before="240" w:after="60" w:line="240" w:lineRule="auto"/>
      <w:jc w:val="both"/>
      <w:textAlignment w:val="baseline"/>
      <w:outlineLvl w:val="6"/>
    </w:pPr>
    <w:rPr>
      <w:rFonts w:ascii="Times New Roman" w:eastAsia="Times New Roman" w:hAnsi="Times New Roman" w:cs="Times New Roman"/>
      <w:szCs w:val="20"/>
    </w:rPr>
  </w:style>
  <w:style w:type="paragraph" w:styleId="Heading8">
    <w:name w:val="heading 8"/>
    <w:basedOn w:val="Normal"/>
    <w:next w:val="Normal"/>
    <w:link w:val="Heading8Char"/>
    <w:qFormat/>
    <w:rsid w:val="00766764"/>
    <w:pPr>
      <w:numPr>
        <w:ilvl w:val="7"/>
        <w:numId w:val="6"/>
      </w:numPr>
      <w:overflowPunct w:val="0"/>
      <w:autoSpaceDE w:val="0"/>
      <w:autoSpaceDN w:val="0"/>
      <w:adjustRightInd w:val="0"/>
      <w:spacing w:before="240" w:after="60" w:line="240" w:lineRule="auto"/>
      <w:jc w:val="both"/>
      <w:textAlignment w:val="baseline"/>
      <w:outlineLvl w:val="7"/>
    </w:pPr>
    <w:rPr>
      <w:rFonts w:ascii="Times New Roman" w:eastAsia="Times New Roman" w:hAnsi="Times New Roman" w:cs="Times New Roman"/>
      <w:szCs w:val="20"/>
    </w:rPr>
  </w:style>
  <w:style w:type="paragraph" w:styleId="Heading9">
    <w:name w:val="heading 9"/>
    <w:basedOn w:val="Normal"/>
    <w:next w:val="Normal"/>
    <w:link w:val="Heading9Char"/>
    <w:qFormat/>
    <w:rsid w:val="00766764"/>
    <w:pPr>
      <w:numPr>
        <w:ilvl w:val="8"/>
        <w:numId w:val="6"/>
      </w:numPr>
      <w:overflowPunct w:val="0"/>
      <w:autoSpaceDE w:val="0"/>
      <w:autoSpaceDN w:val="0"/>
      <w:adjustRightInd w:val="0"/>
      <w:spacing w:before="240" w:after="60" w:line="240" w:lineRule="auto"/>
      <w:jc w:val="both"/>
      <w:textAlignment w:val="baseline"/>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11"/>
    <w:pPr>
      <w:ind w:left="720"/>
      <w:contextualSpacing/>
    </w:pPr>
  </w:style>
  <w:style w:type="paragraph" w:customStyle="1" w:styleId="ACText">
    <w:name w:val="AC Text"/>
    <w:basedOn w:val="Normal"/>
    <w:link w:val="ACTextChar"/>
    <w:rsid w:val="00766764"/>
    <w:pPr>
      <w:tabs>
        <w:tab w:val="left" w:pos="0"/>
      </w:tabs>
      <w:suppressAutoHyphens/>
      <w:overflowPunct w:val="0"/>
      <w:autoSpaceDE w:val="0"/>
      <w:autoSpaceDN w:val="0"/>
      <w:adjustRightInd w:val="0"/>
      <w:spacing w:before="130" w:after="0" w:line="240" w:lineRule="auto"/>
      <w:jc w:val="both"/>
      <w:textAlignment w:val="baseline"/>
    </w:pPr>
    <w:rPr>
      <w:rFonts w:ascii="Times New Roman" w:eastAsia="Times New Roman" w:hAnsi="Times New Roman" w:cs="Times New Roman"/>
      <w:sz w:val="20"/>
      <w:szCs w:val="20"/>
    </w:rPr>
  </w:style>
  <w:style w:type="character" w:customStyle="1" w:styleId="ACTextChar">
    <w:name w:val="AC Text Char"/>
    <w:link w:val="ACText"/>
    <w:rsid w:val="00766764"/>
    <w:rPr>
      <w:rFonts w:ascii="Times New Roman" w:eastAsia="Times New Roman" w:hAnsi="Times New Roman" w:cs="Times New Roman"/>
      <w:sz w:val="20"/>
      <w:szCs w:val="20"/>
    </w:rPr>
  </w:style>
  <w:style w:type="table" w:styleId="TableGrid">
    <w:name w:val="Table Grid"/>
    <w:basedOn w:val="TableNormal"/>
    <w:rsid w:val="0076676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766764"/>
    <w:pPr>
      <w:overflowPunct w:val="0"/>
      <w:autoSpaceDE w:val="0"/>
      <w:autoSpaceDN w:val="0"/>
      <w:adjustRightInd w:val="0"/>
      <w:spacing w:after="0" w:line="240" w:lineRule="auto"/>
      <w:ind w:left="153" w:hanging="153"/>
      <w:jc w:val="both"/>
      <w:textAlignment w:val="baseline"/>
    </w:pPr>
    <w:rPr>
      <w:rFonts w:ascii="Times New Roman" w:eastAsia="Times New Roman" w:hAnsi="Times New Roman" w:cs="Times New Roman"/>
      <w:sz w:val="18"/>
      <w:szCs w:val="20"/>
    </w:rPr>
  </w:style>
  <w:style w:type="character" w:customStyle="1" w:styleId="Heading1Char">
    <w:name w:val="Heading 1 Char"/>
    <w:basedOn w:val="DefaultParagraphFont"/>
    <w:link w:val="Heading1"/>
    <w:uiPriority w:val="9"/>
    <w:rsid w:val="00766764"/>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766764"/>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766764"/>
    <w:rPr>
      <w:rFonts w:ascii="Times New Roman" w:eastAsia="Times New Roman" w:hAnsi="Times New Roman" w:cs="Times New Roman"/>
      <w:b/>
      <w:i/>
      <w:szCs w:val="20"/>
    </w:rPr>
  </w:style>
  <w:style w:type="character" w:customStyle="1" w:styleId="Heading4Char">
    <w:name w:val="Heading 4 Char"/>
    <w:basedOn w:val="DefaultParagraphFont"/>
    <w:link w:val="Heading4"/>
    <w:rsid w:val="00766764"/>
    <w:rPr>
      <w:rFonts w:ascii="Times New Roman" w:eastAsia="Times New Roman" w:hAnsi="Times New Roman" w:cs="Times New Roman"/>
      <w:i/>
      <w:szCs w:val="20"/>
    </w:rPr>
  </w:style>
  <w:style w:type="character" w:customStyle="1" w:styleId="Heading5Char">
    <w:name w:val="Heading 5 Char"/>
    <w:basedOn w:val="DefaultParagraphFont"/>
    <w:link w:val="Heading5"/>
    <w:rsid w:val="00766764"/>
    <w:rPr>
      <w:rFonts w:ascii="Times New Roman" w:eastAsia="Times New Roman" w:hAnsi="Times New Roman" w:cs="Times New Roman"/>
      <w:szCs w:val="20"/>
    </w:rPr>
  </w:style>
  <w:style w:type="character" w:customStyle="1" w:styleId="Heading6Char">
    <w:name w:val="Heading 6 Char"/>
    <w:basedOn w:val="DefaultParagraphFont"/>
    <w:link w:val="Heading6"/>
    <w:rsid w:val="00766764"/>
    <w:rPr>
      <w:rFonts w:ascii="Times New Roman" w:eastAsia="Times New Roman" w:hAnsi="Times New Roman" w:cs="Times New Roman"/>
      <w:szCs w:val="20"/>
    </w:rPr>
  </w:style>
  <w:style w:type="character" w:customStyle="1" w:styleId="Heading7Char">
    <w:name w:val="Heading 7 Char"/>
    <w:basedOn w:val="DefaultParagraphFont"/>
    <w:link w:val="Heading7"/>
    <w:rsid w:val="00766764"/>
    <w:rPr>
      <w:rFonts w:ascii="Times New Roman" w:eastAsia="Times New Roman" w:hAnsi="Times New Roman" w:cs="Times New Roman"/>
      <w:szCs w:val="20"/>
    </w:rPr>
  </w:style>
  <w:style w:type="character" w:customStyle="1" w:styleId="Heading8Char">
    <w:name w:val="Heading 8 Char"/>
    <w:basedOn w:val="DefaultParagraphFont"/>
    <w:link w:val="Heading8"/>
    <w:rsid w:val="00766764"/>
    <w:rPr>
      <w:rFonts w:ascii="Times New Roman" w:eastAsia="Times New Roman" w:hAnsi="Times New Roman" w:cs="Times New Roman"/>
      <w:szCs w:val="20"/>
    </w:rPr>
  </w:style>
  <w:style w:type="character" w:customStyle="1" w:styleId="Heading9Char">
    <w:name w:val="Heading 9 Char"/>
    <w:basedOn w:val="DefaultParagraphFont"/>
    <w:link w:val="Heading9"/>
    <w:rsid w:val="00766764"/>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487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975"/>
    <w:rPr>
      <w:rFonts w:ascii="Segoe UI" w:hAnsi="Segoe UI" w:cs="Segoe UI"/>
      <w:sz w:val="18"/>
      <w:szCs w:val="18"/>
    </w:rPr>
  </w:style>
  <w:style w:type="character" w:styleId="CommentReference">
    <w:name w:val="annotation reference"/>
    <w:basedOn w:val="DefaultParagraphFont"/>
    <w:uiPriority w:val="99"/>
    <w:semiHidden/>
    <w:unhideWhenUsed/>
    <w:rsid w:val="00E113CC"/>
    <w:rPr>
      <w:sz w:val="16"/>
      <w:szCs w:val="16"/>
    </w:rPr>
  </w:style>
  <w:style w:type="paragraph" w:customStyle="1" w:styleId="CommentText1">
    <w:name w:val="Comment Text1"/>
    <w:basedOn w:val="Normal"/>
    <w:next w:val="CommentText"/>
    <w:link w:val="CommentTextChar"/>
    <w:uiPriority w:val="99"/>
    <w:semiHidden/>
    <w:unhideWhenUsed/>
    <w:rsid w:val="00E113CC"/>
    <w:pPr>
      <w:spacing w:after="200" w:line="240" w:lineRule="auto"/>
    </w:pPr>
    <w:rPr>
      <w:sz w:val="20"/>
      <w:szCs w:val="20"/>
    </w:rPr>
  </w:style>
  <w:style w:type="character" w:customStyle="1" w:styleId="CommentTextChar">
    <w:name w:val="Comment Text Char"/>
    <w:basedOn w:val="DefaultParagraphFont"/>
    <w:link w:val="CommentText1"/>
    <w:uiPriority w:val="99"/>
    <w:semiHidden/>
    <w:rsid w:val="00E113CC"/>
    <w:rPr>
      <w:sz w:val="20"/>
      <w:szCs w:val="20"/>
    </w:rPr>
  </w:style>
  <w:style w:type="paragraph" w:styleId="CommentText">
    <w:name w:val="annotation text"/>
    <w:basedOn w:val="Normal"/>
    <w:link w:val="CommentTextChar1"/>
    <w:uiPriority w:val="99"/>
    <w:semiHidden/>
    <w:unhideWhenUsed/>
    <w:rsid w:val="00E113CC"/>
    <w:pPr>
      <w:spacing w:line="240" w:lineRule="auto"/>
    </w:pPr>
    <w:rPr>
      <w:sz w:val="20"/>
      <w:szCs w:val="20"/>
    </w:rPr>
  </w:style>
  <w:style w:type="character" w:customStyle="1" w:styleId="CommentTextChar1">
    <w:name w:val="Comment Text Char1"/>
    <w:basedOn w:val="DefaultParagraphFont"/>
    <w:link w:val="CommentText"/>
    <w:uiPriority w:val="99"/>
    <w:semiHidden/>
    <w:rsid w:val="00E113CC"/>
    <w:rPr>
      <w:sz w:val="20"/>
      <w:szCs w:val="20"/>
    </w:rPr>
  </w:style>
  <w:style w:type="character" w:styleId="Hyperlink">
    <w:name w:val="Hyperlink"/>
    <w:basedOn w:val="DefaultParagraphFont"/>
    <w:uiPriority w:val="99"/>
    <w:unhideWhenUsed/>
    <w:rsid w:val="00FC536B"/>
    <w:rPr>
      <w:color w:val="0563C1" w:themeColor="hyperlink"/>
      <w:u w:val="single"/>
    </w:rPr>
  </w:style>
  <w:style w:type="character" w:styleId="UnresolvedMention">
    <w:name w:val="Unresolved Mention"/>
    <w:basedOn w:val="DefaultParagraphFont"/>
    <w:uiPriority w:val="99"/>
    <w:semiHidden/>
    <w:unhideWhenUsed/>
    <w:rsid w:val="00FC53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eth.Davies2@Hodge.co.uk" TargetMode="Externa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odgebank.co.uk/" TargetMode="External"/><Relationship Id="rId4" Type="http://schemas.openxmlformats.org/officeDocument/2006/relationships/settings" Target="settings.xml"/><Relationship Id="rId9" Type="http://schemas.openxmlformats.org/officeDocument/2006/relationships/hyperlink" Target="mailto:David.Ryan@Hodg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BB336-934D-4139-8D69-D2FB4389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Davies2</dc:creator>
  <cp:keywords/>
  <dc:description/>
  <cp:lastModifiedBy>Gareth Davies2</cp:lastModifiedBy>
  <cp:revision>4</cp:revision>
  <cp:lastPrinted>2018-05-11T14:51:00Z</cp:lastPrinted>
  <dcterms:created xsi:type="dcterms:W3CDTF">2018-05-14T15:03:00Z</dcterms:created>
  <dcterms:modified xsi:type="dcterms:W3CDTF">2018-05-14T15:08:00Z</dcterms:modified>
</cp:coreProperties>
</file>