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8"/>
        </w:rPr>
        <w:t>Device-Guided Calibration of the Stanford RRAM Compact Model for Sputter-Deposited TaOₓ Devices:</w:t>
        <w:br/>
        <w:t>How Much of a Fitted Parameter Set Can We Trust?</w:t>
      </w:r>
    </w:p>
    <w:p>
      <w:pPr>
        <w:spacing w:after="20"/>
        <w:jc w:val="center"/>
      </w:pPr>
      <w:r>
        <w:rPr>
          <w:sz w:val="21"/>
        </w:rPr>
        <w:t>Md Taawsif Rahman Chowdhury, Atefeh Moazzeni, and Gozde Tutuncuoglu</w:t>
      </w:r>
    </w:p>
    <w:p>
      <w:pPr>
        <w:spacing w:after="160"/>
        <w:jc w:val="center"/>
      </w:pPr>
      <w:r>
        <w:rPr>
          <w:i/>
          <w:sz w:val="18"/>
        </w:rPr>
        <w:t>Department of Electrical and Computer Engineering, Wayne State University, Detroit, MI 48202 USA</w:t>
      </w:r>
    </w:p>
    <w:p>
      <w:pPr>
        <w:spacing w:after="80"/>
        <w:jc w:val="both"/>
      </w:pPr>
      <w:r>
        <w:t>Resistive RAM (RRAM) is a leading candidate for embedded nonvolatile memory and in-memory computing, and almost every circuit- or process-level study of it eventually has to turn a measured current–voltage (I–V) switching loop into a set of compact-model parameters. The Stanford–PKU model is the usual target: it describes bipolar filamentary switching with a single “gap” state variable, a sinh-shaped tunneling current, and a thermally accelerated gap growth/rupture law. The standard way to report such a calibration is to overlay one simulated curve on one measured loop and show that the two match. That picture is necessary but not sufficient. A good overlay does not establish two things a device or process engineer actually needs: (i) that the extracted parameters describe the whole device — every measured cycle — rather than only the single loop that was fitted, and (ii) that each individual number is genuinely pinned down by the data rather than being one of many values that fit equally well. We call the first question generalization and the second identifiability. Both are simple, but they are rarely reported alongside RRAM parameter sets.</w:t>
      </w:r>
    </w:p>
    <w:p>
      <w:pPr>
        <w:spacing w:after="80"/>
        <w:jc w:val="both"/>
      </w:pPr>
      <w:r>
        <w:t>We built an automated, device-guided extraction flow for the Stanford model and applied it uniformly to twelve sputter-deposited TaOₓ conditions spanning 20–35% oxygen in the sputter ambient and 75–250 W RF power (a face-centered factorial design with four repeated center points). The flow makes four contributions, which are the novel content of this work. First, it reads the device physics before fitting: every part of the measured loop is classified by conduction mechanism, and that map both guides the fit and flags the regions the Stanford current law physically cannot reproduce. Second, it tests generalization directly, by scoring a fit made on one representative cycle against every other measured cycle of the same device. Third, it audits identifiability, reporting which parameters are repeatable enough to carry physical meaning. Fourth, it uses only those trustworthy parameters to extract deposition trends, and in doing so exposes a device-physics limit of the Stanford model for TaOₓ.</w:t>
      </w:r>
    </w:p>
    <w:p>
      <w:pPr>
        <w:spacing w:after="80"/>
        <w:jc w:val="both"/>
      </w:pPr>
      <w:r>
        <w:t>The devices are 4-µm cross-point TaOₓ cells with the standard asymmetric Ta-oxide bilayer stack, measured under DC bipolar switching on a Keysight B1500. Each device contributes tens of measured cycles; an automated quality screen removes shorted, open, incomplete, or noise-floor sweeps before any fitting (for the representative S1 device, all 40 cycles pass, mean quality 8.9/10). For each condition the flow then picks one representative cycle automatically — the medoid, the single measured loop closest to the typical (median) behavior of all the cycles — instead of letting a person choose a good-looking trace by eye. Using a real measured loop, rather than an averaged synthetic curve, preserves the true hysteresis order, the switching kinks, and the compliance-limited plateau that the model must reproduce. The remaining cycles are set aside for the generalization and repeatability tests below.</w:t>
      </w:r>
    </w:p>
    <w:p>
      <w:pPr>
        <w:spacing w:after="80"/>
        <w:jc w:val="both"/>
      </w:pPr>
      <w:r>
        <w:t>Before any fitting, each resistance-state segment of the representative loop is classified as ohmic, Poole–Frenkel, Schottky, or Fowler–Nordheim conduction (Fig. 1). Because some of these signatures look almost identical over a short voltage span, we add a physical sanity check: the measured slope is converted into an effective dielectric constant, and a label is accepted only if that value is physically reasonable for the 7-nm oxide. The model itself — the Stanford Verilog-A description — is then simulated in HSPICE, and its parameters are tuned to match the measured loop on a logarithmic current scale (the sweep spans several decades of current, so a log scale gives all of them fair weight). The search uses Bayesian optimization, a guided search that learns from each trial which parameter values to try next, so it reaches a good fit in a few hundred simulations instead of scanning a grid, followed by a short local polish. Importantly, the parts of the curve the Stanford law cannot represent (the Schottky/FN regions) are down-weighted during fitting so they cannot distort the parameters the model can represent, but they are restored to full weight when we report the final error so the mismatch stays visible.</w:t>
      </w:r>
    </w:p>
    <w:p>
      <w:pPr>
        <w:spacing w:after="80"/>
        <w:jc w:val="both"/>
      </w:pPr>
      <w:r>
        <w:t>Across all twelve conditions the fits reproduce the measured butterfly curves with a typical error of 0.530 current decades for SET and 0.761 for RESET. (“Error” here is the root-mean-square gap between simulated and measured current along the sweep; one decade is a factor of ten, so 0.5 decade means the simulated current is typically within about a factor of three of the measurement.) The fits capture the hysteresis order, both switching transitions, the compliance plateau, and the LRS return branch. The leftover error is not random scatter: a simple residual test — the Durbin–Watson statistic, which detects whether the error drifts smoothly along the sweep rather than jittering point to point — shows it is systematic. That is the signature of a missing physical term, not of optimizer failure, and the regime map tells us which term: the high-resistance state (HRS) is interface-limited Schottky conduction in 92.5–100% of cycles for every condition (Fig. 2), a mechanism the Stanford bulk current law does not contain.</w:t>
      </w:r>
    </w:p>
    <w:p>
      <w:pPr>
        <w:spacing w:after="80"/>
        <w:jc w:val="both"/>
      </w:pPr>
      <w:r>
        <w:t>The most important check is whether a fit made on one cycle describes the cycles it never saw. We score the fitted curve, point by point, against every measured cycle of the device. Averaged over conditions, this held-out error is 0.542 (SET) and 0.800 (RESET) decades, versus the in-sample 0.530 and 0.761 — a gap of only about 0.01–0.04 decade (Fig. 3). For every condition the fitted-cycle value sits inside the spread of the held-out cycles. In other words, the representative cycle is simply the most central member of a population the model reproduces uniformly: the calibration is a property of the device, not an artifact of which loop we happened to fit.</w:t>
      </w:r>
    </w:p>
    <w:p>
      <w:pPr>
        <w:spacing w:after="80"/>
        <w:jc w:val="both"/>
      </w:pPr>
      <w:r>
        <w:t>A fit that generalizes can still hide parameters that the data do not actually determine. To find them we resample the measurement: we repeatedly draw random subsets of the measured cycles, refit each time, and watch how much each parameter moves — a procedure called the bootstrap. A parameter with a small spread relative to its size (a small coefficient of variation, CV) is repeatably determined; a large CV means many values fit the data about equally well. The branch voltage scales are the most repeatable coordinates (CV ≈ 0.28), consistent with the curvature of the switching branch directly fixing them. In contrast, series resistance and the velocity prefactors are unstable (CV &gt; 1), and the current scale and activation energies vary substantially (Fig. 4). A purely local sensitivity calculation (a Fisher analysis, which only asks how sharply the fit error changes if a parameter is nudged at the best fit) can be misleading here: it can make series resistance look well determined at a single fit, yet that same parameter wanders the most under resampling. We therefore trust the repeatability test and keep the local calculation only as a cross-check. The honest conclusion is that DC butterfly data constrain effective branch scales and switching-field combinations far better than they constrain a unique split into current prefactor, gap size, activation energy, and kinetic prefactor.</w:t>
      </w:r>
    </w:p>
    <w:p>
      <w:pPr>
        <w:spacing w:after="80"/>
        <w:jc w:val="both"/>
      </w:pPr>
      <w:r>
        <w:t>This directly tells a process engineer which extracted numbers may be plotted against deposition. Only the repeatable branch voltage scales are admissible, and they do vary systematically — for example, the RESET voltage scale trends lower at the high-oxygen, low-power corners than at the oxygen-poor corners (Fig. 5). Series resistance, although it often looks locally well determined, carries bootstrap intervals spanning one to two orders of magnitude; its apparent process variation cannot be separated from cycle-to-cycle noise and must not be read as a deposition trend. Finally, the regime classifier yields a process-facing physical observable that is not a fitting knob at all: the effective dielectric constant of the post-RESET Schottky barrier. It lands between about 4.7 and 32 — physically reasonable — for all twelve conditions (Fig. 6), confirming that the HRS is interface-limited Schottky emission across the entire process window, and that this mechanism, absent from the Stanford bulk law, sets the floor on achievable RESET accuracy.</w:t>
      </w:r>
    </w:p>
    <w:p>
      <w:pPr>
        <w:spacing w:after="80"/>
        <w:jc w:val="both"/>
      </w:pPr>
      <w:r>
        <w:rPr>
          <w:b/>
        </w:rPr>
        <w:t xml:space="preserve">In summary, </w:t>
      </w:r>
      <w:r>
        <w:t>for sputter-deposited TaOₓ the Stanford compact model can be calibrated to within about half a current decade, and — more importantly — that calibration generalizes from one representative cycle to the full measured-cycle population of the device. But the fitted parameter table must not be read uniformly: only the branch voltage scales and switching-field combinations are repeatable enough to compare across deposition conditions, while series resistance, velocity prefactors, activation energies, and gap geometry behave as numerical fitting knobs rather than process outputs from DC sweeps alone. The same analysis pinpoints the model's physical limitation — the post-RESET HRS is Schottky-limited in nearly every cycle of every condition, a mechanism the Stanford bulk current law lacks. The practical recommendation is therefore to report an RRAM compact-model calibration as four items together — fit quality, cycle-to-cycle generalization, parameter identifiability, and conduction-mechanism validity — rather than a single overlay plot, so a reader can tell which extracted numbers are measurements of the device and which are merely well-fitting knobs.</w:t>
      </w:r>
    </w:p>
    <w:p>
      <w:r>
        <w:br w:type="page"/>
      </w:r>
    </w:p>
    <w:p>
      <w:pPr>
        <w:spacing w:after="120"/>
      </w:pPr>
      <w:r>
        <w:rPr>
          <w:b/>
          <w:sz w:val="22"/>
        </w:rPr>
        <w:t>Figures</w:t>
      </w:r>
    </w:p>
    <w:tbl>
      <w:tblPr>
        <w:tblW w:type="auto" w:w="0"/>
        <w:tblLayout w:type="autofit"/>
        <w:tblLook w:firstColumn="1" w:firstRow="1" w:lastColumn="0" w:lastRow="0" w:noHBand="0" w:noVBand="1" w:val="04A0"/>
      </w:tblPr>
      <w:tblGrid>
        <w:gridCol w:w="4896"/>
        <w:gridCol w:w="4896"/>
      </w:tblGrid>
      <w:tr>
        <w:tc>
          <w:tcPr>
            <w:tcW w:type="dxa" w:w="4896"/>
          </w:tcPr>
          <w:p>
            <w:pPr>
              <w:spacing w:after="40"/>
              <w:jc w:val="center"/>
            </w:pPr>
            <w:r>
              <w:drawing>
                <wp:inline xmlns:a="http://schemas.openxmlformats.org/drawingml/2006/main" xmlns:pic="http://schemas.openxmlformats.org/drawingml/2006/picture">
                  <wp:extent cx="2743200" cy="1995055"/>
                  <wp:docPr id="1" name="Picture 1"/>
                  <wp:cNvGraphicFramePr>
                    <a:graphicFrameLocks noChangeAspect="1"/>
                  </wp:cNvGraphicFramePr>
                  <a:graphic>
                    <a:graphicData uri="http://schemas.openxmlformats.org/drawingml/2006/picture">
                      <pic:pic>
                        <pic:nvPicPr>
                          <pic:cNvPr id="0" name="S1_B6-01-4um-12_regime_overview.png"/>
                          <pic:cNvPicPr/>
                        </pic:nvPicPr>
                        <pic:blipFill>
                          <a:blip r:embed="rId9"/>
                          <a:stretch>
                            <a:fillRect/>
                          </a:stretch>
                        </pic:blipFill>
                        <pic:spPr>
                          <a:xfrm>
                            <a:off x="0" y="0"/>
                            <a:ext cx="2743200" cy="1995055"/>
                          </a:xfrm>
                          <a:prstGeom prst="rect"/>
                        </pic:spPr>
                      </pic:pic>
                    </a:graphicData>
                  </a:graphic>
                </wp:inline>
              </w:drawing>
            </w:r>
          </w:p>
          <w:p>
            <w:pPr>
              <w:spacing w:after="160"/>
              <w:jc w:val="left"/>
            </w:pPr>
            <w:r>
              <w:rPr>
                <w:b/>
                <w:i/>
                <w:sz w:val="16"/>
              </w:rPr>
              <w:t>Fig. 1.</w:t>
            </w:r>
            <w:r>
              <w:rPr>
                <w:i/>
                <w:sz w:val="16"/>
              </w:rPr>
              <w:t xml:space="preserve"> Conduction-regime classification of the four resistance-state segments of a representative S1 cycle. The two low-resistance (LRS) segments are ohmic (R²≥0.98); the two high-resistance (HRS) segments are Schottky-limited, with a Fowler–Nordheim window near the SET transition. This map tells the fitter where the Stanford bulk current law can and cannot follow the data.</w:t>
            </w:r>
          </w:p>
        </w:tc>
        <w:tc>
          <w:tcPr>
            <w:tcW w:type="dxa" w:w="4896"/>
          </w:tcPr>
          <w:p>
            <w:pPr>
              <w:spacing w:after="40"/>
              <w:jc w:val="center"/>
            </w:pPr>
            <w:r>
              <w:drawing>
                <wp:inline xmlns:a="http://schemas.openxmlformats.org/drawingml/2006/main" xmlns:pic="http://schemas.openxmlformats.org/drawingml/2006/picture">
                  <wp:extent cx="2743200" cy="914400"/>
                  <wp:docPr id="2" name="Picture 2"/>
                  <wp:cNvGraphicFramePr>
                    <a:graphicFrameLocks noChangeAspect="1"/>
                  </wp:cNvGraphicFramePr>
                  <a:graphic>
                    <a:graphicData uri="http://schemas.openxmlformats.org/drawingml/2006/picture">
                      <pic:pic>
                        <pic:nvPicPr>
                          <pic:cNvPr id="0" name="mechanism_map.png"/>
                          <pic:cNvPicPr/>
                        </pic:nvPicPr>
                        <pic:blipFill>
                          <a:blip r:embed="rId10"/>
                          <a:stretch>
                            <a:fillRect/>
                          </a:stretch>
                        </pic:blipFill>
                        <pic:spPr>
                          <a:xfrm>
                            <a:off x="0" y="0"/>
                            <a:ext cx="2743200" cy="914400"/>
                          </a:xfrm>
                          <a:prstGeom prst="rect"/>
                        </pic:spPr>
                      </pic:pic>
                    </a:graphicData>
                  </a:graphic>
                </wp:inline>
              </w:drawing>
            </w:r>
          </w:p>
          <w:p>
            <w:pPr>
              <w:spacing w:after="160"/>
              <w:jc w:val="left"/>
            </w:pPr>
            <w:r>
              <w:rPr>
                <w:b/>
                <w:i/>
                <w:sz w:val="16"/>
              </w:rPr>
              <w:t>Fig. 2.</w:t>
            </w:r>
            <w:r>
              <w:rPr>
                <w:i/>
                <w:sz w:val="16"/>
              </w:rPr>
              <w:t xml:space="preserve"> Dominant conduction mechanism and its cycle-to-cycle stability for every resistance-state segment and all twelve deposition conditions. The post-SET LRS is consistently ohmic; the post-RESET HRS is Schottky-dominant in 92.5–100% of cycles everywhere.</w:t>
            </w:r>
          </w:p>
        </w:tc>
      </w:tr>
      <w:tr>
        <w:tc>
          <w:tcPr>
            <w:tcW w:type="dxa" w:w="4896"/>
          </w:tcPr>
          <w:p>
            <w:pPr>
              <w:spacing w:after="40"/>
              <w:jc w:val="center"/>
            </w:pPr>
            <w:r>
              <w:drawing>
                <wp:inline xmlns:a="http://schemas.openxmlformats.org/drawingml/2006/main" xmlns:pic="http://schemas.openxmlformats.org/drawingml/2006/picture">
                  <wp:extent cx="2743200" cy="1306164"/>
                  <wp:docPr id="3" name="Picture 3"/>
                  <wp:cNvGraphicFramePr>
                    <a:graphicFrameLocks noChangeAspect="1"/>
                  </wp:cNvGraphicFramePr>
                  <a:graphic>
                    <a:graphicData uri="http://schemas.openxmlformats.org/drawingml/2006/picture">
                      <pic:pic>
                        <pic:nvPicPr>
                          <pic:cNvPr id="0" name="heldout_rmse.png"/>
                          <pic:cNvPicPr/>
                        </pic:nvPicPr>
                        <pic:blipFill>
                          <a:blip r:embed="rId11"/>
                          <a:stretch>
                            <a:fillRect/>
                          </a:stretch>
                        </pic:blipFill>
                        <pic:spPr>
                          <a:xfrm>
                            <a:off x="0" y="0"/>
                            <a:ext cx="2743200" cy="1306164"/>
                          </a:xfrm>
                          <a:prstGeom prst="rect"/>
                        </pic:spPr>
                      </pic:pic>
                    </a:graphicData>
                  </a:graphic>
                </wp:inline>
              </w:drawing>
            </w:r>
          </w:p>
          <w:p>
            <w:pPr>
              <w:spacing w:after="160"/>
              <w:jc w:val="left"/>
            </w:pPr>
            <w:r>
              <w:rPr>
                <w:b/>
                <w:i/>
                <w:sz w:val="16"/>
              </w:rPr>
              <w:t>Fig. 3.</w:t>
            </w:r>
            <w:r>
              <w:rPr>
                <w:i/>
                <w:sz w:val="16"/>
              </w:rPr>
              <w:t xml:space="preserve"> Out-of-sample test. Box plots show the error (in current decades) when the model fitted to one representative cycle is scored against every other measured cycle of the same device; stars mark the in-sample value. The two are nearly equal, so the fit describes the whole device, not just the loop it was trained on.</w:t>
            </w:r>
          </w:p>
        </w:tc>
        <w:tc>
          <w:tcPr>
            <w:tcW w:type="dxa" w:w="4896"/>
          </w:tcPr>
          <w:p>
            <w:pPr>
              <w:spacing w:after="40"/>
              <w:jc w:val="center"/>
            </w:pPr>
            <w:r>
              <w:drawing>
                <wp:inline xmlns:a="http://schemas.openxmlformats.org/drawingml/2006/main" xmlns:pic="http://schemas.openxmlformats.org/drawingml/2006/picture">
                  <wp:extent cx="2743200" cy="1600200"/>
                  <wp:docPr id="4" name="Picture 4"/>
                  <wp:cNvGraphicFramePr>
                    <a:graphicFrameLocks noChangeAspect="1"/>
                  </wp:cNvGraphicFramePr>
                  <a:graphic>
                    <a:graphicData uri="http://schemas.openxmlformats.org/drawingml/2006/picture">
                      <pic:pic>
                        <pic:nvPicPr>
                          <pic:cNvPr id="0" name="parameter_cv.png"/>
                          <pic:cNvPicPr/>
                        </pic:nvPicPr>
                        <pic:blipFill>
                          <a:blip r:embed="rId12"/>
                          <a:stretch>
                            <a:fillRect/>
                          </a:stretch>
                        </pic:blipFill>
                        <pic:spPr>
                          <a:xfrm>
                            <a:off x="0" y="0"/>
                            <a:ext cx="2743200" cy="1600200"/>
                          </a:xfrm>
                          <a:prstGeom prst="rect"/>
                        </pic:spPr>
                      </pic:pic>
                    </a:graphicData>
                  </a:graphic>
                </wp:inline>
              </w:drawing>
            </w:r>
          </w:p>
          <w:p>
            <w:pPr>
              <w:spacing w:after="160"/>
              <w:jc w:val="left"/>
            </w:pPr>
            <w:r>
              <w:rPr>
                <w:b/>
                <w:i/>
                <w:sz w:val="16"/>
              </w:rPr>
              <w:t>Fig. 4.</w:t>
            </w:r>
            <w:r>
              <w:rPr>
                <w:i/>
                <w:sz w:val="16"/>
              </w:rPr>
              <w:t xml:space="preserve"> Repeatability of each fitted parameter across 200 bootstrap refits per condition (color = log of the coefficient of variation; bluer = more repeatable). Branch voltage scales are repeatable; series resistance and the velocity prefactors are not. This is our primary identifiability evidence.</w:t>
            </w:r>
          </w:p>
        </w:tc>
      </w:tr>
      <w:tr>
        <w:tc>
          <w:tcPr>
            <w:tcW w:type="dxa" w:w="4896"/>
          </w:tcPr>
          <w:p>
            <w:pPr>
              <w:spacing w:after="40"/>
              <w:jc w:val="center"/>
            </w:pPr>
            <w:r>
              <w:drawing>
                <wp:inline xmlns:a="http://schemas.openxmlformats.org/drawingml/2006/main" xmlns:pic="http://schemas.openxmlformats.org/drawingml/2006/picture">
                  <wp:extent cx="2468880" cy="2257397"/>
                  <wp:docPr id="5" name="Picture 5"/>
                  <wp:cNvGraphicFramePr>
                    <a:graphicFrameLocks noChangeAspect="1"/>
                  </wp:cNvGraphicFramePr>
                  <a:graphic>
                    <a:graphicData uri="http://schemas.openxmlformats.org/drawingml/2006/picture">
                      <pic:pic>
                        <pic:nvPicPr>
                          <pic:cNvPr id="0" name="deposition_trends.png"/>
                          <pic:cNvPicPr/>
                        </pic:nvPicPr>
                        <pic:blipFill>
                          <a:blip r:embed="rId13"/>
                          <a:stretch>
                            <a:fillRect/>
                          </a:stretch>
                        </pic:blipFill>
                        <pic:spPr>
                          <a:xfrm>
                            <a:off x="0" y="0"/>
                            <a:ext cx="2468880" cy="2257397"/>
                          </a:xfrm>
                          <a:prstGeom prst="rect"/>
                        </pic:spPr>
                      </pic:pic>
                    </a:graphicData>
                  </a:graphic>
                </wp:inline>
              </w:drawing>
            </w:r>
          </w:p>
          <w:p>
            <w:pPr>
              <w:spacing w:after="160"/>
              <w:jc w:val="left"/>
            </w:pPr>
            <w:r>
              <w:rPr>
                <w:b/>
                <w:i/>
                <w:sz w:val="16"/>
              </w:rPr>
              <w:t>Fig. 5.</w:t>
            </w:r>
            <w:r>
              <w:rPr>
                <w:i/>
                <w:sz w:val="16"/>
              </w:rPr>
              <w:t xml:space="preserve"> Process trends for the repeatable parameters (error bars: cycle-bootstrap 95% interval). Branch voltage scales (middle, bottom) move systematically with deposition; series resistance (top) spans up to two decades and cannot serve as a process output, even though a single fit appears to prefer a value.</w:t>
            </w:r>
          </w:p>
        </w:tc>
        <w:tc>
          <w:tcPr>
            <w:tcW w:type="dxa" w:w="4896"/>
          </w:tcPr>
          <w:p>
            <w:pPr>
              <w:spacing w:after="40"/>
              <w:jc w:val="center"/>
            </w:pPr>
            <w:r>
              <w:drawing>
                <wp:inline xmlns:a="http://schemas.openxmlformats.org/drawingml/2006/main" xmlns:pic="http://schemas.openxmlformats.org/drawingml/2006/picture">
                  <wp:extent cx="2743200" cy="1153361"/>
                  <wp:docPr id="6" name="Picture 6"/>
                  <wp:cNvGraphicFramePr>
                    <a:graphicFrameLocks noChangeAspect="1"/>
                  </wp:cNvGraphicFramePr>
                  <a:graphic>
                    <a:graphicData uri="http://schemas.openxmlformats.org/drawingml/2006/picture">
                      <pic:pic>
                        <pic:nvPicPr>
                          <pic:cNvPr id="0" name="hrs_schottky_trend.png"/>
                          <pic:cNvPicPr/>
                        </pic:nvPicPr>
                        <pic:blipFill>
                          <a:blip r:embed="rId14"/>
                          <a:stretch>
                            <a:fillRect/>
                          </a:stretch>
                        </pic:blipFill>
                        <pic:spPr>
                          <a:xfrm>
                            <a:off x="0" y="0"/>
                            <a:ext cx="2743200" cy="1153361"/>
                          </a:xfrm>
                          <a:prstGeom prst="rect"/>
                        </pic:spPr>
                      </pic:pic>
                    </a:graphicData>
                  </a:graphic>
                </wp:inline>
              </w:drawing>
            </w:r>
          </w:p>
          <w:p>
            <w:pPr>
              <w:spacing w:after="160"/>
              <w:jc w:val="left"/>
            </w:pPr>
            <w:r>
              <w:rPr>
                <w:b/>
                <w:i/>
                <w:sz w:val="16"/>
              </w:rPr>
              <w:t>Fig. 6.</w:t>
            </w:r>
            <w:r>
              <w:rPr>
                <w:i/>
                <w:sz w:val="16"/>
              </w:rPr>
              <w:t xml:space="preserve"> Effective dielectric constant inferred from the post-RESET Schottky window vs. oxygen (left) and power (right). The shaded band is the physically admissible range; all twelve conditions fall inside it, confirming interface-limited HRS conduction across the entire process window.</w:t>
            </w:r>
          </w:p>
        </w:tc>
      </w:tr>
    </w:tbl>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