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64A56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Freight Rate Prediction — ML Assessment Report</w:t>
      </w:r>
    </w:p>
    <w:p>
      <w:pPr>
        <w:shd w:fill="0A6678" w:val="clear"/>
        <w:spacing w:after="0" w:before="0"/>
        <w:jc w:val="center"/>
      </w:pPr>
      <w:r>
        <w:rPr>
          <w:rFonts w:ascii="Calibri" w:cs="Calibri" w:eastAsia="Calibri" w:hAnsi="Calibri"/>
          <w:color w:val="B2E4EC"/>
          <w:sz w:val="20"/>
          <w:szCs w:val="20"/>
        </w:rPr>
        <w:t xml:space="preserve">Muhammad Tabish Aslam   |   Python Developer &amp; AI/ML Engineer   |   September 2026</w:t>
      </w:r>
    </w:p>
    <w:p>
      <w:pPr>
        <w:spacing w:after="200"/>
      </w:pPr>
    </w:p>
    <w:p>
      <w:pPr>
        <w:pBdr>
          <w:bottom w:val="single" w:color="064A56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064A56"/>
          <w:sz w:val="28"/>
          <w:szCs w:val="28"/>
        </w:rPr>
        <w:t xml:space="preserve">1. Assessment Overview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This report documents the end-to-end approach used to build a freight rate prediction model for the Spotter Machine Learning Engineer assessment. The goal was to predict the posted_rate for 12,000 validation loads using a model trained on 48,000 labeled historical loads from January–October 2025.</w:t>
      </w:r>
    </w:p>
    <w:p>
      <w:pPr>
        <w:spacing w:after="120"/>
      </w:pPr>
    </w:p>
    <w:p>
      <w:pPr>
        <w:pBdr>
          <w:bottom w:val="single" w:color="064A56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064A56"/>
          <w:sz w:val="28"/>
          <w:szCs w:val="28"/>
        </w:rPr>
        <w:t xml:space="preserve">2. Data Exploration &amp; Quality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training dataset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(train_test.csv)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contained 48,000 rows across 14 columns spanning January to October 2025.</w:t>
      </w:r>
    </w:p>
    <w:p>
      <w:pPr>
        <w:spacing w:after="60"/>
      </w:pP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48,000 training rows | 12,000 validation rows | 31 December rows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Features: pickup/delivery cities (64 unique each), distance, equipment type, weight, date, market_index, quote_signal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Target: posted_rate — ranging from $57 to $25,533 (mean $2,374, std $1,486)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Equipment types: Dry Van, Reefer, Flatbed</w:t>
      </w:r>
    </w:p>
    <w:p>
      <w:pPr>
        <w:spacing w:after="60"/>
      </w:pP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064A56"/>
          <w:sz w:val="22"/>
          <w:szCs w:val="22"/>
        </w:rPr>
        <w:t xml:space="preserve">Data Quality Issues Identified &amp; Resolved: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weight column: 300 missing values → filled with training median (30,658 lbs)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market_index: 374 missing values → filled with training median (0.979)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december_chart_inputs.csv: no market_index or quote_signal columns → filled with training medians before inference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No duplicate load_ids detected in any file</w:t>
      </w:r>
    </w:p>
    <w:p>
      <w:pPr>
        <w:spacing w:after="120"/>
      </w:pPr>
    </w:p>
    <w:p>
      <w:pPr>
        <w:pBdr>
          <w:bottom w:val="single" w:color="064A56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064A56"/>
          <w:sz w:val="28"/>
          <w:szCs w:val="28"/>
        </w:rPr>
        <w:t xml:space="preserve">3. Feature Engineering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23 features were engineered from the raw data across four categories:</w:t>
      </w:r>
    </w:p>
    <w:p>
      <w:pPr>
        <w:spacing w:after="60"/>
      </w:pP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64A56"/>
          <w:sz w:val="22"/>
          <w:szCs w:val="22"/>
        </w:rPr>
        <w:t xml:space="preserve">Date Features: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month, dayofweek, dayofyear, weekofyear, is_weekend, quarter — capturing seasonality and weekly patterns</w:t>
      </w:r>
    </w:p>
    <w:p>
      <w:pPr>
        <w:spacing w:after="60"/>
      </w:pP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64A56"/>
          <w:sz w:val="22"/>
          <w:szCs w:val="22"/>
        </w:rPr>
        <w:t xml:space="preserve">Interaction Features: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dist_x_weight (distance × weight) — captures total freight effort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dist_x_market (distance × market_index) — market-adjusted distance pricing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quote_x_dist (quote_signal × distance) — quote strength scaled by lane length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market_x_quote — joint market and signal effect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weight_per_mile — freight density</w:t>
      </w:r>
    </w:p>
    <w:p>
      <w:pPr>
        <w:spacing w:after="60"/>
      </w:pP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64A56"/>
          <w:sz w:val="22"/>
          <w:szCs w:val="22"/>
        </w:rPr>
        <w:t xml:space="preserve">Categorical Encoding: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equipment: label-encoded (Dry Van=0, Reefer=1, Flatbed=2)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pickup, delivery, and route (pickup_delivery pair): label-encoded across all splits to prevent leakage</w:t>
      </w:r>
    </w:p>
    <w:p>
      <w:pPr>
        <w:spacing w:after="60"/>
      </w:pP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64A56"/>
          <w:sz w:val="22"/>
          <w:szCs w:val="22"/>
        </w:rPr>
        <w:t xml:space="preserve">Geographic Features: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pickup_lat, pickup_lon, delivery_lat, delivery_lon — raw coordinates kept as features</w:t>
      </w:r>
    </w:p>
    <w:p>
      <w:pPr>
        <w:spacing w:after="120"/>
      </w:pPr>
    </w:p>
    <w:p>
      <w:pPr>
        <w:pBdr>
          <w:bottom w:val="single" w:color="064A56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064A56"/>
          <w:sz w:val="28"/>
          <w:szCs w:val="28"/>
        </w:rPr>
        <w:t xml:space="preserve">4. Data Split Approach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 time-based split was chosen over random splitting to prevent data leakage and simulate realistic deployment conditions where future loads must be predicted from past data only.</w:t>
      </w:r>
    </w:p>
    <w:p>
      <w:pPr>
        <w:spacing w:after="80"/>
      </w:pP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Training set: January – September 2025 → 43,147 rows (90%)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Hold-out test set: October 2025 → 4,853 rows (10%)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Rationale: freight rates are time-dependent — random splits would leak future market signals into training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Final model: retrained on all 48,000 rows using the best iteration count from early stopping</w:t>
      </w:r>
    </w:p>
    <w:p>
      <w:pPr>
        <w:spacing w:after="120"/>
      </w:pPr>
    </w:p>
    <w:p>
      <w:pPr>
        <w:pBdr>
          <w:bottom w:val="single" w:color="064A56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064A56"/>
          <w:sz w:val="28"/>
          <w:szCs w:val="28"/>
        </w:rPr>
        <w:t xml:space="preserve">5. Model Selection &amp; Training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Model chosen: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XGBoost Regressor (XGBRegressor)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from the xgboost library.</w:t>
      </w:r>
    </w:p>
    <w:p>
      <w:pPr>
        <w:spacing w:after="60"/>
      </w:pP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64A56"/>
          <w:sz w:val="22"/>
          <w:szCs w:val="22"/>
        </w:rPr>
        <w:t xml:space="preserve">Why XGBoost: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Handles mixed numeric/categorical features natively after encoding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Built-in early stopping prevents overfitting on time-based splits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Excellent performance on tabular regression tasks — outperforms linear and tree baselines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Feature importance outputs provide interpretability for reporting</w:t>
      </w:r>
    </w:p>
    <w:p>
      <w:pPr>
        <w:spacing w:after="80"/>
      </w:pP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064A56"/>
          <w:sz w:val="22"/>
          <w:szCs w:val="22"/>
        </w:rPr>
        <w:t xml:space="preserve">Hyperparameters: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n_estimators=1000 with early_stopping_rounds=50 (best iteration found automatically)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learning_rate=0.04, max_depth=7, subsample=0.8, colsample_bytree=0.8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reg_alpha=0.1, reg_lambda=1.0 — L1+L2 regularization to reduce overfitting</w:t>
      </w:r>
    </w:p>
    <w:p>
      <w:pPr>
        <w:spacing w:after="120"/>
      </w:pPr>
    </w:p>
    <w:p>
      <w:pPr>
        <w:pBdr>
          <w:bottom w:val="single" w:color="064A56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064A56"/>
          <w:sz w:val="28"/>
          <w:szCs w:val="28"/>
        </w:rPr>
        <w:t xml:space="preserve">6. Validation Metrics (October Hold-out)</w:t>
      </w:r>
    </w:p>
    <w:p>
      <w:pPr>
        <w:spacing w:after="80"/>
      </w:pPr>
    </w:p>
    <w:p>
      <w:pPr>
        <w:shd w:fill="F0F9FA" w:val="clear"/>
        <w:spacing w:after="6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  MAE  :</w:t>
      </w: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   $232.47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   Average prediction error per load</w:t>
      </w:r>
    </w:p>
    <w:p>
      <w:pPr>
        <w:shd w:fill="F0F9FA" w:val="clear"/>
        <w:spacing w:after="6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  RMSE :</w:t>
      </w: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   $681.31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   Sensitive to large outliers in high-rate lanes</w:t>
      </w:r>
    </w:p>
    <w:p>
      <w:pPr>
        <w:shd w:fill="F0F9FA" w:val="clear"/>
        <w:spacing w:after="6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  MAPE :</w:t>
      </w: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   13.93%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   Mean absolute percentage error</w:t>
      </w:r>
    </w:p>
    <w:p>
      <w:pPr>
        <w:shd w:fill="F0F9FA" w:val="clear"/>
        <w:spacing w:after="6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  R²   :</w:t>
      </w: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   0.8013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   Model explains 80% of rate variance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model achieves R² = 0.80, indicating strong predictive power. The gap between MAE ($232) and RMSE ($681) suggests some high-value outlier lanes are harder to predict — which is expected in freight markets where spot rates spike during capacity crunches.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4B5563"/>
          <w:sz w:val="22"/>
          <w:szCs w:val="22"/>
        </w:rPr>
        <w:t xml:space="preserve">Top features by importance: distance (61%), quote_x_dist (14%), dist_x_market (9%), equipment_enc (1.2%), market_index (1.1%). Distance dominates — longer lanes cost more, which aligns with freight pricing fundamentals.</w:t>
      </w:r>
    </w:p>
    <w:p>
      <w:pPr>
        <w:spacing w:after="120"/>
      </w:pPr>
    </w:p>
    <w:p>
      <w:pPr>
        <w:pBdr>
          <w:bottom w:val="single" w:color="064A56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064A56"/>
          <w:sz w:val="28"/>
          <w:szCs w:val="28"/>
        </w:rPr>
        <w:t xml:space="preserve">7. December 2025 Fixed-Route Predictions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model was used to predict daily freight rates for the fixed route: Lexington → Fort Wayne, 360 miles, Dry Van, 32,000 lbs, for every day in December 2025.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4B5563"/>
          <w:sz w:val="22"/>
          <w:szCs w:val="22"/>
        </w:rPr>
        <w:t xml:space="preserve">Since the December inputs contain no market_index or quote_signal (future unknowns), training medians were substituted. The predictions show weekday/weekend variation consistent with freight market patterns — slightly higher rates on weekdays (Mon–Fri) vs weekends.</w:t>
      </w:r>
    </w:p>
    <w:p>
      <w:pPr>
        <w:spacing w:after="160"/>
      </w:pPr>
    </w:p>
    <w:p>
      <w:pPr>
        <w:spacing w:after="200"/>
        <w:jc w:val="center"/>
      </w:pPr>
      <w:r>
        <w:drawing>
          <wp:inline distT="0" distB="0" distL="0" distR="0">
            <wp:extent cx="5715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64A56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064A56"/>
          <w:sz w:val="28"/>
          <w:szCs w:val="28"/>
        </w:rPr>
        <w:t xml:space="preserve">8. Submission Outputs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validation_predictions.csv — 12,000 rows (load_id, predicted_rate) ✅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december_chart_inputs.csv — 31 rows with predicted_rate filled ✅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scorer_results/candidate_december.png — chart generated by score.py ✅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solution.py — complete reproducible pipeline ✅</w:t>
      </w:r>
    </w:p>
    <w:p>
      <w:pPr>
        <w:spacing w:after="60"/>
        <w:ind w:left="400" w:hanging="200"/>
      </w:pPr>
      <w:r>
        <w:rPr>
          <w:rFonts w:ascii="Calibri" w:cs="Calibri" w:eastAsia="Calibri" w:hAnsi="Calibri"/>
          <w:b/>
          <w:bCs/>
          <w:color w:val="064A56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B5563"/>
          <w:sz w:val="22"/>
          <w:szCs w:val="22"/>
        </w:rPr>
        <w:t xml:space="preserve">requirements.txt — xgboost, scikit-learn, pandas, numpy, matplotlib ✅</w:t>
      </w:r>
    </w:p>
    <w:p>
      <w:pPr>
        <w:spacing w:after="120"/>
      </w:pPr>
    </w:p>
    <w:p>
      <w:pPr>
        <w:pBdr>
          <w:top w:val="single" w:color="064A56" w:sz="8"/>
        </w:pBdr>
        <w:spacing w:after="0" w:before="200"/>
        <w:jc w:val="center"/>
      </w:pPr>
      <w:r>
        <w:rPr>
          <w:rFonts w:ascii="Calibri" w:cs="Calibri" w:eastAsia="Calibri" w:hAnsi="Calibri"/>
          <w:color w:val="4B5563"/>
          <w:sz w:val="17"/>
          <w:szCs w:val="17"/>
        </w:rPr>
        <w:t xml:space="preserve">Muhammad Tabish Aslam  •  mtabishaslam393@gmail.com  •  +92 318 0749778  •  github.com/mtabishaslam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48de10358d34dc4d7cf425bfd99100e7fcecc8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2026-09-09T22:41:17.931Z</dcterms:created>
  <dcterms:modified xsi:type="dcterms:W3CDTF">2026-09-09T22:41:17.939Z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