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AC4C" w14:textId="5DEE492F" w:rsidR="00E417E5" w:rsidRPr="00E417E5" w:rsidRDefault="00E417E5" w:rsidP="00E417E5">
      <w:pPr>
        <w:jc w:val="center"/>
        <w:rPr>
          <w:b/>
          <w:bCs/>
          <w:sz w:val="48"/>
          <w:szCs w:val="48"/>
        </w:rPr>
      </w:pPr>
      <w:r w:rsidRPr="00E417E5">
        <w:rPr>
          <w:b/>
          <w:bCs/>
          <w:sz w:val="48"/>
          <w:szCs w:val="48"/>
        </w:rPr>
        <w:t>Patient Readmissions Analysis</w:t>
      </w:r>
    </w:p>
    <w:p w14:paraId="0AEA28E7" w14:textId="44AC9BD4" w:rsidR="00E417E5" w:rsidRPr="00E417E5" w:rsidRDefault="00E417E5" w:rsidP="00E417E5">
      <w:pPr>
        <w:jc w:val="center"/>
        <w:rPr>
          <w:sz w:val="36"/>
          <w:szCs w:val="36"/>
        </w:rPr>
      </w:pPr>
      <w:r w:rsidRPr="00E417E5">
        <w:rPr>
          <w:sz w:val="36"/>
          <w:szCs w:val="36"/>
        </w:rPr>
        <w:t>Diabetic Patient Dataset | 1999-2008</w:t>
      </w:r>
    </w:p>
    <w:p w14:paraId="19641561" w14:textId="7DE2E60B" w:rsidR="00E417E5" w:rsidRDefault="00E417E5" w:rsidP="00E417E5">
      <w:pPr>
        <w:pBdr>
          <w:bottom w:val="single" w:sz="6" w:space="1" w:color="auto"/>
        </w:pBdr>
        <w:jc w:val="center"/>
      </w:pPr>
      <w:r>
        <w:t>Tool: Microsoft Excel | Dataset: UCI Machine Learning Repository | Records 101,766</w:t>
      </w:r>
    </w:p>
    <w:p w14:paraId="4A544202" w14:textId="1F598839" w:rsidR="00E417E5" w:rsidRDefault="00E417E5" w:rsidP="00E417E5">
      <w:pPr>
        <w:pStyle w:val="Heading1"/>
      </w:pPr>
      <w:r>
        <w:t>Project Overview</w:t>
      </w:r>
    </w:p>
    <w:p w14:paraId="4987B5AA" w14:textId="75F2622B" w:rsidR="00E417E5" w:rsidRDefault="00E417E5" w:rsidP="00E417E5">
      <w:r>
        <w:t xml:space="preserve">This project analyzes 101,766 hospital encounter records from 130 US hospitals spanning 1999 to 2008 to identify factors associated with 30-day diabetic patient readmissions. Hospital readmissions are a critical quality and financial concern – Medicare and Medicaid penalize hospitals for excessive readmission rates, making this one of the most actively tracked </w:t>
      </w:r>
      <w:r w:rsidR="00F60623">
        <w:t>metrics in healthcare operations. Using Microsoft excel, this analysis examines patient demographics, clinical utilization patte</w:t>
      </w:r>
      <w:r w:rsidR="00E14C97">
        <w:t>r</w:t>
      </w:r>
      <w:r w:rsidR="00F60623">
        <w:t>ns and medication management variables to determine which factors most strongly predict whether a diabetic patient will be readmitted within 30 days of discharge.</w:t>
      </w:r>
    </w:p>
    <w:p w14:paraId="5CE4020C" w14:textId="5440CFF9" w:rsidR="00F60623" w:rsidRDefault="00F60623" w:rsidP="00F60623">
      <w:pPr>
        <w:pStyle w:val="Heading1"/>
      </w:pPr>
      <w:r>
        <w:t>Problem Statement</w:t>
      </w:r>
    </w:p>
    <w:p w14:paraId="5E8DE66D" w14:textId="1D27D36B" w:rsidR="00F60623" w:rsidRDefault="00F60623" w:rsidP="00F60623">
      <w:r>
        <w:t>Diabetic patients represent one of the highest-risk populations for hospital readmission due to the chronic and complex nature of the disease. Readmissions within 30 days of discharge are not only costly for patients and health systems but serve as a key indicator of care quality and discharge planning effectiveness. This analysis set out to answer the following questions:</w:t>
      </w:r>
    </w:p>
    <w:p w14:paraId="72610946" w14:textId="57E2DE7F" w:rsidR="00F60623" w:rsidRDefault="00F60623" w:rsidP="00F60623">
      <w:pPr>
        <w:pStyle w:val="ListParagraph"/>
        <w:numPr>
          <w:ilvl w:val="0"/>
          <w:numId w:val="1"/>
        </w:numPr>
      </w:pPr>
      <w:r>
        <w:t>Which age groups have the highest 30-day readmission rates?</w:t>
      </w:r>
    </w:p>
    <w:p w14:paraId="569FE089" w14:textId="07A5D864" w:rsidR="00F60623" w:rsidRDefault="00F60623" w:rsidP="00F60623">
      <w:pPr>
        <w:pStyle w:val="ListParagraph"/>
        <w:numPr>
          <w:ilvl w:val="0"/>
          <w:numId w:val="1"/>
        </w:numPr>
      </w:pPr>
      <w:r>
        <w:t>Does the length of hospital stay correlate with readmission risk?</w:t>
      </w:r>
    </w:p>
    <w:p w14:paraId="27EBD224" w14:textId="6EAD0EE5" w:rsidR="00F60623" w:rsidRDefault="00F60623" w:rsidP="00F60623">
      <w:pPr>
        <w:pStyle w:val="ListParagraph"/>
        <w:numPr>
          <w:ilvl w:val="0"/>
          <w:numId w:val="1"/>
        </w:numPr>
      </w:pPr>
      <w:r>
        <w:t>Do medication management patter</w:t>
      </w:r>
      <w:r w:rsidR="00E14C97">
        <w:t>n</w:t>
      </w:r>
      <w:r>
        <w:t>s – particularly Insulin and Metformin – relate to readmission outcomes?</w:t>
      </w:r>
    </w:p>
    <w:p w14:paraId="6422E0AB" w14:textId="6F346EC0" w:rsidR="00F60623" w:rsidRDefault="00F60623" w:rsidP="00F60623">
      <w:pPr>
        <w:pStyle w:val="ListParagraph"/>
        <w:numPr>
          <w:ilvl w:val="0"/>
          <w:numId w:val="1"/>
        </w:numPr>
      </w:pPr>
      <w:r>
        <w:t>Does Glipizide dosage adjustment serve as a meaningful readmission risk indicator?</w:t>
      </w:r>
    </w:p>
    <w:p w14:paraId="1D7C9197" w14:textId="1BB1BA69" w:rsidR="00F60623" w:rsidRDefault="00F60623" w:rsidP="00F60623">
      <w:pPr>
        <w:pStyle w:val="Heading1"/>
      </w:pPr>
      <w:r>
        <w:t>Data &amp; Methodology</w:t>
      </w:r>
    </w:p>
    <w:p w14:paraId="67EFA102" w14:textId="2E2AD4A6" w:rsidR="00F60623" w:rsidRDefault="00F60623" w:rsidP="00F60623">
      <w:r>
        <w:t xml:space="preserve">The dataset was obtained from the UCI Machine Learning Repository and contains 10 years of clinical care data from 130 US hospitals. The original dataset included 101,766 patient encounters across 50 columns. Prior to analysis, variable selection was informed by both clinical domain knowledge and independent research into diabetes pharmacology during </w:t>
      </w:r>
      <w:r>
        <w:lastRenderedPageBreak/>
        <w:t xml:space="preserve">the </w:t>
      </w:r>
      <w:r w:rsidR="005515B5">
        <w:t>dataset’s</w:t>
      </w:r>
      <w:r>
        <w:t xml:space="preserve"> time period of 1999-2008. Sources including the National Institutes of Health </w:t>
      </w:r>
      <w:r w:rsidR="005515B5">
        <w:t>and Diabetes Journals were consulted to ensure variable inclusion decisions were evidence-based rather than assumption-based.</w:t>
      </w:r>
    </w:p>
    <w:p w14:paraId="19A478D8" w14:textId="5F4B3D70" w:rsidR="005515B5" w:rsidRDefault="005515B5" w:rsidP="00F60623">
      <w:r>
        <w:t>Data preparation steps included removing 25 irrelevant columns, replacing missing values coded as ? with Unknown in ra</w:t>
      </w:r>
      <w:r w:rsidR="00774098">
        <w:t>c</w:t>
      </w:r>
      <w:r>
        <w:t>e and diagnosis fields, checking for and confirming zero duplicate records, and creating calculated columns including ReadmittedBinary to flag 30-day readmissions, AgeGroup to simplify interval notation age brackets, and diag1_category to group ICD-9 diagnosis codes into clinically meaningful categories. All cleaning decisions were documented in a cleaning log with found, action and reason columns.</w:t>
      </w:r>
    </w:p>
    <w:p w14:paraId="56AD969B" w14:textId="0A2D980C" w:rsidR="005515B5" w:rsidRDefault="005515B5" w:rsidP="005515B5">
      <w:pPr>
        <w:pStyle w:val="Heading1"/>
      </w:pPr>
      <w:r>
        <w:t>Key Findings</w:t>
      </w:r>
    </w:p>
    <w:p w14:paraId="54D8CC10" w14:textId="175EBEFE" w:rsidR="005515B5" w:rsidRDefault="005515B5" w:rsidP="005515B5">
      <w:r>
        <w:t>Analysis of 101,766 diabetic patient encounters revealed an overall 30-day readmission rate of 11.2%. The following findings emerged across the variables examined:</w:t>
      </w:r>
    </w:p>
    <w:p w14:paraId="15ED3D21" w14:textId="5EE54F79" w:rsidR="005515B5" w:rsidRDefault="005515B5" w:rsidP="005515B5">
      <w:pPr>
        <w:rPr>
          <w:b/>
          <w:bCs/>
        </w:rPr>
      </w:pPr>
      <w:r w:rsidRPr="005515B5">
        <w:rPr>
          <w:b/>
          <w:bCs/>
        </w:rPr>
        <w:t>Age and Readmission Risk</w:t>
      </w:r>
    </w:p>
    <w:p w14:paraId="4D9F332F" w14:textId="6A8CDF0F" w:rsidR="005515B5" w:rsidRDefault="005515B5" w:rsidP="005515B5">
      <w:r w:rsidRPr="005515B5">
        <w:t xml:space="preserve">Patients under 20 showed substantially lower readmission rates </w:t>
      </w:r>
      <w:r>
        <w:t xml:space="preserve">of 1.9% and 5.8% respectively, likely reflecting closer monitoring of pediatric and adolescent diabetic patients. Among adults patients 20 and older, rates clustered narrowly between 9.7% and 14.2% suggesting age is not a strong independent </w:t>
      </w:r>
      <w:r w:rsidR="00F55015">
        <w:t>predictor of readmission risk in the adult diabetic population.</w:t>
      </w:r>
    </w:p>
    <w:p w14:paraId="3970BE92" w14:textId="3320FD3E" w:rsidR="00F55015" w:rsidRDefault="00F55015" w:rsidP="005515B5">
      <w:r>
        <w:rPr>
          <w:b/>
          <w:bCs/>
        </w:rPr>
        <w:t>Length of Stay</w:t>
      </w:r>
    </w:p>
    <w:p w14:paraId="7B701A02" w14:textId="4D85A84A" w:rsidR="00F55015" w:rsidRDefault="00F55015" w:rsidP="005515B5">
      <w:r>
        <w:t>A modest positive relationship was observed between length of hospital stay and readmission rate, with 1-day stays showing the lowest rate at 8.2% and longer stays trending higher. However the relationship was not consistent enough across all stay lengths to be strongly predictive.</w:t>
      </w:r>
    </w:p>
    <w:p w14:paraId="62850D9C" w14:textId="07E47FE8" w:rsidR="00F55015" w:rsidRDefault="00F55015" w:rsidP="005515B5">
      <w:pPr>
        <w:rPr>
          <w:b/>
          <w:bCs/>
        </w:rPr>
      </w:pPr>
      <w:r>
        <w:rPr>
          <w:b/>
          <w:bCs/>
        </w:rPr>
        <w:t>Insulin Dosage</w:t>
      </w:r>
    </w:p>
    <w:p w14:paraId="2C5F5499" w14:textId="737920B4" w:rsidR="00F55015" w:rsidRDefault="00F55015" w:rsidP="005515B5">
      <w:r>
        <w:t>Patients with insulin dose adjustments in either direction showed higher readmission rates – 13.0% for upward adjustments and 13.9% for downward adjustments – compared to 11.1% for stable dosing. This pattern reflects disease severity rather than a causal relationship. Sicker patients require more insulin adjustments and are independently more likely to be readmitted. Insulin instability should be interpreted as a marker of overall disease complexity, not a driver of readmission.</w:t>
      </w:r>
    </w:p>
    <w:p w14:paraId="5A5CBBCD" w14:textId="7F7F86EE" w:rsidR="00F55015" w:rsidRDefault="00F55015" w:rsidP="005515B5">
      <w:pPr>
        <w:rPr>
          <w:b/>
          <w:bCs/>
        </w:rPr>
      </w:pPr>
      <w:r>
        <w:rPr>
          <w:b/>
          <w:bCs/>
        </w:rPr>
        <w:t>Glipizide Dosage</w:t>
      </w:r>
    </w:p>
    <w:p w14:paraId="6EDC51FD" w14:textId="6454106B" w:rsidR="00F55015" w:rsidRDefault="00F55015" w:rsidP="005515B5">
      <w:r>
        <w:lastRenderedPageBreak/>
        <w:t>Patients with downward Glipizide dose adjustments showed the highest single medication readmission rate at 15.2% notably above the overall average. This finding partially supports published research identifying Glipizide as associated with elevated readmission risk and warrants further investigation.</w:t>
      </w:r>
    </w:p>
    <w:p w14:paraId="055E9225" w14:textId="01BB6BBF" w:rsidR="00F55015" w:rsidRDefault="00F55015" w:rsidP="005515B5">
      <w:pPr>
        <w:rPr>
          <w:b/>
          <w:bCs/>
        </w:rPr>
      </w:pPr>
      <w:r>
        <w:rPr>
          <w:b/>
          <w:bCs/>
        </w:rPr>
        <w:t>Metformin – Strongest Finding</w:t>
      </w:r>
    </w:p>
    <w:p w14:paraId="2CBEC33A" w14:textId="784857E9" w:rsidR="00F55015" w:rsidRDefault="00F55015" w:rsidP="005515B5">
      <w:r>
        <w:t xml:space="preserve">Patients on stable or increasing Metformin doses showed the lowest readmission rates in the </w:t>
      </w:r>
      <w:r w:rsidR="006E1BDD">
        <w:t>dataset</w:t>
      </w:r>
      <w:r>
        <w:t xml:space="preserve"> – 9.7% for stable dosing and 8.2% for increasing doses. This is consistent with </w:t>
      </w:r>
      <w:r w:rsidR="006E1BDD">
        <w:t>published clinical evidence establishing Metformin as the gold standard first-line diabetes medication. Metformin adherence and stability appears to be the strongest single indicator of diabetes management quality in this population</w:t>
      </w:r>
    </w:p>
    <w:p w14:paraId="5B839A21" w14:textId="653C4D1B" w:rsidR="006E1BDD" w:rsidRDefault="006E1BDD" w:rsidP="006E1BDD">
      <w:pPr>
        <w:pStyle w:val="Heading1"/>
      </w:pPr>
      <w:r>
        <w:t>Recommendations</w:t>
      </w:r>
    </w:p>
    <w:p w14:paraId="68C87D55" w14:textId="3BCA29F4" w:rsidR="006E1BDD" w:rsidRDefault="006E1BDD" w:rsidP="006E1BDD">
      <w:r>
        <w:t>Based on the findings of this analysis, the following recommendations are offered for healthcare organizations managing diabetic patient populations:</w:t>
      </w:r>
    </w:p>
    <w:p w14:paraId="1C40C2AD" w14:textId="11AD1F4B" w:rsidR="006E1BDD" w:rsidRDefault="006E1BDD" w:rsidP="006E1BDD">
      <w:pPr>
        <w:rPr>
          <w:b/>
          <w:bCs/>
        </w:rPr>
      </w:pPr>
      <w:r>
        <w:rPr>
          <w:b/>
          <w:bCs/>
        </w:rPr>
        <w:t>Prioritize Metformin Adherence Programs</w:t>
      </w:r>
    </w:p>
    <w:p w14:paraId="544D9ABB" w14:textId="74D36D65" w:rsidR="006E1BDD" w:rsidRDefault="006E1BDD" w:rsidP="006E1BDD">
      <w:r>
        <w:t>Given that stable or increasing Metformin dosing was associated with the lowest readmission rates in this dataset, health systems should invest in patient education and adherence support programs specifically focused on Metformin compliance. Patients who are successfully maintained on Metformin appear to be better managed overall and represent a lower readmission risk.</w:t>
      </w:r>
    </w:p>
    <w:p w14:paraId="42CDF5E4" w14:textId="473B37DD" w:rsidR="006E1BDD" w:rsidRDefault="006E1BDD" w:rsidP="006E1BDD">
      <w:pPr>
        <w:rPr>
          <w:b/>
          <w:bCs/>
        </w:rPr>
      </w:pPr>
      <w:r>
        <w:rPr>
          <w:b/>
          <w:bCs/>
        </w:rPr>
        <w:t>Flag Glipizide Dose Reductions as a Risk Signal</w:t>
      </w:r>
    </w:p>
    <w:p w14:paraId="7B0CEB89" w14:textId="33A59759" w:rsidR="006E1BDD" w:rsidRDefault="006E1BDD" w:rsidP="006E1BDD">
      <w:r>
        <w:t>Patients experiencing downward Glipizide adjustments showed a 15.2% readmission rate – the highest single medication finding in this analysis. Care teams should treat Glipizide dose reductions as a potential indicator of changing patient status warranting closer post-discharge follow up.</w:t>
      </w:r>
    </w:p>
    <w:p w14:paraId="4D9A0421" w14:textId="08287CC1" w:rsidR="006E1BDD" w:rsidRDefault="006E1BDD" w:rsidP="006E1BDD">
      <w:pPr>
        <w:rPr>
          <w:b/>
          <w:bCs/>
        </w:rPr>
      </w:pPr>
      <w:r>
        <w:rPr>
          <w:b/>
          <w:bCs/>
        </w:rPr>
        <w:t>Use Insulin Instability as a Complexity Flag</w:t>
      </w:r>
    </w:p>
    <w:p w14:paraId="7545DC21" w14:textId="3F8B6BD4" w:rsidR="006E1BDD" w:rsidRDefault="006E1BDD" w:rsidP="006E1BDD">
      <w:r>
        <w:t xml:space="preserve">Rather than treating insulin dose changes as a direct readmission risk factor, care coordinators should use insulin instability as a flag for overall patient complexity. Patients requiring </w:t>
      </w:r>
      <w:r w:rsidR="004134CD">
        <w:t>frequent</w:t>
      </w:r>
      <w:r>
        <w:t xml:space="preserve"> </w:t>
      </w:r>
      <w:r w:rsidR="004134CD">
        <w:t>insulin</w:t>
      </w:r>
      <w:r>
        <w:t xml:space="preserve"> adjustments may benefit from more </w:t>
      </w:r>
      <w:r w:rsidR="004134CD">
        <w:t>intensive</w:t>
      </w:r>
      <w:r>
        <w:t xml:space="preserve"> </w:t>
      </w:r>
      <w:r w:rsidR="004134CD">
        <w:t>discharge</w:t>
      </w:r>
      <w:r>
        <w:t xml:space="preserve"> planning </w:t>
      </w:r>
      <w:r w:rsidR="004134CD">
        <w:t>and</w:t>
      </w:r>
      <w:r>
        <w:t xml:space="preserve"> post-</w:t>
      </w:r>
      <w:r w:rsidR="004134CD">
        <w:t>discharge</w:t>
      </w:r>
      <w:r>
        <w:t xml:space="preserve"> support regardless of the direction of the ad</w:t>
      </w:r>
      <w:r w:rsidR="004134CD">
        <w:t>jus</w:t>
      </w:r>
      <w:r>
        <w:t>tment.</w:t>
      </w:r>
    </w:p>
    <w:p w14:paraId="3FF6FB9F" w14:textId="09795001" w:rsidR="004134CD" w:rsidRDefault="004134CD" w:rsidP="006E1BDD">
      <w:pPr>
        <w:rPr>
          <w:b/>
          <w:bCs/>
        </w:rPr>
      </w:pPr>
      <w:r>
        <w:rPr>
          <w:b/>
          <w:bCs/>
        </w:rPr>
        <w:t>Avoid Over-Investing in Age Based Interventions for Adult Patients</w:t>
      </w:r>
    </w:p>
    <w:p w14:paraId="06C28CC2" w14:textId="6480E79F" w:rsidR="004134CD" w:rsidRDefault="004134CD" w:rsidP="006E1BDD">
      <w:r>
        <w:lastRenderedPageBreak/>
        <w:t>With the exception of patients under 20 who showed notably lower readmission rates, age alone was not a meaningful differentiator among adult diabetic patients. Readmission reduction resources should not be allocated primarily based on patient age within the adult population.</w:t>
      </w:r>
    </w:p>
    <w:p w14:paraId="765DE5A4" w14:textId="378A28FD" w:rsidR="004134CD" w:rsidRDefault="004134CD" w:rsidP="004134CD">
      <w:pPr>
        <w:pStyle w:val="Heading1"/>
      </w:pPr>
      <w:r>
        <w:t>Limitations</w:t>
      </w:r>
    </w:p>
    <w:p w14:paraId="79514DA0" w14:textId="0CCBBBCE" w:rsidR="004134CD" w:rsidRDefault="004134CD" w:rsidP="004134CD">
      <w:r>
        <w:t>Several limitations should be considered when interpreting the findings of this analysis:</w:t>
      </w:r>
    </w:p>
    <w:p w14:paraId="6E274E81" w14:textId="3261FC68" w:rsidR="004134CD" w:rsidRDefault="004134CD" w:rsidP="004134CD">
      <w:pPr>
        <w:rPr>
          <w:b/>
          <w:bCs/>
        </w:rPr>
      </w:pPr>
      <w:r>
        <w:rPr>
          <w:b/>
          <w:bCs/>
        </w:rPr>
        <w:t>Dataset Age</w:t>
      </w:r>
    </w:p>
    <w:p w14:paraId="136A1CEA" w14:textId="1F6E75C1" w:rsidR="004134CD" w:rsidRDefault="004134CD" w:rsidP="004134CD">
      <w:r>
        <w:t>The data spans 1999 to 2008 and reflects clinical practices, medication protocols, and hospital systems that have evolved significantly since that period. Diabetes treatment guidelines have changed substantially and findings may not fully translate to current patient populations or care environments.</w:t>
      </w:r>
    </w:p>
    <w:p w14:paraId="2E4FD780" w14:textId="40C3A4A5" w:rsidR="004134CD" w:rsidRDefault="004134CD" w:rsidP="004134CD">
      <w:pPr>
        <w:rPr>
          <w:b/>
          <w:bCs/>
        </w:rPr>
      </w:pPr>
      <w:r>
        <w:rPr>
          <w:b/>
          <w:bCs/>
        </w:rPr>
        <w:t>US Hospital Context</w:t>
      </w:r>
    </w:p>
    <w:p w14:paraId="3EF6D851" w14:textId="1ED56D7A" w:rsidR="004134CD" w:rsidRDefault="004134CD" w:rsidP="004134CD">
      <w:r>
        <w:t>The dataset represents 130 US hospitals and reflects the specific characteristics of the American healthcare system during that era including insurance structures, discharge practices, and medication availability. Findings may not generalize to other healthcare systems or international populations.</w:t>
      </w:r>
    </w:p>
    <w:p w14:paraId="2821CEA3" w14:textId="55627C4B" w:rsidR="004134CD" w:rsidRDefault="004134CD" w:rsidP="004134CD">
      <w:pPr>
        <w:rPr>
          <w:b/>
          <w:bCs/>
        </w:rPr>
      </w:pPr>
      <w:r>
        <w:rPr>
          <w:b/>
          <w:bCs/>
        </w:rPr>
        <w:t>ICD-9 Coding Period</w:t>
      </w:r>
    </w:p>
    <w:p w14:paraId="4BA962B0" w14:textId="5FAED708" w:rsidR="004134CD" w:rsidRDefault="004134CD" w:rsidP="004134CD">
      <w:r>
        <w:t>The dataset uses ICD-9 diagnosis codes which were replaced by ICD-10 in the US in 2015. Diagnosis categorization in this analysis was based on ICD-9 ranges and would require different grouping logic if applied to more recent data.</w:t>
      </w:r>
    </w:p>
    <w:p w14:paraId="24AE694F" w14:textId="39BAF476" w:rsidR="004134CD" w:rsidRDefault="00DE7DD1" w:rsidP="004134CD">
      <w:pPr>
        <w:rPr>
          <w:b/>
          <w:bCs/>
        </w:rPr>
      </w:pPr>
      <w:r>
        <w:rPr>
          <w:b/>
          <w:bCs/>
        </w:rPr>
        <w:t>Isolated Variable Analysis</w:t>
      </w:r>
    </w:p>
    <w:p w14:paraId="62B634ED" w14:textId="4013C994" w:rsidR="00DE7DD1" w:rsidRDefault="00DE7DD1" w:rsidP="004134CD">
      <w:r>
        <w:t>Each variable was analyzed independently against readmission rates. Readmission is a multifactorial outcome and the relationships between variables were not examined in this analysis. A patient’s age, medication regimen, length of stay, and diagnosis category all interact in ways that single variable analysis cannot capture.</w:t>
      </w:r>
    </w:p>
    <w:p w14:paraId="0D67D5E1" w14:textId="306D1011" w:rsidR="00DE7DD1" w:rsidRDefault="00DE7DD1" w:rsidP="004134CD">
      <w:pPr>
        <w:rPr>
          <w:b/>
          <w:bCs/>
        </w:rPr>
      </w:pPr>
      <w:r>
        <w:rPr>
          <w:b/>
          <w:bCs/>
        </w:rPr>
        <w:t>Insulin Correlation vs Causation</w:t>
      </w:r>
    </w:p>
    <w:p w14:paraId="2F559601" w14:textId="15A1B263" w:rsidR="00DE7DD1" w:rsidRDefault="00DE7DD1" w:rsidP="004134CD">
      <w:r>
        <w:t>As noted in the findings, insulin dose instability appears to correlate with the higher readmission rates but this relationship is confounded by disease severity. This limitation applies broadly – many of the variables in this dataset may reflect patient complexity rather than independent causal factors.</w:t>
      </w:r>
    </w:p>
    <w:p w14:paraId="1E359D91" w14:textId="4D833EAC" w:rsidR="00FF2F68" w:rsidRDefault="00FF2F68" w:rsidP="00FF2F68">
      <w:pPr>
        <w:pStyle w:val="Heading1"/>
      </w:pPr>
      <w:r>
        <w:lastRenderedPageBreak/>
        <w:t>Reflection</w:t>
      </w:r>
    </w:p>
    <w:p w14:paraId="39E36B19" w14:textId="19ED4CF7" w:rsidR="00FF2F68" w:rsidRDefault="00FF2F68" w:rsidP="00FF2F68">
      <w:r>
        <w:t>This was my second portfolio project and while the dataset was larger and more complex than the no-show analysis, my growing familiarity with the analytical process actually made it feel more manageable. The most memorable technical challenge was a near-system crash when attempting a Find and Replace across the entire dataset at once – a lesson in working methodically with large data rather than trying to tackle everything in one step.</w:t>
      </w:r>
    </w:p>
    <w:p w14:paraId="1EE8BC59" w14:textId="697B4E9F" w:rsidR="00FF2F68" w:rsidRDefault="00FF2F68" w:rsidP="00FF2F68">
      <w:r>
        <w:t xml:space="preserve">What I am most proud of in this project is the approach to variable selection. Rather than removing columns based on assumption, I insisted on researching diabetes pharmacology during the dataset’s specific time period before making any exclusion decisions. Coming from a healthcare background I knew I could make informed clinical judgements, but I also knew that undocumented assumptions aren’t defensible in a real analytical environment. The research step made every decision traceable and reproducible. </w:t>
      </w:r>
    </w:p>
    <w:p w14:paraId="77E0E1B7" w14:textId="4B86430C" w:rsidR="00FF2F68" w:rsidRDefault="00FF2F68" w:rsidP="00FF2F68">
      <w:r>
        <w:t>The Metformin finding resonated with me personally. Having worked in healthcare</w:t>
      </w:r>
      <w:r w:rsidR="00277828">
        <w:t xml:space="preserve"> and discussing the era before these drugs were available or truly tested with lots of data on them, seeing its protective effect show up clearly in the data was validating. It’s a reminder that data analysis is most powerful when paired with domain knowledge that helps you interpret what the numbers actually mean.</w:t>
      </w:r>
    </w:p>
    <w:p w14:paraId="344764AD" w14:textId="1E82941B" w:rsidR="00277828" w:rsidRDefault="00277828" w:rsidP="00FF2F68">
      <w:r>
        <w:t>Going into this project I considered myself an advanced Excel user. I now realize how much more there is to learn – and more importantly, I’m genuinely excited to learn it. These two projects have given me a foundation I didn’t have before and a real appetite for what comes next.</w:t>
      </w:r>
    </w:p>
    <w:p w14:paraId="05C3F581" w14:textId="77777777" w:rsidR="00277828" w:rsidRPr="00FF2F68" w:rsidRDefault="00277828" w:rsidP="00FF2F68"/>
    <w:p w14:paraId="2E703691" w14:textId="46AB916D" w:rsidR="004134CD" w:rsidRPr="004134CD" w:rsidRDefault="004134CD" w:rsidP="004134CD">
      <w:r>
        <w:t xml:space="preserve"> </w:t>
      </w:r>
    </w:p>
    <w:p w14:paraId="1BF23798" w14:textId="77777777" w:rsidR="006E1BDD" w:rsidRPr="006E1BDD" w:rsidRDefault="006E1BDD" w:rsidP="006E1BDD">
      <w:pPr>
        <w:rPr>
          <w:b/>
          <w:bCs/>
        </w:rPr>
      </w:pPr>
    </w:p>
    <w:p w14:paraId="657C6263" w14:textId="77777777" w:rsidR="00F60623" w:rsidRPr="00F60623" w:rsidRDefault="00F60623" w:rsidP="00F60623"/>
    <w:sectPr w:rsidR="00F60623" w:rsidRPr="00F60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3737A"/>
    <w:multiLevelType w:val="hybridMultilevel"/>
    <w:tmpl w:val="D062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00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E5"/>
    <w:rsid w:val="00277828"/>
    <w:rsid w:val="00412435"/>
    <w:rsid w:val="004134CD"/>
    <w:rsid w:val="005515B5"/>
    <w:rsid w:val="006E1BDD"/>
    <w:rsid w:val="00774098"/>
    <w:rsid w:val="00A626C6"/>
    <w:rsid w:val="00BE5FAA"/>
    <w:rsid w:val="00DE7DD1"/>
    <w:rsid w:val="00E14C97"/>
    <w:rsid w:val="00E417E5"/>
    <w:rsid w:val="00F55015"/>
    <w:rsid w:val="00F60623"/>
    <w:rsid w:val="00FF2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3AF4"/>
  <w15:chartTrackingRefBased/>
  <w15:docId w15:val="{D965F203-0A3E-4584-B84D-9FCFB6328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7E5"/>
    <w:rPr>
      <w:rFonts w:eastAsiaTheme="majorEastAsia" w:cstheme="majorBidi"/>
      <w:color w:val="272727" w:themeColor="text1" w:themeTint="D8"/>
    </w:rPr>
  </w:style>
  <w:style w:type="paragraph" w:styleId="Title">
    <w:name w:val="Title"/>
    <w:basedOn w:val="Normal"/>
    <w:next w:val="Normal"/>
    <w:link w:val="TitleChar"/>
    <w:uiPriority w:val="10"/>
    <w:qFormat/>
    <w:rsid w:val="00E4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7E5"/>
    <w:pPr>
      <w:spacing w:before="160"/>
      <w:jc w:val="center"/>
    </w:pPr>
    <w:rPr>
      <w:i/>
      <w:iCs/>
      <w:color w:val="404040" w:themeColor="text1" w:themeTint="BF"/>
    </w:rPr>
  </w:style>
  <w:style w:type="character" w:customStyle="1" w:styleId="QuoteChar">
    <w:name w:val="Quote Char"/>
    <w:basedOn w:val="DefaultParagraphFont"/>
    <w:link w:val="Quote"/>
    <w:uiPriority w:val="29"/>
    <w:rsid w:val="00E417E5"/>
    <w:rPr>
      <w:i/>
      <w:iCs/>
      <w:color w:val="404040" w:themeColor="text1" w:themeTint="BF"/>
    </w:rPr>
  </w:style>
  <w:style w:type="paragraph" w:styleId="ListParagraph">
    <w:name w:val="List Paragraph"/>
    <w:basedOn w:val="Normal"/>
    <w:uiPriority w:val="34"/>
    <w:qFormat/>
    <w:rsid w:val="00E417E5"/>
    <w:pPr>
      <w:ind w:left="720"/>
      <w:contextualSpacing/>
    </w:pPr>
  </w:style>
  <w:style w:type="character" w:styleId="IntenseEmphasis">
    <w:name w:val="Intense Emphasis"/>
    <w:basedOn w:val="DefaultParagraphFont"/>
    <w:uiPriority w:val="21"/>
    <w:qFormat/>
    <w:rsid w:val="00E417E5"/>
    <w:rPr>
      <w:i/>
      <w:iCs/>
      <w:color w:val="0F4761" w:themeColor="accent1" w:themeShade="BF"/>
    </w:rPr>
  </w:style>
  <w:style w:type="paragraph" w:styleId="IntenseQuote">
    <w:name w:val="Intense Quote"/>
    <w:basedOn w:val="Normal"/>
    <w:next w:val="Normal"/>
    <w:link w:val="IntenseQuoteChar"/>
    <w:uiPriority w:val="30"/>
    <w:qFormat/>
    <w:rsid w:val="00E41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7E5"/>
    <w:rPr>
      <w:i/>
      <w:iCs/>
      <w:color w:val="0F4761" w:themeColor="accent1" w:themeShade="BF"/>
    </w:rPr>
  </w:style>
  <w:style w:type="character" w:styleId="IntenseReference">
    <w:name w:val="Intense Reference"/>
    <w:basedOn w:val="DefaultParagraphFont"/>
    <w:uiPriority w:val="32"/>
    <w:qFormat/>
    <w:rsid w:val="00E41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1383</Words>
  <Characters>8357</Characters>
  <Application>Microsoft Office Word</Application>
  <DocSecurity>0</DocSecurity>
  <Lines>146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Tackett</dc:creator>
  <cp:keywords/>
  <dc:description/>
  <cp:lastModifiedBy>Mike Tackett</cp:lastModifiedBy>
  <cp:revision>4</cp:revision>
  <dcterms:created xsi:type="dcterms:W3CDTF">2026-03-02T17:40:00Z</dcterms:created>
  <dcterms:modified xsi:type="dcterms:W3CDTF">2026-03-02T19:14:00Z</dcterms:modified>
</cp:coreProperties>
</file>