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003366"/>
          <w:sz w:val="36"/>
        </w:rPr>
        <w:t>Document 4: Security Operations Incident Response Plan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2980B9"/>
          <w:sz w:val="26"/>
        </w:rPr>
        <w:t>Incidents Overview &amp;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Time Window</w:t>
            </w:r>
          </w:p>
        </w:tc>
        <w:tc>
          <w:tcPr>
            <w:tcW w:type="dxa" w:w="31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Incident Event Summary</w:t>
            </w:r>
          </w:p>
        </w:tc>
      </w:tr>
      <w:tr>
        <w:tc>
          <w:tcPr>
            <w:tcW w:type="dxa" w:w="312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Brute-Force Activity</w:t>
            </w:r>
          </w:p>
        </w:tc>
        <w:tc>
          <w:tcPr>
            <w:tcW w:type="dxa" w:w="312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Initial Phase</w:t>
            </w:r>
          </w:p>
        </w:tc>
        <w:tc>
          <w:tcPr>
            <w:tcW w:type="dxa" w:w="312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Multiple sequential failed login attempts detected against administrative accounts originating from an unauthorized external IP address.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Authentication Breach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Phase 2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Successful credential validation following persistent brute-force login attempts.</w:t>
            </w:r>
          </w:p>
        </w:tc>
      </w:tr>
      <w:tr>
        <w:tc>
          <w:tcPr>
            <w:tcW w:type="dxa" w:w="312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Anomaly Alert</w:t>
            </w:r>
          </w:p>
        </w:tc>
        <w:tc>
          <w:tcPr>
            <w:tcW w:type="dxa" w:w="312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Phase 3</w:t>
            </w:r>
          </w:p>
        </w:tc>
        <w:tc>
          <w:tcPr>
            <w:tcW w:type="dxa" w:w="312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Automated SIEM system flags login activity originating from an unverified network proxy location.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Unauthorized Access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Phase 4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Compromised session accesses internal administrative directories, database files, and data archives.</w:t>
            </w:r>
          </w:p>
        </w:tc>
      </w:tr>
      <w:tr>
        <w:tc>
          <w:tcPr>
            <w:tcW w:type="dxa" w:w="312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Backdoor Creation</w:t>
            </w:r>
          </w:p>
        </w:tc>
        <w:tc>
          <w:tcPr>
            <w:tcW w:type="dxa" w:w="312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Phase 5</w:t>
            </w:r>
          </w:p>
        </w:tc>
        <w:tc>
          <w:tcPr>
            <w:tcW w:type="dxa" w:w="3120"/>
            <w:shd w:fill="F9FB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Creation of a secondary privileged service account with escalated administrative domain rights.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Exfiltration Event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Final Phase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Backdoor service account compresses target dataset archives and initiates outbound encrypted data transfer.</w:t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2980B9"/>
          <w:sz w:val="26"/>
        </w:rPr>
        <w:t>Actionable Response Framework</w:t>
      </w:r>
    </w:p>
    <w:p>
      <w:pPr>
        <w:spacing w:after="80"/>
      </w:pPr>
      <w:r>
        <w:rPr>
          <w:b/>
        </w:rPr>
        <w:t xml:space="preserve">1. Immediate Containment: </w:t>
      </w:r>
      <w:r>
        <w:t>Terminate active compromised sessions, lock affected user accounts, remove unauthorized backdoor service accounts, and block originating external network addresses at the perimeter firewall.</w:t>
      </w:r>
    </w:p>
    <w:p>
      <w:pPr>
        <w:spacing w:after="80"/>
      </w:pPr>
      <w:r>
        <w:rPr>
          <w:b/>
        </w:rPr>
        <w:t xml:space="preserve">2. System Eradication: </w:t>
      </w:r>
      <w:r>
        <w:t>Purge persistent account entries from central directory services, enforce global credential resets across target accounts, and inspect host servers for unauthorized scheduled tasks or web shells.</w:t>
      </w:r>
    </w:p>
    <w:p>
      <w:pPr>
        <w:spacing w:after="80"/>
      </w:pPr>
      <w:r>
        <w:rPr>
          <w:b/>
        </w:rPr>
        <w:t xml:space="preserve">3. System Recovery &amp; Hardening: </w:t>
      </w:r>
      <w:r>
        <w:t>Enforce Multi-Factor Authentication (MFA) across all administrative portals, establish account lockout thresholds after consecutive failed authentication attempts, and maintain continuous SIEM monitoring.</w:t>
      </w:r>
    </w:p>
    <w:p>
      <w:pPr>
        <w:spacing w:before="360" w:after="120"/>
      </w:pPr>
      <w:r>
        <w:rPr>
          <w:i/>
          <w:color w:val="787878"/>
          <w:sz w:val="17"/>
        </w:rPr>
        <w:t>Author: Abdullah Khan  |  Date: August 2026  |  Source: SIEM &amp; Forensic Incident Analysis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