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68B8" w:rsidRPr="00602007" w:rsidRDefault="007668B8" w:rsidP="007668B8">
      <w:pPr>
        <w:spacing w:line="480" w:lineRule="auto"/>
        <w:jc w:val="both"/>
        <w:rPr>
          <w:rFonts w:ascii="Calibri" w:hAnsi="Calibri" w:cs="Calibri"/>
          <w:b/>
          <w:bCs/>
          <w:sz w:val="28"/>
          <w:szCs w:val="28"/>
          <w:lang w:val="en-US"/>
        </w:rPr>
      </w:pPr>
      <w:r w:rsidRPr="00602007">
        <w:rPr>
          <w:rFonts w:ascii="Calibri" w:hAnsi="Calibri" w:cs="Calibri"/>
          <w:b/>
          <w:bCs/>
          <w:sz w:val="28"/>
          <w:szCs w:val="28"/>
          <w:lang w:val="en-US"/>
        </w:rPr>
        <w:t>Introduction</w:t>
      </w:r>
    </w:p>
    <w:p w:rsidR="007668B8" w:rsidRPr="00602007" w:rsidRDefault="007668B8" w:rsidP="007668B8">
      <w:pPr>
        <w:spacing w:line="480" w:lineRule="auto"/>
        <w:jc w:val="both"/>
        <w:rPr>
          <w:rFonts w:ascii="Calibri" w:eastAsia="Calibri" w:hAnsi="Calibri" w:cs="Calibri"/>
        </w:rPr>
      </w:pPr>
      <w:r w:rsidRPr="00602007">
        <w:rPr>
          <w:rFonts w:ascii="Calibri" w:eastAsia="Calibri" w:hAnsi="Calibri" w:cs="Calibri"/>
        </w:rPr>
        <w:t>Juvenile open</w:t>
      </w:r>
      <w:r>
        <w:rPr>
          <w:rFonts w:ascii="Calibri" w:eastAsia="Calibri" w:hAnsi="Calibri" w:cs="Calibri"/>
          <w:lang w:val="en-US"/>
        </w:rPr>
        <w:t>-</w:t>
      </w:r>
      <w:r w:rsidRPr="00602007">
        <w:rPr>
          <w:rFonts w:ascii="Calibri" w:eastAsia="Calibri" w:hAnsi="Calibri" w:cs="Calibri"/>
        </w:rPr>
        <w:t xml:space="preserve">angle glaucoma (JOAG) is a subset of </w:t>
      </w:r>
      <w:r>
        <w:rPr>
          <w:rFonts w:ascii="Calibri" w:eastAsia="Calibri" w:hAnsi="Calibri" w:cs="Calibri"/>
          <w:lang w:val="en-US"/>
        </w:rPr>
        <w:t>childhood</w:t>
      </w:r>
      <w:r w:rsidRPr="00602007">
        <w:rPr>
          <w:rFonts w:ascii="Calibri" w:eastAsia="Calibri" w:hAnsi="Calibri" w:cs="Calibri"/>
          <w:lang w:val="en-US"/>
        </w:rPr>
        <w:t xml:space="preserve"> </w:t>
      </w:r>
      <w:r w:rsidRPr="00602007">
        <w:rPr>
          <w:rFonts w:ascii="Calibri" w:eastAsia="Calibri" w:hAnsi="Calibri" w:cs="Calibri"/>
        </w:rPr>
        <w:t xml:space="preserve">glaucoma </w:t>
      </w:r>
      <w:r>
        <w:rPr>
          <w:rFonts w:ascii="Calibri" w:eastAsia="Calibri" w:hAnsi="Calibri" w:cs="Calibri"/>
          <w:lang w:val="en-US"/>
        </w:rPr>
        <w:t>that occurs after 3 years of age and with no globe enlargement</w:t>
      </w:r>
      <w:r w:rsidRPr="00602007">
        <w:rPr>
          <w:rFonts w:ascii="Calibri" w:eastAsia="Calibri" w:hAnsi="Calibri" w:cs="Calibri"/>
          <w:lang w:val="en-US"/>
        </w:rPr>
        <w:t xml:space="preserve">. </w:t>
      </w:r>
      <w:r w:rsidRPr="00602007">
        <w:rPr>
          <w:rFonts w:ascii="Calibri" w:eastAsia="Calibri" w:hAnsi="Calibri" w:cs="Calibri"/>
        </w:rPr>
        <w:t xml:space="preserve">JOAG is </w:t>
      </w:r>
      <w:r w:rsidRPr="00602007">
        <w:rPr>
          <w:rFonts w:ascii="Calibri" w:eastAsia="Calibri" w:hAnsi="Calibri" w:cs="Calibri"/>
          <w:lang w:val="en-US"/>
        </w:rPr>
        <w:t>diagnosed in patients presenting with glaucoma in the context of a normal appearing anterior chamber angle without any evidence of a secondary cause.</w:t>
      </w:r>
      <w:r w:rsidRPr="00602007">
        <w:rPr>
          <w:rFonts w:ascii="Calibri" w:eastAsia="Calibri" w:hAnsi="Calibri" w:cs="Calibri"/>
          <w:lang w:val="en-US"/>
        </w:rPr>
        <w:fldChar w:fldCharType="begin" w:fldLock="1"/>
      </w:r>
      <w:r>
        <w:rPr>
          <w:rFonts w:ascii="Calibri" w:eastAsia="Calibri" w:hAnsi="Calibri" w:cs="Calibri"/>
          <w:lang w:val="en-US"/>
        </w:rPr>
        <w:instrText>ADDIN CSL_CITATION {"citationItems":[{"id":"ITEM-1","itemData":{"DOI":"10.1097/ICU.0000000000000516","ISBN":"0000000000000","ISSN":"15317021","abstract":"Purpose of reviewThe Childhood Glaucoma Research Network (CGRN) has created a new classification system for childhood glaucoma that has become the first International Consensus Classification. The purpose of this review is to present this classification system and share its use to date.Recent FindingsThe diagnoses of the classification system include glaucoma and glaucoma suspect. The primary glaucomas include: primary congenital glaucoma and juvenile open-angle glaucoma. The secondary glaucomas include: glaucoma following cataract surgery, glaucoma associated with nonacquired systemic disease or syndrome, glaucoma associated with nonacquired ocular anomalies, and glaucoma associated with acquired conditions. This system reached consensus agreement at the Ninth World Glaucoma Association Consensus, which has been adopted by the American Board of Ophthalmology, and has been implemented in outcomes research, incidence studies, and review articles. The new Robison D. Harley, MD CGRN International Pediatric Glaucoma Registry uses this classification system as a shared language, allowing international clinicians and researchers to collaborate and make large-scale investigations of this otherwise rare disease possible.SummaryThe diagnoses in this system are assigned by following a logical and systematically approachable path. The ability to easily adopt and implement the system lends itself to international research.","author":[{"dropping-particle":"","family":"Thau","given":"Avrey","non-dropping-particle":"","parse-names":false,"suffix":""},{"dropping-particle":"","family":"Lloyd","given":"Maureen","non-dropping-particle":"","parse-names":false,"suffix":""},{"dropping-particle":"","family":"Freedman","given":"Sharon","non-dropping-particle":"","parse-names":false,"suffix":""},{"dropping-particle":"","family":"Beck","given":"Allen","non-dropping-particle":"","parse-names":false,"suffix":""},{"dropping-particle":"","family":"Grajewski","given":"Alana","non-dropping-particle":"","parse-names":false,"suffix":""},{"dropping-particle":"V.","family":"Levin","given":"Alex","non-dropping-particle":"","parse-names":false,"suffix":""}],"container-title":"Current Opinion in Ophthalmology","id":"ITEM-1","issue":"5","issued":{"date-parts":[["2018"]]},"page":"385-394","title":"New classification system for pediatric glaucoma: Implications for clinical care and a research registry","type":"article-journal","volume":"29"},"uris":["http://www.mendeley.com/documents/?uuid=66f5d4b3-1b7b-4f89-8a5c-18efa3c004d8"]}],"mendeley":{"formattedCitation":"&lt;sup&gt;1&lt;/sup&gt;","plainTextFormattedCitation":"1","previouslyFormattedCitation":"&lt;sup&gt;1&lt;/sup&gt;"},"properties":{"noteIndex":0},"schema":"https://github.com/citation-style-language/schema/raw/master/csl-citation.json"}</w:instrText>
      </w:r>
      <w:r w:rsidRPr="00602007">
        <w:rPr>
          <w:rFonts w:ascii="Calibri" w:eastAsia="Calibri" w:hAnsi="Calibri" w:cs="Calibri"/>
          <w:lang w:val="en-US"/>
        </w:rPr>
        <w:fldChar w:fldCharType="separate"/>
      </w:r>
      <w:r w:rsidRPr="006C6CEE">
        <w:rPr>
          <w:rFonts w:ascii="Calibri" w:eastAsia="Calibri" w:hAnsi="Calibri" w:cs="Calibri"/>
          <w:noProof/>
          <w:vertAlign w:val="superscript"/>
          <w:lang w:val="en-US"/>
        </w:rPr>
        <w:t>1</w:t>
      </w:r>
      <w:r w:rsidRPr="00602007">
        <w:rPr>
          <w:rFonts w:ascii="Calibri" w:eastAsia="Calibri" w:hAnsi="Calibri" w:cs="Calibri"/>
          <w:lang w:val="en-US"/>
        </w:rPr>
        <w:fldChar w:fldCharType="end"/>
      </w:r>
      <w:r w:rsidRPr="00602007">
        <w:rPr>
          <w:rFonts w:ascii="Calibri" w:eastAsia="Calibri" w:hAnsi="Calibri" w:cs="Calibri"/>
          <w:lang w:val="en-US"/>
        </w:rPr>
        <w:t xml:space="preserve"> It</w:t>
      </w:r>
      <w:r w:rsidRPr="00602007">
        <w:rPr>
          <w:rFonts w:ascii="Calibri" w:eastAsia="Calibri" w:hAnsi="Calibri" w:cs="Calibri"/>
        </w:rPr>
        <w:t xml:space="preserve"> is inherited in an autosomal dominant fashion with variability in penetrance and expressivity. It is strongly linked to a myocilin gene (MYOC) </w:t>
      </w:r>
      <w:r>
        <w:rPr>
          <w:rFonts w:ascii="Calibri" w:eastAsia="Calibri" w:hAnsi="Calibri" w:cs="Calibri"/>
          <w:lang w:val="en-US"/>
        </w:rPr>
        <w:t xml:space="preserve">mutation </w:t>
      </w:r>
      <w:r w:rsidRPr="00602007">
        <w:rPr>
          <w:rFonts w:ascii="Calibri" w:eastAsia="Calibri" w:hAnsi="Calibri" w:cs="Calibri"/>
        </w:rPr>
        <w:t>found within the GLCA locus.</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{"citationItems":[{"id":"ITEM-1","itemData":{"DOI":"10.1080/08820530701745199","ISSN":"08820538","abstract":"Juvenile-onset open-angle glaucoma (JOAG) is an autosomal dominant disease characterized by an early age of onset and severely elevated intraocular pressures. Large JOAG pedigrees have been pivotal in genetic linkage analyses that have helped establish the association between JOAG and the myocilin gene (MYOC). Numerous disease-causing MYOC mutations have now been identified, and additional loci on other chromosomes have been linked to JOAG. Ongoing molecular genetic studies on myocilin andthe search for new gene defects associated with JOAG may offer new directions in our scientific understanding and clinical management of open-angle glaucoma. Copyright © Informa Healthcare USA, Inc.","author":[{"dropping-particle":"V.","family":"Turalba","given":"Angela","non-dropping-particle":"","parse-names":false,"suffix":""},{"dropping-particle":"","family":"Chen","given":"Teresa C.","non-dropping-particle":"","parse-names":false,"suffix":""}],"container-title":"Seminars in Ophthalmology","id":"ITEM-1","issue":"1","issued":{"date-parts":[["2008"]]},"page":"19-25","title":"Clinical and genetic characteristics of primary juvenile-onset open-angle glaucoma (JOAG)","type":"article-journal","volume":"23"},"uris":["http://www.mendeley.com/documents/?uuid=f9f42d3b-7b7a-4260-829e-4bf1894a6d7e"]}],"mendeley":{"formattedCitation":"&lt;sup&gt;2&lt;/sup&gt;","plainTextFormattedCitation":"2","previouslyFormattedCitation":"&lt;sup&gt;2&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2</w:t>
      </w:r>
      <w:r w:rsidRPr="00602007">
        <w:rPr>
          <w:rFonts w:ascii="Calibri" w:eastAsia="Calibri" w:hAnsi="Calibri" w:cs="Calibri"/>
        </w:rPr>
        <w:fldChar w:fldCharType="end"/>
      </w:r>
      <w:r w:rsidRPr="00602007">
        <w:rPr>
          <w:rFonts w:ascii="Calibri" w:eastAsia="Calibri" w:hAnsi="Calibri" w:cs="Calibri"/>
        </w:rPr>
        <w:t xml:space="preserve"> Moreover, cytochrome P450, family 1, subfamily B (CYP1B1) mutations have also been linked to JOAG in some populations.</w:t>
      </w:r>
      <w:r w:rsidRPr="00602007">
        <w:rPr>
          <w:rFonts w:ascii="Calibri" w:eastAsia="Calibri" w:hAnsi="Calibri" w:cs="Calibri"/>
        </w:rPr>
        <w:fldChar w:fldCharType="begin" w:fldLock="1"/>
      </w:r>
      <w:r>
        <w:rPr>
          <w:rFonts w:ascii="Calibri" w:eastAsia="Calibri" w:hAnsi="Calibri" w:cs="Calibri"/>
        </w:rPr>
        <w:instrText>ADDIN CSL_CITATION {"citationItems":[{"id":"ITEM-1","itemData":{"DOI":"10.3109/13816810.2013.841961","ISSN":"17445094","abstract":"To describe the genotype and phenotype in 14 unrelated Saudis with juvenile open angle glaucoma (JOAG). Detailed clinical examination was carried out and we sequenced cytochrome P450, family 1, subfamily B (CYP1B1), Myocilin (MYOC) and latent-transforming growth factor beta-binding protein 2 (LTBP2) genes. Twelve (85.7%) patients had apparent sporadic inheritance and 2 (14.3%) presented with a family history of glaucoma. Overall, 12 patients (85.7%) had CYP1B1 mutation. Nine patients had CYP1B1 mutations in a homozygous status. Eight of these had homozygous p.G61E mutation and one had a silent (no amino acid change) sequence change. Two patients had p.G61E mutation in a compound heterozygous status with another CYP1B1 mutation (p.L432V). Two patients had p.G61E in a heterozygous status with no other mutation, while one patient had no mutation(s). None of the patients had any mutation(s) in the MYOC or LTBP2 genes. JOAG associated with CYP1B1 mutations occurs at a high rate in the Saudi population. A specific genotype-phenotype relationship was not demonstrated.","author":[{"dropping-particle":"","family":"Abu-Amero","given":"Khaled K.","non-dropping-particle":"","parse-names":false,"suffix":""},{"dropping-particle":"","family":"Morales","given":"Jose","non-dropping-particle":"","parse-names":false,"suffix":""},{"dropping-particle":"","family":"Aljasim","given":"Leyla A.","non-dropping-particle":"","parse-names":false,"suffix":""},{"dropping-particle":"","family":"Edward","given":"Deepak P.","non-dropping-particle":"","parse-names":false,"suffix":""}],"container-title":"Ophthalmic Genetics","id":"ITEM-1","issue":"2","issued":{"date-parts":[["2015","6","1"]]},"page":"184-187","publisher":"Informa Healthcare","title":"CYP1B1 Mutations are a Major Contributor to Juvenile-Onset Open Angle Glaucoma in Saudi Arabia","type":"article-journal","volume":"36"},"uris":["http://www.mendeley.com/documents/?uuid=df3d7ae1-b53d-35cc-98eb-97770a8f6cd2"]}],"mendeley":{"formattedCitation":"&lt;sup&gt;3&lt;/sup&gt;","plainTextFormattedCitation":"3","previouslyFormattedCitation":"&lt;sup&gt;3&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3</w:t>
      </w:r>
      <w:r w:rsidRPr="00602007">
        <w:rPr>
          <w:rFonts w:ascii="Calibri" w:eastAsia="Calibri" w:hAnsi="Calibri" w:cs="Calibri"/>
        </w:rPr>
        <w:fldChar w:fldCharType="end"/>
      </w:r>
      <w:r w:rsidRPr="00602007">
        <w:rPr>
          <w:rFonts w:ascii="Calibri" w:eastAsia="Calibri" w:hAnsi="Calibri" w:cs="Calibri"/>
        </w:rPr>
        <w:t xml:space="preserve">  </w:t>
      </w:r>
    </w:p>
    <w:p w:rsidR="007668B8" w:rsidRPr="00602007" w:rsidRDefault="007668B8" w:rsidP="007668B8">
      <w:pPr>
        <w:spacing w:line="480" w:lineRule="auto"/>
        <w:ind w:firstLine="720"/>
        <w:jc w:val="both"/>
        <w:rPr>
          <w:rFonts w:ascii="Calibri" w:eastAsia="Calibri" w:hAnsi="Calibri" w:cs="Calibri"/>
          <w:lang w:val="en-US"/>
        </w:rPr>
      </w:pPr>
      <w:r w:rsidRPr="00602007">
        <w:rPr>
          <w:rFonts w:ascii="Calibri" w:eastAsia="Calibri" w:hAnsi="Calibri" w:cs="Calibri"/>
          <w:lang w:val="en-US"/>
        </w:rPr>
        <w:t>Given the</w:t>
      </w:r>
      <w:r w:rsidRPr="00602007">
        <w:rPr>
          <w:rFonts w:ascii="Calibri" w:eastAsia="Calibri" w:hAnsi="Calibri" w:cs="Calibri"/>
        </w:rPr>
        <w:t xml:space="preserve"> young</w:t>
      </w:r>
      <w:r w:rsidRPr="00602007">
        <w:rPr>
          <w:rFonts w:ascii="Calibri" w:eastAsia="Calibri" w:hAnsi="Calibri" w:cs="Calibri"/>
          <w:lang w:val="en-US"/>
        </w:rPr>
        <w:t xml:space="preserve"> a</w:t>
      </w:r>
      <w:r w:rsidRPr="00602007">
        <w:rPr>
          <w:rFonts w:ascii="Calibri" w:eastAsia="Calibri" w:hAnsi="Calibri" w:cs="Calibri"/>
        </w:rPr>
        <w:t xml:space="preserve">ge </w:t>
      </w:r>
      <w:r w:rsidRPr="00602007">
        <w:rPr>
          <w:rFonts w:ascii="Calibri" w:eastAsia="Calibri" w:hAnsi="Calibri" w:cs="Calibri"/>
          <w:lang w:val="en-US"/>
        </w:rPr>
        <w:t>at presentation</w:t>
      </w:r>
      <w:r w:rsidRPr="00602007">
        <w:rPr>
          <w:rFonts w:ascii="Calibri" w:eastAsia="Calibri" w:hAnsi="Calibri" w:cs="Calibri"/>
        </w:rPr>
        <w:t xml:space="preserve">, </w:t>
      </w:r>
      <w:r w:rsidRPr="00602007">
        <w:rPr>
          <w:rFonts w:ascii="Calibri" w:eastAsia="Calibri" w:hAnsi="Calibri" w:cs="Calibri"/>
          <w:lang w:val="en-US"/>
        </w:rPr>
        <w:t xml:space="preserve">a significant proportion of JOAG patients </w:t>
      </w:r>
      <w:r w:rsidRPr="00602007">
        <w:rPr>
          <w:rFonts w:ascii="Calibri" w:eastAsia="Calibri" w:hAnsi="Calibri" w:cs="Calibri"/>
        </w:rPr>
        <w:t xml:space="preserve">are likely to require </w:t>
      </w:r>
      <w:r w:rsidRPr="00602007">
        <w:rPr>
          <w:rFonts w:ascii="Calibri" w:eastAsia="Calibri" w:hAnsi="Calibri" w:cs="Calibri"/>
          <w:lang w:val="en-US"/>
        </w:rPr>
        <w:t>surgery</w:t>
      </w:r>
      <w:r w:rsidRPr="00602007">
        <w:rPr>
          <w:rFonts w:ascii="Calibri" w:eastAsia="Calibri" w:hAnsi="Calibri" w:cs="Calibri"/>
        </w:rPr>
        <w:t xml:space="preserve"> at some point </w:t>
      </w:r>
      <w:r>
        <w:rPr>
          <w:rFonts w:ascii="Calibri" w:eastAsia="Calibri" w:hAnsi="Calibri" w:cs="Calibri"/>
          <w:lang w:val="en-US"/>
        </w:rPr>
        <w:t>in</w:t>
      </w:r>
      <w:r w:rsidRPr="00602007">
        <w:rPr>
          <w:rFonts w:ascii="Calibri" w:eastAsia="Calibri" w:hAnsi="Calibri" w:cs="Calibri"/>
        </w:rPr>
        <w:t xml:space="preserve"> their lifetime.</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{"citationItems":[{"id":"ITEM-1","itemData":{"DOI":"10.1016/S0161-6420(95)30793-2","ISSN":"01616420","abstract":"Background: Primary juvenile glaucoma is a rare form of glaucoma that typically affects individuals between 3 and 20 years of ages and is inherited as an autosomal dominant trait. One gene responsible for this condition has been localized to the 1q21-q31 region of chromosome 1. To investigate the clinical features of this form of glaucoma, the authors have examined the affected members of five pedigrees demonstrating genetic linkage to the 1q21-q31 locus. Methods: Clinical characterization of 23 affected patients was performed. Genetic linkage to the 1q21-q31 locus was confirmed by segregation of the disease trait in each pedigree with genetic markers located in the 1q21-q31 region. Results: The clinical features of affected members of the five pedigrees presented are generally homogeneous. The average age of diagnosis was 18.5 years (range, 5-30 years), and the average initial intraocular pressure was 38.5 mmHg (range, 30-53 mmHg). Eighty-seven percent of affected individuals were myopic and 83% of affected individuals required surgical treatment for glaucoma. There were no uniformly associated systemic or ocular conditions. One possible nonpenetrant carrier was identified and a difference in phenotypic expression of the presumed disease gene was observed in a pair of affected monozygotic twins. We also identified two pedigrees with juvenile glaucoma and three pedigrees affected by the pigment dispersion syndrome that are not genetically linked to the 1q21-q31 region. Conclusion: The form of juvenile glaucoma caused by a gene located in the q21-q31 region of chromosome 1 is generally phenotypically homogeneous. The severe elevation of intraocular pressure typically seen in affected patients suggests the product of the predisposing gene may participate in the outflow function of the eye. © 1995, American Academy of Ophthalmology, Inc. All rights reserved.","author":[{"dropping-particle":"","family":"Wiggs","given":"Janey L.","non-dropping-particle":"","parse-names":false,"suffix":""},{"dropping-particle":"","family":"Bono","given":"Elizabeth A.","non-dropping-particle":"Del","parse-names":false,"suffix":""},{"dropping-particle":"","family":"Schuman","given":"Joel S.","non-dropping-particle":"","parse-names":false,"suffix":""},{"dropping-particle":"","family":"Hutchinson","given":"B. Thomas","non-dropping-particle":"","parse-names":false,"suffix":""},{"dropping-particle":"","family":"Walton","given":"David S.","non-dropping-particle":"","parse-names":false,"suffix":""}],"container-title":"Ophthalmology","id":"ITEM-1","issue":"12","issued":{"date-parts":[["1995"]]},"page":"1782-1789","publisher":"American Academy of Ophthalmology, Inc","title":"Clinical Features of Five Pedigrees Genetically Linked to the Juvenile Glaucoma Locus on Chromosome 1q21-q31","type":"article-journal","volume":"102"},"uris":["http://www.mendeley.com/documents/?uuid=fbfb31ba-1865-48cd-968c-2725cf2068d5"]}],"mendeley":{"formattedCitation":"&lt;sup&gt;4&lt;/sup&gt;","plainTextFormattedCitation":"4","previouslyFormattedCitation":"&lt;sup&gt;4&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4</w:t>
      </w:r>
      <w:r w:rsidRPr="00602007">
        <w:rPr>
          <w:rFonts w:ascii="Calibri" w:eastAsia="Calibri" w:hAnsi="Calibri" w:cs="Calibri"/>
        </w:rPr>
        <w:fldChar w:fldCharType="end"/>
      </w:r>
      <w:r w:rsidRPr="00602007">
        <w:rPr>
          <w:rFonts w:ascii="Calibri" w:eastAsia="Calibri" w:hAnsi="Calibri" w:cs="Calibri"/>
        </w:rPr>
        <w:t xml:space="preserve"> Previous reports in the literature have looked at the outcomes of variable surgical </w:t>
      </w:r>
      <w:r w:rsidRPr="00602007">
        <w:rPr>
          <w:rFonts w:ascii="Calibri" w:eastAsia="Calibri" w:hAnsi="Calibri" w:cs="Calibri"/>
          <w:lang w:val="en-US"/>
        </w:rPr>
        <w:t>interventions</w:t>
      </w:r>
      <w:r w:rsidRPr="00602007">
        <w:rPr>
          <w:rFonts w:ascii="Calibri" w:eastAsia="Calibri" w:hAnsi="Calibri" w:cs="Calibri"/>
        </w:rPr>
        <w:t xml:space="preserve"> (i.e.</w:t>
      </w:r>
      <w:r>
        <w:rPr>
          <w:rFonts w:ascii="Calibri" w:eastAsia="Calibri" w:hAnsi="Calibri" w:cs="Calibri"/>
          <w:lang w:val="en-US"/>
        </w:rPr>
        <w:t>,</w:t>
      </w:r>
      <w:r w:rsidRPr="00602007">
        <w:rPr>
          <w:rFonts w:ascii="Calibri" w:eastAsia="Calibri" w:hAnsi="Calibri" w:cs="Calibri"/>
        </w:rPr>
        <w:t xml:space="preserve"> trabeculotomy</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{"citationItems":[{"id":"ITEM-1","itemData":{"DOI":"10.1097/IJG.0b013e31829484df","ISSN":"1536481X","PMID":"23661045","abstract":"BACKGROUND:: Aphakic and juvenile open-angle glaucoma (JOAG) cases often prove to be challenging to manage, frequently requiring surgical intervention. Angle surgery has some reported success in these cases. PURPOSE:: The purpose of this study was to evaluate 360-degree trabeculotomy, facilitated by iTrack, for refractory aphakic glaucoma and JOAG. PATIENTS AND METHODS:: This study was conducted to evaluate the success and complication rates of illuminated microcatheter-assisted 360-degree trabeculotomy for aphakic glaucoma and JOAG (2 surgeons/2 sites, 2008 to 2011). The success of this surgery was defined as intraocular pressure ≤22 mm Hg with &gt;30% reduction, without disease progression, oral glaucoma medications, or additional glaucoma surgery. One eye per subject was analyzed. All had gonioscopically open angles preoperatively. RESULTS:: A total of 23 eyes status post iTrack-facilitated 360-degree trabeculotomy, 13 aphakic glaucoma cases (mean age 3.1 y at surgery), and 10 JOAG cases (mean age, 18.6 y) were included in the study. Complete cannulation/opening of the Schlemm canal occurred intraoperatively in 8 aphakic and in all JOAG cases. Success rates achieved at last follow-up were as follows: 8/13 (62%) aphakic glaucoma cases and 9/10 (90%) JOAG cases. Preoperative versus final intraocular pressure decreased for all surgically successful eyes (35.5±3.9 vs. 17.3±4.6 mm Hg for aphakic glaucoma, P&lt;0.0001, after mean 30 mo and 30.7±7.4 vs. 13.4±2.8 mm Hg for JOAG, P=0.0001, after mean 10 mo). All trabeculotomy failures (n=5) occurred within 5 months. Complications included vitreous hemorrhage (2 aphakic eyes) and transient choroidal effusion (1 aphakic eye). CONCLUSIONS:: iTrack-facilitated 360-degree trabeculotomy shows early promise for initial surgical treatment of medically refractory aphakic glaucoma and JOAG, with few complications and without affecting future surgical options. Copyright © 2013 by Lippincott Williams &amp; Wilkins.","author":[{"dropping-particle":"","family":"Dao","given":"Jennifer B.","non-dropping-particle":"","parse-names":false,"suffix":""},{"dropping-particle":"","family":"Sarkisian","given":"Steven R.","non-dropping-particle":"","parse-names":false,"suffix":""},{"dropping-particle":"","family":"Freedman","given":"Sharon F.","non-dropping-particle":"","parse-names":false,"suffix":""}],"container-title":"Journal of Glaucoma","id":"ITEM-1","issue":"7","issued":{"date-parts":[["2014"]]},"page":"449-454","publisher":"Lippincott Williams and Wilkins","title":"Illuminated microcatheter-facilitated 360-degree trabeculotomy for refractory aphakic and juvenile open-angle glaucoma","type":"article-journal","volume":"23"},"uris":["http://www.mendeley.com/documents/?uuid=cf096363-1e90-3486-950c-b4ced1bb6314"]}],"mendeley":{"formattedCitation":"&lt;sup&gt;5&lt;/sup&gt;","plainTextFormattedCitation":"5","previouslyFormattedCitation":"&lt;sup&gt;5&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5</w:t>
      </w:r>
      <w:r w:rsidRPr="00602007">
        <w:rPr>
          <w:rFonts w:ascii="Calibri" w:eastAsia="Calibri" w:hAnsi="Calibri" w:cs="Calibri"/>
        </w:rPr>
        <w:fldChar w:fldCharType="end"/>
      </w:r>
      <w:r w:rsidRPr="00602007">
        <w:rPr>
          <w:rFonts w:ascii="Calibri" w:eastAsia="Calibri" w:hAnsi="Calibri" w:cs="Calibri"/>
        </w:rPr>
        <w:t>, trabeculectomy</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{"citationItems":[{"id":"ITEM-1","itemData":{"DOI":"10.1159/000068250","ISSN":"00303755","abstract":"Purpose: We compare the intermediate-term outcome of initial trabeculectomy with adjunctive mitomycin C use versus initial trabeculectomy alone for juvenile primary open-angle glaucoma. Methods: This retrospective consecutive analysis included 44 eyes from 36 patients with juvenile primary-open angle glaucoma, all of whom underwent either initial trabeculectomy with adjunctive mitomycin C use (15 eyes) or initial trabeculectomy alone without mitomycin C use (29 eyes). We compared the success rate and complications between the two groups in a three-year follow-up period following surgery. Results: Three years subsequent to surgery, the cumulative success probability was 73% for the mitomycin C group and 68% for the control group, there being no real difference between the two groups (p =0.89). A greater incidence of hypotony maculopathy was found amongst the mitomycin C group than was the case for the control group (20 versus 0%, respectively, p =0.034). A lower intraocular pressure amongst the mitomycin C group was noted as compared with the control group (10.8 ± 3.0 versus 13.3 ± 3.8 mm Hg, respectively, p =0.017) amongst the successfully treated patients. Conclusions: Despite the lower intraocular pressure level for the successfully treated patients from the trabeculectomy with mitomycin C group, and a greater incidence of resultant hypotony maculopathy for this group as compared with the trabeculectomy alone group, there appeared to be no significant difference in the cumulative success probability for this group as compared with the trabeculectomy alone group. Therefore, we caution against the use of an initial trabeculectomy with mitomycin C for juvenile primary open-angle glaucoma. Copyright © 2003 S. Karger AG, Basel.","author":[{"dropping-particle":"","family":"Tsai","given":"Jen Chia","non-dropping-particle":"","parse-names":false,"suffix":""},{"dropping-particle":"","family":"Chang","given":"Hsueh Wen","non-dropping-particle":"","parse-names":false,"suffix":""},{"dropping-particle":"","family":"Kao","given":"Chien Neng","non-dropping-particle":"","parse-names":false,"suffix":""},{"dropping-particle":"","family":"Lai","given":"Ing Chou","non-dropping-particle":"","parse-names":false,"suffix":""},{"dropping-particle":"","family":"Teng","given":"Mei Ching","non-dropping-particle":"","parse-names":false,"suffix":""}],"container-title":"Ophthalmologica","id":"ITEM-1","issue":"1","issued":{"date-parts":[["2003"]]},"page":"24-30","title":"Trabeculectomy with mitomycin C versus trabeculectomy alone for juvenile primary open-angle glaucoma","type":"article-journal","volume":"217"},"uris":["http://www.mendeley.com/documents/?uuid=88859dc7-17a5-4b0d-b8b6-2c7b188f920b"]}],"mendeley":{"formattedCitation":"&lt;sup&gt;6&lt;/sup&gt;","plainTextFormattedCitation":"6","previouslyFormattedCitation":"&lt;sup&gt;6&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6</w:t>
      </w:r>
      <w:r w:rsidRPr="00602007">
        <w:rPr>
          <w:rFonts w:ascii="Calibri" w:eastAsia="Calibri" w:hAnsi="Calibri" w:cs="Calibri"/>
        </w:rPr>
        <w:fldChar w:fldCharType="end"/>
      </w:r>
      <w:r w:rsidRPr="00602007">
        <w:rPr>
          <w:rFonts w:ascii="Calibri" w:eastAsia="Calibri" w:hAnsi="Calibri" w:cs="Calibri"/>
        </w:rPr>
        <w:t>, ab interno trabeculectomy</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{"citationItems":[{"id":"ITEM-1","itemData":{"DOI":"10.1016/j.jcjo.2017.12.013","ISSN":"17153360","abstract":"Objective: To determine the efficacy and safety of ab interno trabeculectomy with Trabectome in juvenile open-angle glaucoma (JOAG) patients. Design: Prospective cohort study. Methods: Evaluation of the 12-month results of 2 patient groups receiving ab interno trabeculectomy: group 1, eyes with no prior incisional surgery; group 2, eyes that had prior incisional cataract or glaucoma surgery. Results: Group 1, 40 eyes (average age 31 ± 7 years), had a significant reduction in intraocular pressure (IOP) of 10.6 mm Hg at 12 months from a baseline of 27.4 mm Hg (p = 0.01), and the number of glaucoma medications reduced by 0.4 (p = 0.80). Four eyes (10%) within the study period required a secondary glaucoma surgery. Group 2, 20 eyes (average age 27 ± 8 years), had a significant reduction in IOP of 8.8 mm Hg from a baseline of 27.1 mm Hg (p = 0.06), and the number of glaucoma medications reduced by 1.4 (p = 0.36). Five eyes (25%) from this group underwent a secondary glaucoma surgery within 12 months. Conclusion: After 1 year of follow-up, ab interno trabeculectomy appears to be an effective and safe intervention for patients with JOAG; however, a reduction in use of topical medications may not be observed in those receiving ab interno trabeculectomy as a primary procedure.","author":[{"dropping-particle":"","family":"Arora","given":"Sourabh","non-dropping-particle":"","parse-names":false,"suffix":""},{"dropping-particle":"","family":"Maeda","given":"Masahiro","non-dropping-particle":"","parse-names":false,"suffix":""},{"dropping-particle":"","family":"Francis","given":"Brian","non-dropping-particle":"","parse-names":false,"suffix":""},{"dropping-particle":"","family":"Maeda","given":"Mariko","non-dropping-particle":"","parse-names":false,"suffix":""},{"dropping-particle":"","family":"Sit","given":"Arthur J.","non-dropping-particle":"","parse-names":false,"suffix":""},{"dropping-particle":"","family":"Mosaed","given":"Sameh","non-dropping-particle":"","parse-names":false,"suffix":""},{"dropping-particle":"","family":"Nazarali","given":"Samir","non-dropping-particle":"","parse-names":false,"suffix":""},{"dropping-particle":"","family":"Damji","given":"Karim F.","non-dropping-particle":"","parse-names":false,"suffix":""}],"container-title":"Canadian Journal of Ophthalmology","id":"ITEM-1","issue":"5","issued":{"date-parts":[["2018"]]},"page":"482-486","publisher":"Elsevier Inc.","title":"Efficacy and safety of ab interno trabeculectomy in juvenile open-angle glaucoma","type":"article-journal","volume":"53"},"uris":["http://www.mendeley.com/documents/?uuid=280d037d-4ab8-44b8-96ea-f1e9b8bd5159"]}],"mendeley":{"formattedCitation":"&lt;sup&gt;7&lt;/sup&gt;","plainTextFormattedCitation":"7","previouslyFormattedCitation":"&lt;sup&gt;7&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7</w:t>
      </w:r>
      <w:r w:rsidRPr="00602007">
        <w:rPr>
          <w:rFonts w:ascii="Calibri" w:eastAsia="Calibri" w:hAnsi="Calibri" w:cs="Calibri"/>
        </w:rPr>
        <w:fldChar w:fldCharType="end"/>
      </w:r>
      <w:r w:rsidRPr="00602007">
        <w:rPr>
          <w:rFonts w:ascii="Calibri" w:eastAsia="Calibri" w:hAnsi="Calibri" w:cs="Calibri"/>
        </w:rPr>
        <w:t>,</w:t>
      </w:r>
      <w:r w:rsidRPr="00602007">
        <w:rPr>
          <w:rFonts w:ascii="Calibri" w:eastAsia="Calibri" w:hAnsi="Calibri" w:cs="Calibri"/>
          <w:lang w:val="en-US"/>
        </w:rPr>
        <w:t xml:space="preserve"> </w:t>
      </w:r>
      <w:r w:rsidRPr="00602007">
        <w:rPr>
          <w:rFonts w:ascii="Calibri" w:eastAsia="Calibri" w:hAnsi="Calibri" w:cs="Calibri"/>
        </w:rPr>
        <w:t>and viscocanalostomy</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{"citationItems":[{"id":"ITEM-1","itemData":{"DOI":"10.1016/j.ajo.2005.04.038","ISSN":"00029394","abstract":"• PURPOSE: To evaluate the efficacy and safety of primary viscocanalostomy for medically uncontrolled juvenile open-angle glaucoma (JOAG). • DESIGN: Prospective, noncomparative, interventional case-series study. • METHODS: The study included 20 eyes of 20 consecutive patients with medically uncontrolled JOAG who were treated by viscocanalostomy at one institution. No surgical or laser procedure preceded viscocanalostomy. Surgical outcome was defined as an overall success by the following criteria: no visual field deterioration, no optic-neuropathy progression, postoperative intraocular pressure IOP ≤20 mm Hg, and IOP reduction &lt;30% compared with baseline values with or without medication. When medications were not required, success was defined as complete. Cases that did not fulfill the aforementioned criteria and cases in which a surgical revision or further goniopuncture was performed were defined as a failure. • RESULTS: Gender distribution was similar. Fourteen eyes belonged to the white race; five eyes belonged to the black race, and one eye belonged to Arab ethnicity. Mean age (±SD) at operation was 33.77 ± 6.16 years, with the mean preoperative IOP (±SD) at 22.9 ± 4.77 mm Hg. Thirty-six months after operation, 16 cases (80%) were considered an overall success. In 11 cases (55%), success was complete. Four cases (20%) were considered failures. No serious complications were documented either during or after operation. In two cases (10%), we documented a spontaneously reabsorbed microhyphema. Trabeculo-Descemet-membrane microperforation occurred in two cases (10%). In two other cases (10%), Trabeculo-Descemet-membrane perforation occurred and was accompanied by iris prolapse that needed peripheral iridectomy. • CONCLUSION: Primary viscocanalostomy can efficiently and safely reduce intraocular pressure in cases of medically uncontrolled JOAG and provide a rational alternative to conventional surgical modalities. © 2005 by Elsevier Inc. All rights reserved.","author":[{"dropping-particle":"","family":"Stangos","given":"Alexandros N.","non-dropping-particle":"","parse-names":false,"suffix":""},{"dropping-particle":"","family":"Whatham","given":"Andrew R.","non-dropping-particle":"","parse-names":false,"suffix":""},{"dropping-particle":"","family":"Sunaric-Megevand","given":"Gordana","non-dropping-particle":"","parse-names":false,"suffix":""}],"container-title":"American Journal of Ophthalmology","id":"ITEM-1","issue":"3","issued":{"date-parts":[["2005","9"]]},"page":"490-496","title":"Primary viscocanalostomy for juvenile open-angle glaucoma","type":"article-journal","volume":"140"},"uris":["http://www.mendeley.com/documents/?uuid=9cf3d66c-4937-3479-bbe7-b8b871d46422"]}],"mendeley":{"formattedCitation":"&lt;sup&gt;8&lt;/sup&gt;","plainTextFormattedCitation":"8","previouslyFormattedCitation":"&lt;sup&gt;8&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8</w:t>
      </w:r>
      <w:r w:rsidRPr="00602007">
        <w:rPr>
          <w:rFonts w:ascii="Calibri" w:eastAsia="Calibri" w:hAnsi="Calibri" w:cs="Calibri"/>
        </w:rPr>
        <w:fldChar w:fldCharType="end"/>
      </w:r>
      <w:r w:rsidRPr="00602007">
        <w:rPr>
          <w:rFonts w:ascii="Calibri" w:eastAsia="Calibri" w:hAnsi="Calibri" w:cs="Calibri"/>
        </w:rPr>
        <w:t xml:space="preserve">) in patients with JOAG. Trabeculectomy was shown to be effective in controlling the </w:t>
      </w:r>
      <w:r w:rsidRPr="00602007">
        <w:rPr>
          <w:rFonts w:ascii="Calibri" w:eastAsia="Calibri" w:hAnsi="Calibri" w:cs="Calibri"/>
          <w:lang w:val="en-US"/>
        </w:rPr>
        <w:t>intraocular pressure (</w:t>
      </w:r>
      <w:r w:rsidRPr="00602007">
        <w:rPr>
          <w:rFonts w:ascii="Calibri" w:eastAsia="Calibri" w:hAnsi="Calibri" w:cs="Calibri"/>
        </w:rPr>
        <w:t>IOP</w:t>
      </w:r>
      <w:r w:rsidRPr="00602007">
        <w:rPr>
          <w:rFonts w:ascii="Calibri" w:eastAsia="Calibri" w:hAnsi="Calibri" w:cs="Calibri"/>
          <w:lang w:val="en-US"/>
        </w:rPr>
        <w:t>)</w:t>
      </w:r>
      <w:r w:rsidRPr="00602007">
        <w:rPr>
          <w:rFonts w:ascii="Calibri" w:eastAsia="Calibri" w:hAnsi="Calibri" w:cs="Calibri"/>
        </w:rPr>
        <w:t xml:space="preserve"> with a 73% cumulative probability of success at 3 years.</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{"citationItems":[{"id":"ITEM-1","itemData":{"DOI":"10.1159/000068250","ISSN":"00303755","abstract":"Purpose: We compare the intermediate-term outcome of initial trabeculectomy with adjunctive mitomycin C use versus initial trabeculectomy alone for juvenile primary open-angle glaucoma. Methods: This retrospective consecutive analysis included 44 eyes from 36 patients with juvenile primary-open angle glaucoma, all of whom underwent either initial trabeculectomy with adjunctive mitomycin C use (15 eyes) or initial trabeculectomy alone without mitomycin C use (29 eyes). We compared the success rate and complications between the two groups in a three-year follow-up period following surgery. Results: Three years subsequent to surgery, the cumulative success probability was 73% for the mitomycin C group and 68% for the control group, there being no real difference between the two groups (p =0.89). A greater incidence of hypotony maculopathy was found amongst the mitomycin C group than was the case for the control group (20 versus 0%, respectively, p =0.034). A lower intraocular pressure amongst the mitomycin C group was noted as compared with the control group (10.8 ± 3.0 versus 13.3 ± 3.8 mm Hg, respectively, p =0.017) amongst the successfully treated patients. Conclusions: Despite the lower intraocular pressure level for the successfully treated patients from the trabeculectomy with mitomycin C group, and a greater incidence of resultant hypotony maculopathy for this group as compared with the trabeculectomy alone group, there appeared to be no significant difference in the cumulative success probability for this group as compared with the trabeculectomy alone group. Therefore, we caution against the use of an initial trabeculectomy with mitomycin C for juvenile primary open-angle glaucoma. Copyright © 2003 S. Karger AG, Basel.","author":[{"dropping-particle":"","family":"Tsai","given":"Jen Chia","non-dropping-particle":"","parse-names":false,"suffix":""},{"dropping-particle":"","family":"Chang","given":"Hsueh Wen","non-dropping-particle":"","parse-names":false,"suffix":""},{"dropping-particle":"","family":"Kao","given":"Chien Neng","non-dropping-particle":"","parse-names":false,"suffix":""},{"dropping-particle":"","family":"Lai","given":"Ing Chou","non-dropping-particle":"","parse-names":false,"suffix":""},{"dropping-particle":"","family":"Teng","given":"Mei Ching","non-dropping-particle":"","parse-names":false,"suffix":""}],"container-title":"Ophthalmologica","id":"ITEM-1","issue":"1","issued":{"date-parts":[["2003"]]},"page":"24-30","title":"Trabeculectomy with mitomycin C versus trabeculectomy alone for juvenile primary open-angle glaucoma","type":"article-journal","volume":"217"},"uris":["http://www.mendeley.com/documents/?uuid=88859dc7-17a5-4b0d-b8b6-2c7b188f920b"]}],"mendeley":{"formattedCitation":"&lt;sup&gt;6&lt;/sup&gt;","plainTextFormattedCitation":"6","previouslyFormattedCitation":"&lt;sup&gt;6&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6</w:t>
      </w:r>
      <w:r w:rsidRPr="00602007">
        <w:rPr>
          <w:rFonts w:ascii="Calibri" w:eastAsia="Calibri" w:hAnsi="Calibri" w:cs="Calibri"/>
        </w:rPr>
        <w:fldChar w:fldCharType="end"/>
      </w:r>
      <w:r w:rsidRPr="00602007">
        <w:rPr>
          <w:rFonts w:ascii="Calibri" w:eastAsia="Calibri" w:hAnsi="Calibri" w:cs="Calibri"/>
        </w:rPr>
        <w:t xml:space="preserve"> However, this was associated</w:t>
      </w:r>
      <w:r w:rsidRPr="00602007">
        <w:rPr>
          <w:rFonts w:ascii="Calibri" w:eastAsia="Calibri" w:hAnsi="Calibri" w:cs="Calibri"/>
          <w:lang w:val="en-US"/>
        </w:rPr>
        <w:t xml:space="preserve"> with</w:t>
      </w:r>
      <w:r w:rsidRPr="00602007">
        <w:rPr>
          <w:rFonts w:ascii="Calibri" w:eastAsia="Calibri" w:hAnsi="Calibri" w:cs="Calibri"/>
        </w:rPr>
        <w:t xml:space="preserve"> </w:t>
      </w:r>
      <w:r w:rsidRPr="00602007">
        <w:rPr>
          <w:rFonts w:ascii="Calibri" w:eastAsia="Calibri" w:hAnsi="Calibri" w:cs="Calibri"/>
          <w:lang w:val="en-US"/>
        </w:rPr>
        <w:t xml:space="preserve">visually significant </w:t>
      </w:r>
      <w:r w:rsidRPr="00602007">
        <w:rPr>
          <w:rFonts w:ascii="Calibri" w:eastAsia="Calibri" w:hAnsi="Calibri" w:cs="Calibri"/>
        </w:rPr>
        <w:t>complications such as hypotony maculopathy and cataract formation. Deep sclerectomy (DS) is a non-penetrating glaucoma surgery that is considered as a</w:t>
      </w:r>
      <w:r w:rsidRPr="00602007">
        <w:rPr>
          <w:rFonts w:ascii="Calibri" w:eastAsia="Calibri" w:hAnsi="Calibri" w:cs="Calibri"/>
          <w:lang w:val="en-US"/>
        </w:rPr>
        <w:t>n alternative</w:t>
      </w:r>
      <w:r w:rsidRPr="00602007">
        <w:rPr>
          <w:rFonts w:ascii="Calibri" w:eastAsia="Calibri" w:hAnsi="Calibri" w:cs="Calibri"/>
        </w:rPr>
        <w:t xml:space="preserve"> option in patients with open</w:t>
      </w:r>
      <w:r w:rsidRPr="00602007">
        <w:rPr>
          <w:rFonts w:ascii="Calibri" w:eastAsia="Calibri" w:hAnsi="Calibri" w:cs="Calibri"/>
          <w:lang w:val="en-US"/>
        </w:rPr>
        <w:t>-</w:t>
      </w:r>
      <w:r w:rsidRPr="00602007">
        <w:rPr>
          <w:rFonts w:ascii="Calibri" w:eastAsia="Calibri" w:hAnsi="Calibri" w:cs="Calibri"/>
        </w:rPr>
        <w:t xml:space="preserve">angle glaucoma. Compared to trabeculectomy, evidence suggests that DS can produce similar success rates with </w:t>
      </w:r>
      <w:r>
        <w:rPr>
          <w:rFonts w:ascii="Calibri" w:eastAsia="Calibri" w:hAnsi="Calibri" w:cs="Calibri"/>
          <w:lang w:val="en-US"/>
        </w:rPr>
        <w:t>fewer</w:t>
      </w:r>
      <w:r w:rsidRPr="00602007">
        <w:rPr>
          <w:rFonts w:ascii="Calibri" w:eastAsia="Calibri" w:hAnsi="Calibri" w:cs="Calibri"/>
        </w:rPr>
        <w:t xml:space="preserve"> postoperative complications.</w:t>
      </w:r>
      <w:r w:rsidRPr="00602007">
        <w:rPr>
          <w:rFonts w:ascii="Calibri" w:eastAsia="Calibri" w:hAnsi="Calibri" w:cs="Calibri"/>
        </w:rPr>
        <w:fldChar w:fldCharType="begin" w:fldLock="1"/>
      </w:r>
      <w:r>
        <w:rPr>
          <w:rFonts w:ascii="Calibri" w:eastAsia="Calibri" w:hAnsi="Calibri" w:cs="Calibri"/>
        </w:rPr>
        <w:instrText>ADDIN CSL_CITATION {"citationItems":[{"id":"ITEM-1","itemData":{"DOI":"10.1159/000112623","ISSN":"00303755","abstract":"Aims: To compare the long-term effects of low-dosage mitomycin C (MMC) in both deep sclerectomy (DSMMC) and trabeculectomy (TPMMC) on intraocular pressure (IOP). Methods: Analysis of extended follow-up of data from a prospective clinical trial. Forty patients were originally randomised to undergo either DSMMC (19 eyes) or TPMMC (21 eyes). Follow-up was performed at postoperative day 1, weeks 1, 2 and 3, as well as months 1, 3, 6, 9, 12, 18, 24, 36 and 48. Two- to three-week data were not included in the statistical analysis. Postoperative complications, number of antiglaucoma medications and IOP were recorded at each visit. Complete (no medications) and qualified (with or without medications) successes were assessed at 2 target IOPs (≤21 and ≤17 mm Hg) and evaluated by Kaplan-Meier curves. Results: At 48 months, the mean IOP (± SD) was 17.6 ± 3.4 and 17.8 ± 3.6 mm Hg in the DSMMC and TPMMC eyes, respectively, a significant reduction from preoperative IOP in each group (p &lt; 0.0005). Complete success was achieved at the ≤21 mm Hg target IOP in 10 (52.6%) and 14 (66.6%) eyes and qualified success in 15 (78.9%) and 18 (85.7%) eyes in the DSMMC and TPMMC groups, respectively. There were no differences in the Kaplan-Meier curves. Hypotony and shallow anterior chamber were significantly more frequent in the TPMMC group. Conclusions: Either procedure controlled IOP efficaciously at our endpoint. Low-dosage MMC can be considered a mild enhancement of deep sclerectomy IOP-lowering effect. Copyright © 2008 S. Karger AG.","author":[{"dropping-particle":"","family":"Cillino","given":"Salvatore","non-dropping-particle":"","parse-names":false,"suffix":""},{"dropping-particle":"","family":"Pace","given":"Francesco","non-dropping-particle":"Di","parse-names":false,"suffix":""},{"dropping-particle":"","family":"Casuccio","given":"Alessandra","non-dropping-particle":"","parse-names":false,"suffix":""},{"dropping-particle":"","family":"Cillino","given":"Giovanni","non-dropping-particle":"","parse-names":false,"suffix":""},{"dropping-particle":"","family":"Lodato","given":"Gaetano","non-dropping-particle":"","parse-names":false,"suffix":""}],"container-title":"Ophthalmologica","id":"ITEM-1","issue":"2","issued":{"date-parts":[["2008","2"]]},"page":"81-87","title":"Deep sclerectomy versus trabeculectomy with low-dosage mitomycin C: Four-year follow-up","type":"article-journal","volume":"222"},"uris":["http://www.mendeley.com/documents/?uuid=a3c8bafb-c626-30b8-aac7-98f5ab553594"]}],"mendeley":{"formattedCitation":"&lt;sup&gt;9&lt;/sup&gt;","plainTextFormattedCitation":"9","previouslyFormattedCitation":"&lt;sup&gt;9&lt;/sup&gt;"},"properties":{"noteIndex":0},"schema":"https://github.com/citation-style-language/schema/raw/master/csl-citation.json"}</w:instrText>
      </w:r>
      <w:r w:rsidRPr="00602007">
        <w:rPr>
          <w:rFonts w:ascii="Calibri" w:eastAsia="Calibri" w:hAnsi="Calibri" w:cs="Calibri"/>
        </w:rPr>
        <w:fldChar w:fldCharType="separate"/>
      </w:r>
      <w:r w:rsidRPr="006C6CEE">
        <w:rPr>
          <w:rFonts w:ascii="Calibri" w:eastAsia="Calibri" w:hAnsi="Calibri" w:cs="Calibri"/>
          <w:noProof/>
          <w:vertAlign w:val="superscript"/>
        </w:rPr>
        <w:t>9</w:t>
      </w:r>
      <w:r w:rsidRPr="00602007">
        <w:rPr>
          <w:rFonts w:ascii="Calibri" w:eastAsia="Calibri" w:hAnsi="Calibri" w:cs="Calibri"/>
        </w:rPr>
        <w:fldChar w:fldCharType="end"/>
      </w:r>
      <w:r w:rsidRPr="00602007">
        <w:rPr>
          <w:rFonts w:ascii="Calibri" w:eastAsia="Calibri" w:hAnsi="Calibri" w:cs="Calibri"/>
        </w:rPr>
        <w:t xml:space="preserve"> To date, the literature lacks </w:t>
      </w:r>
      <w:r w:rsidRPr="00602007">
        <w:rPr>
          <w:rFonts w:ascii="Calibri" w:eastAsia="Calibri" w:hAnsi="Calibri" w:cs="Calibri"/>
          <w:lang w:val="en-US"/>
        </w:rPr>
        <w:t>studies</w:t>
      </w:r>
      <w:r w:rsidRPr="00602007">
        <w:rPr>
          <w:rFonts w:ascii="Calibri" w:eastAsia="Calibri" w:hAnsi="Calibri" w:cs="Calibri"/>
        </w:rPr>
        <w:t xml:space="preserve"> </w:t>
      </w:r>
      <w:r w:rsidRPr="00602007">
        <w:rPr>
          <w:rFonts w:ascii="Calibri" w:eastAsia="Calibri" w:hAnsi="Calibri" w:cs="Calibri"/>
          <w:lang w:val="en-US"/>
        </w:rPr>
        <w:t>investigating</w:t>
      </w:r>
      <w:r w:rsidRPr="00602007">
        <w:rPr>
          <w:rFonts w:ascii="Calibri" w:eastAsia="Calibri" w:hAnsi="Calibri" w:cs="Calibri"/>
        </w:rPr>
        <w:t xml:space="preserve"> the outcomes of DS in patients with JOAG.</w:t>
      </w:r>
      <w:r w:rsidRPr="00602007">
        <w:rPr>
          <w:rFonts w:ascii="Calibri" w:eastAsia="Calibri" w:hAnsi="Calibri" w:cs="Calibri"/>
          <w:lang w:val="en-US"/>
        </w:rPr>
        <w:t xml:space="preserve"> Therefore, our current study</w:t>
      </w:r>
      <w:r>
        <w:rPr>
          <w:rFonts w:ascii="Calibri" w:eastAsia="Calibri" w:hAnsi="Calibri" w:cs="Calibri"/>
          <w:lang w:val="en-US"/>
        </w:rPr>
        <w:t xml:space="preserve"> aims to</w:t>
      </w:r>
      <w:r w:rsidRPr="00602007">
        <w:rPr>
          <w:rFonts w:ascii="Calibri" w:eastAsia="Calibri" w:hAnsi="Calibri" w:cs="Calibri"/>
          <w:lang w:val="en-US"/>
        </w:rPr>
        <w:t xml:space="preserve"> report our experience with DS in a serial cohort of JOAG patients.</w:t>
      </w:r>
    </w:p>
    <w:p w:rsidR="007668B8" w:rsidRPr="00602007" w:rsidRDefault="007668B8" w:rsidP="007668B8">
      <w:pPr>
        <w:tabs>
          <w:tab w:val="left" w:pos="720"/>
        </w:tabs>
        <w:spacing w:before="32" w:line="480" w:lineRule="auto"/>
        <w:ind w:right="-20"/>
        <w:jc w:val="both"/>
        <w:rPr>
          <w:rFonts w:ascii="Calibri" w:hAnsi="Calibri" w:cs="Calibri"/>
          <w:sz w:val="28"/>
          <w:szCs w:val="28"/>
        </w:rPr>
      </w:pPr>
    </w:p>
    <w:p w:rsidR="007668B8" w:rsidRPr="00602007" w:rsidRDefault="007668B8" w:rsidP="007668B8">
      <w:pPr>
        <w:spacing w:line="480" w:lineRule="auto"/>
        <w:jc w:val="both"/>
        <w:rPr>
          <w:rFonts w:ascii="Calibri" w:hAnsi="Calibri" w:cs="Calibri"/>
          <w:lang w:val="en-US"/>
        </w:rPr>
      </w:pPr>
    </w:p>
    <w:p w:rsidR="007668B8" w:rsidRPr="00602007" w:rsidRDefault="007668B8" w:rsidP="007668B8">
      <w:pPr>
        <w:spacing w:line="480" w:lineRule="auto"/>
        <w:jc w:val="both"/>
        <w:rPr>
          <w:rFonts w:ascii="Calibri" w:hAnsi="Calibri" w:cs="Calibri"/>
          <w:b/>
          <w:bCs/>
          <w:sz w:val="28"/>
          <w:szCs w:val="28"/>
          <w:lang w:val="en-US"/>
        </w:rPr>
      </w:pPr>
      <w:r w:rsidRPr="00602007">
        <w:rPr>
          <w:rFonts w:ascii="Calibri" w:hAnsi="Calibri" w:cs="Calibri"/>
          <w:b/>
          <w:bCs/>
          <w:sz w:val="28"/>
          <w:szCs w:val="28"/>
          <w:lang w:val="en-US"/>
        </w:rPr>
        <w:lastRenderedPageBreak/>
        <w:t>Methods</w:t>
      </w:r>
    </w:p>
    <w:p w:rsidR="007668B8" w:rsidRPr="00602007" w:rsidRDefault="007668B8" w:rsidP="007668B8">
      <w:pPr>
        <w:spacing w:line="480" w:lineRule="auto"/>
        <w:jc w:val="both"/>
        <w:rPr>
          <w:rFonts w:ascii="Calibri" w:hAnsi="Calibri" w:cs="Calibri"/>
        </w:rPr>
      </w:pPr>
      <w:r w:rsidRPr="00602007">
        <w:rPr>
          <w:rFonts w:ascii="Calibri" w:hAnsi="Calibri" w:cs="Calibri"/>
          <w:lang w:val="en-US"/>
        </w:rPr>
        <w:t>This study was approved by the local Institutional Review Board. We performed a</w:t>
      </w:r>
      <w:r w:rsidRPr="00602007">
        <w:rPr>
          <w:rFonts w:ascii="Calibri" w:hAnsi="Calibri" w:cs="Calibri"/>
        </w:rPr>
        <w:t xml:space="preserve"> retrospective chart review of patients </w:t>
      </w:r>
      <w:r>
        <w:rPr>
          <w:rFonts w:ascii="Calibri" w:hAnsi="Calibri" w:cs="Calibri"/>
          <w:lang w:val="en-US"/>
        </w:rPr>
        <w:t>who</w:t>
      </w:r>
      <w:r w:rsidRPr="00602007">
        <w:rPr>
          <w:rFonts w:ascii="Calibri" w:hAnsi="Calibri" w:cs="Calibri"/>
        </w:rPr>
        <w:t xml:space="preserve"> underwent DS for JOAG at </w:t>
      </w:r>
      <w:r w:rsidRPr="00602007">
        <w:rPr>
          <w:rFonts w:ascii="Calibri" w:hAnsi="Calibri" w:cs="Calibri"/>
          <w:lang w:val="en-US"/>
        </w:rPr>
        <w:t>a single tertiary care eye center</w:t>
      </w:r>
      <w:r w:rsidRPr="00602007">
        <w:rPr>
          <w:rFonts w:ascii="Calibri" w:hAnsi="Calibri" w:cs="Calibri"/>
        </w:rPr>
        <w:t xml:space="preserve">. </w:t>
      </w:r>
      <w:r>
        <w:rPr>
          <w:rFonts w:ascii="Calibri" w:hAnsi="Calibri" w:cs="Calibri"/>
          <w:lang w:val="en-US"/>
        </w:rPr>
        <w:t xml:space="preserve">The indications for surgery were IOP uncontrolled on maximum medical therapy or intolerance to topical medications. </w:t>
      </w:r>
      <w:r w:rsidRPr="00602007">
        <w:rPr>
          <w:rFonts w:ascii="Calibri" w:hAnsi="Calibri" w:cs="Calibri"/>
          <w:lang w:val="en-US"/>
        </w:rPr>
        <w:t xml:space="preserve">The following criteria were set to identify </w:t>
      </w:r>
      <w:r w:rsidRPr="00602007">
        <w:rPr>
          <w:rFonts w:ascii="Calibri" w:hAnsi="Calibri" w:cs="Calibri"/>
        </w:rPr>
        <w:t xml:space="preserve">JOAG </w:t>
      </w:r>
      <w:r w:rsidRPr="00602007">
        <w:rPr>
          <w:rFonts w:ascii="Calibri" w:hAnsi="Calibri" w:cs="Calibri"/>
          <w:lang w:val="en-US"/>
        </w:rPr>
        <w:t>patients: case coded as open</w:t>
      </w:r>
      <w:r>
        <w:rPr>
          <w:rFonts w:ascii="Calibri" w:hAnsi="Calibri" w:cs="Calibri"/>
          <w:lang w:val="en-US"/>
        </w:rPr>
        <w:t>-</w:t>
      </w:r>
      <w:r w:rsidRPr="00602007">
        <w:rPr>
          <w:rFonts w:ascii="Calibri" w:hAnsi="Calibri" w:cs="Calibri"/>
          <w:lang w:val="en-US"/>
        </w:rPr>
        <w:t>angle glaucoma (ICD 10 code: H40.1), age of onset was between 4 and 40 years</w:t>
      </w:r>
      <w:r w:rsidRPr="00602007">
        <w:rPr>
          <w:rFonts w:ascii="Calibri" w:hAnsi="Calibri" w:cs="Calibri"/>
          <w:lang w:val="en-US"/>
        </w:rPr>
        <w:fldChar w:fldCharType="begin" w:fldLock="1"/>
      </w:r>
      <w:r>
        <w:rPr>
          <w:rFonts w:ascii="Calibri" w:hAnsi="Calibri" w:cs="Calibri"/>
          <w:lang w:val="en-US"/>
        </w:rPr>
        <w:instrText>ADDIN CSL_CITATION {"citationItems":[{"id":"ITEM-1","itemData":{"DOI":"10.1097/ICU.0000000000000516","ISBN":"0000000000000","ISSN":"15317021","abstract":"Purpose of reviewThe Childhood Glaucoma Research Network (CGRN) has created a new classification system for childhood glaucoma that has become the first International Consensus Classification. The purpose of this review is to present this classification system and share its use to date.Recent FindingsThe diagnoses of the classification system include glaucoma and glaucoma suspect. The primary glaucomas include: primary congenital glaucoma and juvenile open-angle glaucoma. The secondary glaucomas include: glaucoma following cataract surgery, glaucoma associated with nonacquired systemic disease or syndrome, glaucoma associated with nonacquired ocular anomalies, and glaucoma associated with acquired conditions. This system reached consensus agreement at the Ninth World Glaucoma Association Consensus, which has been adopted by the American Board of Ophthalmology, and has been implemented in outcomes research, incidence studies, and review articles. The new Robison D. Harley, MD CGRN International Pediatric Glaucoma Registry uses this classification system as a shared language, allowing international clinicians and researchers to collaborate and make large-scale investigations of this otherwise rare disease possible.SummaryThe diagnoses in this system are assigned by following a logical and systematically approachable path. The ability to easily adopt and implement the system lends itself to international research.","author":[{"dropping-particle":"","family":"Thau","given":"Avrey","non-dropping-particle":"","parse-names":false,"suffix":""},{"dropping-particle":"","family":"Lloyd","given":"Maureen","non-dropping-particle":"","parse-names":false,"suffix":""},{"dropping-particle":"","family":"Freedman","given":"Sharon","non-dropping-particle":"","parse-names":false,"suffix":""},{"dropping-particle":"","family":"Beck","given":"Allen","non-dropping-particle":"","parse-names":false,"suffix":""},{"dropping-particle":"","family":"Grajewski","given":"Alana","non-dropping-particle":"","parse-names":false,"suffix":""},{"dropping-particle":"V.","family":"Levin","given":"Alex","non-dropping-particle":"","parse-names":false,"suffix":""}],"container-title":"Current Opinion in Ophthalmology","id":"ITEM-1","issue":"5","issued":{"date-parts":[["2018"]]},"page":"385-394","title":"New classification system for pediatric glaucoma: Implications for clinical care and a research registry","type":"article-journal","volume":"29"},"uris":["http://www.mendeley.com/documents/?uuid=66f5d4b3-1b7b-4f89-8a5c-18efa3c004d8"]}],"mendeley":{"formattedCitation":"&lt;sup&gt;1&lt;/sup&gt;","plainTextFormattedCitation":"1","previouslyFormattedCitation":"&lt;sup&gt;1&lt;/sup&gt;"},"properties":{"noteIndex":0},"schema":"https://github.com/citation-style-language/schema/raw/master/csl-citation.json"}</w:instrText>
      </w:r>
      <w:r w:rsidRPr="00602007">
        <w:rPr>
          <w:rFonts w:ascii="Calibri" w:hAnsi="Calibri" w:cs="Calibri"/>
          <w:lang w:val="en-US"/>
        </w:rPr>
        <w:fldChar w:fldCharType="separate"/>
      </w:r>
      <w:r w:rsidRPr="006C6CEE">
        <w:rPr>
          <w:rFonts w:ascii="Calibri" w:hAnsi="Calibri" w:cs="Calibri"/>
          <w:noProof/>
          <w:vertAlign w:val="superscript"/>
          <w:lang w:val="en-US"/>
        </w:rPr>
        <w:t>1</w:t>
      </w:r>
      <w:r w:rsidRPr="00602007">
        <w:rPr>
          <w:rFonts w:ascii="Calibri" w:hAnsi="Calibri" w:cs="Calibri"/>
          <w:lang w:val="en-US"/>
        </w:rPr>
        <w:fldChar w:fldCharType="end"/>
      </w:r>
      <w:r w:rsidRPr="00602007">
        <w:rPr>
          <w:rFonts w:ascii="Calibri" w:hAnsi="Calibri" w:cs="Calibri"/>
          <w:lang w:val="en-US"/>
        </w:rPr>
        <w:t>, and no underlying cause of secondary glaucoma. Patients that did not</w:t>
      </w:r>
      <w:r w:rsidRPr="00602007">
        <w:rPr>
          <w:rFonts w:ascii="Calibri" w:hAnsi="Calibri" w:cs="Calibri"/>
        </w:rPr>
        <w:t xml:space="preserve"> complete a postoperative follow</w:t>
      </w:r>
      <w:r w:rsidRPr="00602007">
        <w:rPr>
          <w:rFonts w:ascii="Calibri" w:hAnsi="Calibri" w:cs="Calibri"/>
          <w:lang w:val="en-US"/>
        </w:rPr>
        <w:t>-</w:t>
      </w:r>
      <w:r w:rsidRPr="00602007">
        <w:rPr>
          <w:rFonts w:ascii="Calibri" w:hAnsi="Calibri" w:cs="Calibri"/>
        </w:rPr>
        <w:t xml:space="preserve">up of at least </w:t>
      </w:r>
      <w:r w:rsidRPr="00602007">
        <w:rPr>
          <w:rFonts w:ascii="Calibri" w:hAnsi="Calibri" w:cs="Calibri"/>
          <w:lang w:val="en-US"/>
        </w:rPr>
        <w:t>six</w:t>
      </w:r>
      <w:r w:rsidRPr="00602007">
        <w:rPr>
          <w:rFonts w:ascii="Calibri" w:hAnsi="Calibri" w:cs="Calibri"/>
        </w:rPr>
        <w:t xml:space="preserve"> months </w:t>
      </w:r>
      <w:r w:rsidRPr="00602007">
        <w:rPr>
          <w:rFonts w:ascii="Calibri" w:hAnsi="Calibri" w:cs="Calibri"/>
          <w:lang w:val="en-US"/>
        </w:rPr>
        <w:t>following DS were</w:t>
      </w:r>
      <w:r w:rsidRPr="00602007">
        <w:rPr>
          <w:rFonts w:ascii="Calibri" w:hAnsi="Calibri" w:cs="Calibri"/>
        </w:rPr>
        <w:t xml:space="preserve"> excluded.</w:t>
      </w:r>
    </w:p>
    <w:p w:rsidR="007668B8" w:rsidRPr="00602007" w:rsidRDefault="007668B8" w:rsidP="007668B8">
      <w:pPr>
        <w:spacing w:line="480" w:lineRule="auto"/>
        <w:ind w:firstLine="720"/>
        <w:jc w:val="both"/>
        <w:rPr>
          <w:rFonts w:ascii="Calibri" w:hAnsi="Calibri" w:cs="Calibri"/>
          <w:lang w:val="en-US"/>
        </w:rPr>
      </w:pPr>
      <w:r w:rsidRPr="00602007">
        <w:rPr>
          <w:rFonts w:ascii="Calibri" w:hAnsi="Calibri" w:cs="Calibri"/>
          <w:lang w:val="en-US"/>
        </w:rPr>
        <w:t>Preoperative information collected from the patient’s</w:t>
      </w:r>
      <w:r w:rsidRPr="00602007">
        <w:rPr>
          <w:rFonts w:ascii="Calibri" w:hAnsi="Calibri" w:cs="Calibri"/>
        </w:rPr>
        <w:t xml:space="preserve"> medical records include</w:t>
      </w:r>
      <w:r>
        <w:rPr>
          <w:rFonts w:ascii="Calibri" w:hAnsi="Calibri" w:cs="Calibri"/>
          <w:lang w:val="en-US"/>
        </w:rPr>
        <w:t xml:space="preserve"> </w:t>
      </w:r>
      <w:r w:rsidRPr="00602007">
        <w:rPr>
          <w:rFonts w:ascii="Calibri" w:hAnsi="Calibri" w:cs="Calibri"/>
        </w:rPr>
        <w:t xml:space="preserve">age, sex, number of anti-glaucoma medications, previous glaucoma surgeries, visual acuity, IOP, </w:t>
      </w:r>
      <w:r w:rsidRPr="00602007">
        <w:rPr>
          <w:rFonts w:ascii="Calibri" w:hAnsi="Calibri" w:cs="Calibri"/>
          <w:lang w:val="en-US"/>
        </w:rPr>
        <w:t>lens status</w:t>
      </w:r>
      <w:r w:rsidRPr="00602007">
        <w:rPr>
          <w:rFonts w:ascii="Calibri" w:hAnsi="Calibri" w:cs="Calibri"/>
        </w:rPr>
        <w:t xml:space="preserve">, </w:t>
      </w:r>
      <w:r w:rsidRPr="00602007">
        <w:rPr>
          <w:rFonts w:ascii="Calibri" w:hAnsi="Calibri" w:cs="Calibri"/>
          <w:lang w:val="en-US"/>
        </w:rPr>
        <w:t>cup-disc-ratio</w:t>
      </w:r>
      <w:r w:rsidRPr="00602007">
        <w:rPr>
          <w:rFonts w:ascii="Calibri" w:hAnsi="Calibri" w:cs="Calibri"/>
        </w:rPr>
        <w:t xml:space="preserve">, and visual field </w:t>
      </w:r>
      <w:r w:rsidRPr="00602007">
        <w:rPr>
          <w:rFonts w:ascii="Calibri" w:hAnsi="Calibri" w:cs="Calibri"/>
          <w:lang w:val="en-US"/>
        </w:rPr>
        <w:t xml:space="preserve">results (if available). </w:t>
      </w:r>
    </w:p>
    <w:p w:rsidR="007668B8" w:rsidRPr="00602007" w:rsidRDefault="007668B8" w:rsidP="007668B8">
      <w:pPr>
        <w:spacing w:line="480" w:lineRule="auto"/>
        <w:ind w:firstLine="720"/>
        <w:jc w:val="both"/>
        <w:rPr>
          <w:rFonts w:ascii="Calibri" w:hAnsi="Calibri" w:cs="Calibri"/>
          <w:lang w:val="en-US"/>
        </w:rPr>
      </w:pPr>
      <w:r w:rsidRPr="00602007">
        <w:rPr>
          <w:rFonts w:ascii="Calibri" w:hAnsi="Calibri" w:cs="Calibri"/>
          <w:color w:val="000000" w:themeColor="text1"/>
          <w:lang w:val="en-US"/>
        </w:rPr>
        <w:t>All surgical interventions were performed by either a glaucoma consultant or a fellow</w:t>
      </w:r>
      <w:r>
        <w:rPr>
          <w:rFonts w:ascii="Calibri" w:hAnsi="Calibri" w:cs="Calibri"/>
          <w:color w:val="000000" w:themeColor="text1"/>
          <w:lang w:val="en-US"/>
        </w:rPr>
        <w:t xml:space="preserve"> </w:t>
      </w:r>
      <w:r w:rsidRPr="007B5176">
        <w:rPr>
          <w:rFonts w:ascii="Calibri" w:hAnsi="Calibri" w:cs="Calibri"/>
          <w:color w:val="000000" w:themeColor="text1"/>
          <w:lang w:val="en-US"/>
        </w:rPr>
        <w:t xml:space="preserve">credentialed to perform </w:t>
      </w:r>
      <w:r>
        <w:rPr>
          <w:rFonts w:ascii="Calibri" w:hAnsi="Calibri" w:cs="Calibri"/>
          <w:color w:val="000000" w:themeColor="text1"/>
          <w:lang w:val="en-US"/>
        </w:rPr>
        <w:t>DS (surgical privilege is acquired after performing a minimum of 15 cases)</w:t>
      </w:r>
      <w:r w:rsidRPr="00602007">
        <w:rPr>
          <w:rFonts w:ascii="Calibri" w:hAnsi="Calibri" w:cs="Calibri"/>
          <w:color w:val="000000" w:themeColor="text1"/>
          <w:lang w:val="en-US"/>
        </w:rPr>
        <w:t xml:space="preserve">. </w:t>
      </w:r>
      <w:r>
        <w:rPr>
          <w:rFonts w:ascii="Calibri" w:hAnsi="Calibri" w:cs="Calibri"/>
          <w:color w:val="000000" w:themeColor="text1"/>
          <w:lang w:val="en-US"/>
        </w:rPr>
        <w:t xml:space="preserve">All procedures were performed following a standardized surgical technique. First, </w:t>
      </w:r>
      <w:r>
        <w:rPr>
          <w:rFonts w:ascii="Calibri" w:hAnsi="Calibri" w:cs="Calibri"/>
          <w:lang w:val="en-US"/>
        </w:rPr>
        <w:t>the surgery</w:t>
      </w:r>
      <w:r w:rsidRPr="00602007">
        <w:rPr>
          <w:rFonts w:ascii="Calibri" w:hAnsi="Calibri" w:cs="Calibri"/>
        </w:rPr>
        <w:t xml:space="preserve"> </w:t>
      </w:r>
      <w:r w:rsidRPr="00602007">
        <w:rPr>
          <w:rFonts w:ascii="Calibri" w:hAnsi="Calibri" w:cs="Calibri"/>
          <w:lang w:val="en-US"/>
        </w:rPr>
        <w:t xml:space="preserve">was started by a fornix-based conjunctival </w:t>
      </w:r>
      <w:proofErr w:type="spellStart"/>
      <w:r w:rsidRPr="00602007">
        <w:rPr>
          <w:rFonts w:ascii="Calibri" w:hAnsi="Calibri" w:cs="Calibri"/>
          <w:lang w:val="en-US"/>
        </w:rPr>
        <w:t>periotomy</w:t>
      </w:r>
      <w:proofErr w:type="spellEnd"/>
      <w:r w:rsidRPr="00602007">
        <w:rPr>
          <w:rFonts w:ascii="Calibri" w:hAnsi="Calibri" w:cs="Calibri"/>
          <w:lang w:val="en-US"/>
        </w:rPr>
        <w:t xml:space="preserve">. Mitomycin C (0.2 mg/ml) was then applied over bare sclera for 3 minutes. This was followed by </w:t>
      </w:r>
      <w:r>
        <w:rPr>
          <w:rFonts w:ascii="Calibri" w:hAnsi="Calibri" w:cs="Calibri"/>
          <w:lang w:val="en-US"/>
        </w:rPr>
        <w:t xml:space="preserve">the </w:t>
      </w:r>
      <w:r w:rsidRPr="00602007">
        <w:rPr>
          <w:rFonts w:ascii="Calibri" w:hAnsi="Calibri" w:cs="Calibri"/>
          <w:lang w:val="en-US"/>
        </w:rPr>
        <w:t xml:space="preserve">creation of a superficial scleral flap that was </w:t>
      </w:r>
      <w:r w:rsidRPr="00602007">
        <w:rPr>
          <w:rFonts w:ascii="Calibri" w:hAnsi="Calibri" w:cs="Calibri"/>
        </w:rPr>
        <w:t>5 × 5</w:t>
      </w:r>
      <w:r w:rsidRPr="00602007">
        <w:rPr>
          <w:rFonts w:ascii="Calibri" w:hAnsi="Calibri" w:cs="Calibri"/>
          <w:lang w:val="en-US"/>
        </w:rPr>
        <w:t xml:space="preserve"> </w:t>
      </w:r>
      <w:r w:rsidRPr="00602007">
        <w:rPr>
          <w:rFonts w:ascii="Calibri" w:hAnsi="Calibri" w:cs="Calibri"/>
        </w:rPr>
        <w:t>mm</w:t>
      </w:r>
      <w:r w:rsidRPr="00602007">
        <w:rPr>
          <w:rFonts w:ascii="Calibri" w:hAnsi="Calibri" w:cs="Calibri"/>
          <w:lang w:val="en-US"/>
        </w:rPr>
        <w:t xml:space="preserve"> in dimensions</w:t>
      </w:r>
      <w:r w:rsidRPr="00602007">
        <w:rPr>
          <w:rFonts w:ascii="Calibri" w:hAnsi="Calibri" w:cs="Calibri"/>
        </w:rPr>
        <w:t xml:space="preserve"> </w:t>
      </w:r>
      <w:r w:rsidRPr="00602007">
        <w:rPr>
          <w:rFonts w:ascii="Calibri" w:hAnsi="Calibri" w:cs="Calibri"/>
          <w:lang w:val="en-US"/>
        </w:rPr>
        <w:t>and</w:t>
      </w:r>
      <w:r w:rsidRPr="00602007">
        <w:rPr>
          <w:rFonts w:ascii="Calibri" w:hAnsi="Calibri" w:cs="Calibri"/>
        </w:rPr>
        <w:t xml:space="preserve"> </w:t>
      </w:r>
      <w:r w:rsidRPr="00602007">
        <w:rPr>
          <w:rFonts w:ascii="Calibri" w:hAnsi="Calibri" w:cs="Calibri"/>
          <w:lang w:val="en-US"/>
        </w:rPr>
        <w:t xml:space="preserve">approximately </w:t>
      </w:r>
      <w:r w:rsidRPr="00602007">
        <w:rPr>
          <w:rFonts w:ascii="Calibri" w:hAnsi="Calibri" w:cs="Calibri"/>
        </w:rPr>
        <w:t>one-third</w:t>
      </w:r>
      <w:r w:rsidRPr="00602007">
        <w:rPr>
          <w:rFonts w:ascii="Calibri" w:hAnsi="Calibri" w:cs="Calibri"/>
          <w:lang w:val="en-US"/>
        </w:rPr>
        <w:t xml:space="preserve"> of the scleral</w:t>
      </w:r>
      <w:r w:rsidRPr="00602007">
        <w:rPr>
          <w:rFonts w:ascii="Calibri" w:hAnsi="Calibri" w:cs="Calibri"/>
        </w:rPr>
        <w:t xml:space="preserve"> thickness</w:t>
      </w:r>
      <w:r w:rsidRPr="00602007">
        <w:rPr>
          <w:rFonts w:ascii="Calibri" w:hAnsi="Calibri" w:cs="Calibri"/>
          <w:lang w:val="en-US"/>
        </w:rPr>
        <w:t xml:space="preserve"> in depth</w:t>
      </w:r>
      <w:r w:rsidRPr="00602007">
        <w:rPr>
          <w:rFonts w:ascii="Calibri" w:hAnsi="Calibri" w:cs="Calibri"/>
        </w:rPr>
        <w:t>.</w:t>
      </w:r>
      <w:r w:rsidRPr="00602007">
        <w:rPr>
          <w:rFonts w:ascii="Calibri" w:hAnsi="Calibri" w:cs="Calibri"/>
          <w:lang w:val="en-US"/>
        </w:rPr>
        <w:t xml:space="preserve"> Then, a</w:t>
      </w:r>
      <w:r w:rsidRPr="00602007">
        <w:rPr>
          <w:rFonts w:ascii="Calibri" w:hAnsi="Calibri" w:cs="Calibri"/>
        </w:rPr>
        <w:t xml:space="preserve"> </w:t>
      </w:r>
      <w:r w:rsidRPr="00602007">
        <w:rPr>
          <w:rFonts w:ascii="Calibri" w:hAnsi="Calibri" w:cs="Calibri"/>
          <w:lang w:val="en-US"/>
        </w:rPr>
        <w:t>deep</w:t>
      </w:r>
      <w:r w:rsidRPr="00602007">
        <w:rPr>
          <w:rFonts w:ascii="Calibri" w:hAnsi="Calibri" w:cs="Calibri"/>
        </w:rPr>
        <w:t xml:space="preserve"> </w:t>
      </w:r>
      <w:r w:rsidRPr="00602007">
        <w:rPr>
          <w:rFonts w:ascii="Calibri" w:hAnsi="Calibri" w:cs="Calibri"/>
          <w:lang w:val="en-US"/>
        </w:rPr>
        <w:t xml:space="preserve">scleral flap was </w:t>
      </w:r>
      <w:r w:rsidRPr="00602007">
        <w:rPr>
          <w:rFonts w:ascii="Calibri" w:hAnsi="Calibri" w:cs="Calibri"/>
        </w:rPr>
        <w:t>dissected</w:t>
      </w:r>
      <w:r>
        <w:rPr>
          <w:rFonts w:ascii="Calibri" w:hAnsi="Calibri" w:cs="Calibri"/>
          <w:lang w:val="en-US"/>
        </w:rPr>
        <w:t>,</w:t>
      </w:r>
      <w:r w:rsidRPr="00602007">
        <w:rPr>
          <w:rFonts w:ascii="Calibri" w:hAnsi="Calibri" w:cs="Calibri"/>
        </w:rPr>
        <w:t xml:space="preserve"> leaving</w:t>
      </w:r>
      <w:r w:rsidRPr="00602007">
        <w:rPr>
          <w:rFonts w:ascii="Calibri" w:hAnsi="Calibri" w:cs="Calibri"/>
          <w:lang w:val="en-US"/>
        </w:rPr>
        <w:t xml:space="preserve"> a shallow scleral bed (around</w:t>
      </w:r>
      <w:r w:rsidRPr="00602007">
        <w:rPr>
          <w:rFonts w:ascii="Calibri" w:hAnsi="Calibri" w:cs="Calibri"/>
        </w:rPr>
        <w:t xml:space="preserve"> 50-100 μm thick</w:t>
      </w:r>
      <w:r w:rsidRPr="00602007">
        <w:rPr>
          <w:rFonts w:ascii="Calibri" w:hAnsi="Calibri" w:cs="Calibri"/>
          <w:lang w:val="en-US"/>
        </w:rPr>
        <w:t>).</w:t>
      </w:r>
      <w:r w:rsidRPr="00602007">
        <w:rPr>
          <w:rFonts w:ascii="Calibri" w:hAnsi="Calibri" w:cs="Calibri"/>
        </w:rPr>
        <w:t xml:space="preserve"> </w:t>
      </w:r>
      <w:r w:rsidRPr="00602007">
        <w:rPr>
          <w:rFonts w:ascii="Calibri" w:hAnsi="Calibri" w:cs="Calibri"/>
          <w:lang w:val="en-US"/>
        </w:rPr>
        <w:t xml:space="preserve">Dissection of the deep flap was advanced towards the limbus until the </w:t>
      </w:r>
      <w:r w:rsidRPr="00602007">
        <w:rPr>
          <w:rFonts w:ascii="Calibri" w:hAnsi="Calibri" w:cs="Calibri"/>
        </w:rPr>
        <w:t xml:space="preserve">roof of Schlemm's canal is </w:t>
      </w:r>
      <w:r w:rsidRPr="00602007">
        <w:rPr>
          <w:rFonts w:ascii="Calibri" w:hAnsi="Calibri" w:cs="Calibri"/>
          <w:lang w:val="en-US"/>
        </w:rPr>
        <w:t xml:space="preserve">reached and </w:t>
      </w:r>
      <w:r w:rsidRPr="00602007">
        <w:rPr>
          <w:rFonts w:ascii="Calibri" w:hAnsi="Calibri" w:cs="Calibri"/>
        </w:rPr>
        <w:t xml:space="preserve">removed. </w:t>
      </w:r>
      <w:r w:rsidRPr="00602007">
        <w:rPr>
          <w:rFonts w:ascii="Calibri" w:hAnsi="Calibri" w:cs="Calibri"/>
          <w:lang w:val="en-US"/>
        </w:rPr>
        <w:t xml:space="preserve">Percolation of aqueous humor through the remaining </w:t>
      </w:r>
      <w:proofErr w:type="spellStart"/>
      <w:r w:rsidRPr="00602007">
        <w:rPr>
          <w:rFonts w:ascii="Calibri" w:hAnsi="Calibri" w:cs="Calibri"/>
          <w:lang w:val="en-US"/>
        </w:rPr>
        <w:t>trabeculo</w:t>
      </w:r>
      <w:proofErr w:type="spellEnd"/>
      <w:r w:rsidRPr="00602007">
        <w:rPr>
          <w:rFonts w:ascii="Calibri" w:hAnsi="Calibri" w:cs="Calibri"/>
          <w:lang w:val="en-US"/>
        </w:rPr>
        <w:t>-Descemet’s membrane was used as a confirmatory intraoperative sign of successful filtration. After that, the deep scleral flap was excised</w:t>
      </w:r>
      <w:r>
        <w:rPr>
          <w:rFonts w:ascii="Calibri" w:hAnsi="Calibri" w:cs="Calibri"/>
          <w:lang w:val="en-US"/>
        </w:rPr>
        <w:t>,</w:t>
      </w:r>
      <w:r w:rsidRPr="00602007">
        <w:rPr>
          <w:rFonts w:ascii="Calibri" w:hAnsi="Calibri" w:cs="Calibri"/>
          <w:lang w:val="en-US"/>
        </w:rPr>
        <w:t xml:space="preserve"> and the</w:t>
      </w:r>
      <w:r w:rsidRPr="00602007">
        <w:rPr>
          <w:rFonts w:ascii="Calibri" w:hAnsi="Calibri" w:cs="Calibri"/>
        </w:rPr>
        <w:t xml:space="preserve"> superficial scleral flap </w:t>
      </w:r>
      <w:r w:rsidRPr="00602007">
        <w:rPr>
          <w:rFonts w:ascii="Calibri" w:hAnsi="Calibri" w:cs="Calibri"/>
          <w:lang w:val="en-US"/>
        </w:rPr>
        <w:t>was</w:t>
      </w:r>
      <w:r w:rsidRPr="00602007">
        <w:rPr>
          <w:rFonts w:ascii="Calibri" w:hAnsi="Calibri" w:cs="Calibri"/>
        </w:rPr>
        <w:t xml:space="preserve"> closed with </w:t>
      </w:r>
      <w:r w:rsidRPr="00602007">
        <w:rPr>
          <w:rFonts w:ascii="Calibri" w:hAnsi="Calibri" w:cs="Calibri"/>
          <w:lang w:val="en-US"/>
        </w:rPr>
        <w:t xml:space="preserve">a </w:t>
      </w:r>
      <w:r w:rsidRPr="00602007">
        <w:rPr>
          <w:rFonts w:ascii="Calibri" w:hAnsi="Calibri" w:cs="Calibri"/>
        </w:rPr>
        <w:lastRenderedPageBreak/>
        <w:t xml:space="preserve">nylon suture. </w:t>
      </w:r>
      <w:r>
        <w:rPr>
          <w:rFonts w:ascii="Calibri" w:hAnsi="Calibri" w:cs="Calibri"/>
          <w:lang w:val="en-US"/>
        </w:rPr>
        <w:t xml:space="preserve">There was no use of a space maintainer in the bed of the deep scleral flap. </w:t>
      </w:r>
      <w:r w:rsidRPr="00602007">
        <w:rPr>
          <w:rFonts w:ascii="Calibri" w:hAnsi="Calibri" w:cs="Calibri"/>
        </w:rPr>
        <w:t xml:space="preserve">Finally, the conjunctiva </w:t>
      </w:r>
      <w:r w:rsidRPr="00602007">
        <w:rPr>
          <w:rFonts w:ascii="Calibri" w:hAnsi="Calibri" w:cs="Calibri"/>
          <w:lang w:val="en-US"/>
        </w:rPr>
        <w:t xml:space="preserve">was </w:t>
      </w:r>
      <w:r w:rsidRPr="00602007">
        <w:rPr>
          <w:rFonts w:ascii="Calibri" w:hAnsi="Calibri" w:cs="Calibri"/>
        </w:rPr>
        <w:t xml:space="preserve">closed with </w:t>
      </w:r>
      <w:r w:rsidRPr="00602007">
        <w:rPr>
          <w:rFonts w:ascii="Calibri" w:hAnsi="Calibri" w:cs="Calibri"/>
          <w:lang w:val="en-US"/>
        </w:rPr>
        <w:t xml:space="preserve">a </w:t>
      </w:r>
      <w:r w:rsidRPr="00602007">
        <w:rPr>
          <w:rFonts w:ascii="Calibri" w:hAnsi="Calibri" w:cs="Calibri"/>
        </w:rPr>
        <w:t>vicryl suture</w:t>
      </w:r>
      <w:r w:rsidRPr="00602007">
        <w:rPr>
          <w:rFonts w:ascii="Calibri" w:hAnsi="Calibri" w:cs="Calibri"/>
          <w:lang w:val="en-US"/>
        </w:rPr>
        <w:t>.</w:t>
      </w:r>
    </w:p>
    <w:p w:rsidR="007668B8" w:rsidRPr="00602007" w:rsidRDefault="007668B8" w:rsidP="007668B8">
      <w:pPr>
        <w:spacing w:line="480" w:lineRule="auto"/>
        <w:jc w:val="both"/>
        <w:rPr>
          <w:rFonts w:ascii="Calibri" w:hAnsi="Calibri" w:cs="Calibri"/>
        </w:rPr>
      </w:pPr>
      <w:r w:rsidRPr="00602007">
        <w:rPr>
          <w:rFonts w:ascii="Calibri" w:hAnsi="Calibri" w:cs="Calibri"/>
        </w:rPr>
        <w:tab/>
      </w:r>
      <w:r w:rsidRPr="00602007">
        <w:rPr>
          <w:rFonts w:ascii="Calibri" w:hAnsi="Calibri" w:cs="Calibri"/>
          <w:lang w:val="en-US"/>
        </w:rPr>
        <w:t>Postoperatively, all patients received topical steroids (prednisolone acetate 1%) on a tapering regimen over 8 weeks, topical antibiotics for two weeks, and topical pilocarpine 1%</w:t>
      </w:r>
      <w:r>
        <w:rPr>
          <w:rFonts w:ascii="Calibri" w:hAnsi="Calibri" w:cs="Calibri"/>
          <w:lang w:val="en-US"/>
        </w:rPr>
        <w:t xml:space="preserve"> (to prevent formation of peripheral anterior synechiae and/or iris root incarceration)</w:t>
      </w:r>
      <w:r w:rsidRPr="00602007">
        <w:rPr>
          <w:rFonts w:ascii="Calibri" w:hAnsi="Calibri" w:cs="Calibri"/>
          <w:lang w:val="en-US"/>
        </w:rPr>
        <w:t xml:space="preserve"> for one month. </w:t>
      </w:r>
      <w:r w:rsidRPr="00602007">
        <w:rPr>
          <w:rFonts w:ascii="Calibri" w:hAnsi="Calibri" w:cs="Calibri"/>
        </w:rPr>
        <w:t xml:space="preserve">Postoperative </w:t>
      </w:r>
      <w:r w:rsidRPr="00602007">
        <w:rPr>
          <w:rFonts w:ascii="Calibri" w:hAnsi="Calibri" w:cs="Calibri"/>
          <w:lang w:val="en-US"/>
        </w:rPr>
        <w:t>follow-up visits were scheduled</w:t>
      </w:r>
      <w:r w:rsidRPr="00602007">
        <w:rPr>
          <w:rFonts w:ascii="Calibri" w:hAnsi="Calibri" w:cs="Calibri"/>
        </w:rPr>
        <w:t xml:space="preserve"> according to the following intervals: 1 day, 1 week, 1 month, 3 months, 6 months, 12 months, and then </w:t>
      </w:r>
      <w:r w:rsidRPr="00602007">
        <w:rPr>
          <w:rFonts w:ascii="Calibri" w:hAnsi="Calibri" w:cs="Calibri"/>
          <w:lang w:val="en-US"/>
        </w:rPr>
        <w:t xml:space="preserve">once </w:t>
      </w:r>
      <w:r w:rsidRPr="00602007">
        <w:rPr>
          <w:rFonts w:ascii="Calibri" w:hAnsi="Calibri" w:cs="Calibri"/>
        </w:rPr>
        <w:t xml:space="preserve">every </w:t>
      </w:r>
      <w:r w:rsidRPr="00602007">
        <w:rPr>
          <w:rFonts w:ascii="Calibri" w:hAnsi="Calibri" w:cs="Calibri"/>
          <w:lang w:val="en-US"/>
        </w:rPr>
        <w:t>3-</w:t>
      </w:r>
      <w:r w:rsidRPr="00602007">
        <w:rPr>
          <w:rFonts w:ascii="Calibri" w:hAnsi="Calibri" w:cs="Calibri"/>
        </w:rPr>
        <w:t>6 months</w:t>
      </w:r>
      <w:r w:rsidRPr="00602007">
        <w:rPr>
          <w:rFonts w:ascii="Calibri" w:hAnsi="Calibri" w:cs="Calibri"/>
          <w:lang w:val="en-US"/>
        </w:rPr>
        <w:t>. Postoperative information collected in each visit include</w:t>
      </w:r>
      <w:r>
        <w:rPr>
          <w:rFonts w:ascii="Calibri" w:hAnsi="Calibri" w:cs="Calibri"/>
          <w:lang w:val="en-US"/>
        </w:rPr>
        <w:t xml:space="preserve"> </w:t>
      </w:r>
      <w:r w:rsidRPr="00602007">
        <w:rPr>
          <w:rFonts w:ascii="Calibri" w:hAnsi="Calibri" w:cs="Calibri"/>
          <w:lang w:val="en-US"/>
        </w:rPr>
        <w:t xml:space="preserve">number of anti-glaucoma medications, </w:t>
      </w:r>
      <w:r w:rsidRPr="00602007">
        <w:rPr>
          <w:rFonts w:ascii="Calibri" w:hAnsi="Calibri" w:cs="Calibri"/>
        </w:rPr>
        <w:t xml:space="preserve">visual acuity, IOP, surgical complications, and the need for further surgical intervention. </w:t>
      </w:r>
    </w:p>
    <w:p w:rsidR="007668B8" w:rsidRPr="00602007" w:rsidRDefault="007668B8" w:rsidP="007668B8">
      <w:pPr>
        <w:spacing w:line="480" w:lineRule="auto"/>
        <w:ind w:firstLine="720"/>
        <w:jc w:val="both"/>
        <w:rPr>
          <w:rFonts w:ascii="Calibri" w:hAnsi="Calibri" w:cs="Calibri"/>
        </w:rPr>
      </w:pPr>
      <w:r w:rsidRPr="00602007">
        <w:rPr>
          <w:rFonts w:ascii="Calibri" w:hAnsi="Calibri" w:cs="Calibri"/>
          <w:lang w:val="en-US"/>
        </w:rPr>
        <w:t>S</w:t>
      </w:r>
      <w:r w:rsidRPr="00602007">
        <w:rPr>
          <w:rFonts w:ascii="Calibri" w:hAnsi="Calibri" w:cs="Calibri"/>
        </w:rPr>
        <w:t xml:space="preserve">uccess </w:t>
      </w:r>
      <w:r w:rsidRPr="00602007">
        <w:rPr>
          <w:rFonts w:ascii="Calibri" w:hAnsi="Calibri" w:cs="Calibri"/>
          <w:lang w:val="en-US"/>
        </w:rPr>
        <w:t>was</w:t>
      </w:r>
      <w:r w:rsidRPr="00602007">
        <w:rPr>
          <w:rFonts w:ascii="Calibri" w:hAnsi="Calibri" w:cs="Calibri"/>
        </w:rPr>
        <w:t xml:space="preserve"> defined as IOP within a range of </w:t>
      </w:r>
      <w:r>
        <w:rPr>
          <w:rFonts w:ascii="Calibri" w:hAnsi="Calibri" w:cs="Calibri"/>
          <w:lang w:val="en-US"/>
        </w:rPr>
        <w:t xml:space="preserve">5-21 mmHg. </w:t>
      </w:r>
      <w:r w:rsidRPr="00602007">
        <w:rPr>
          <w:rFonts w:ascii="Calibri" w:hAnsi="Calibri" w:cs="Calibri"/>
        </w:rPr>
        <w:t xml:space="preserve">Failure </w:t>
      </w:r>
      <w:r w:rsidRPr="00602007">
        <w:rPr>
          <w:rFonts w:ascii="Calibri" w:hAnsi="Calibri" w:cs="Calibri"/>
          <w:lang w:val="en-US"/>
        </w:rPr>
        <w:t>was</w:t>
      </w:r>
      <w:r w:rsidRPr="00602007">
        <w:rPr>
          <w:rFonts w:ascii="Calibri" w:hAnsi="Calibri" w:cs="Calibri"/>
        </w:rPr>
        <w:t xml:space="preserve"> defined as IOP measured out of the target range (5-</w:t>
      </w:r>
      <w:r>
        <w:rPr>
          <w:rFonts w:ascii="Calibri" w:hAnsi="Calibri" w:cs="Calibri"/>
          <w:lang w:val="en-US"/>
        </w:rPr>
        <w:t>21</w:t>
      </w:r>
      <w:r w:rsidRPr="00602007">
        <w:rPr>
          <w:rFonts w:ascii="Calibri" w:hAnsi="Calibri" w:cs="Calibri"/>
        </w:rPr>
        <w:t xml:space="preserve"> mmHg) at any two consecutive visits after the first 3 months, an additional </w:t>
      </w:r>
      <w:r>
        <w:rPr>
          <w:rFonts w:ascii="Calibri" w:hAnsi="Calibri" w:cs="Calibri"/>
        </w:rPr>
        <w:t xml:space="preserve">major </w:t>
      </w:r>
      <w:r w:rsidRPr="00602007">
        <w:rPr>
          <w:rFonts w:ascii="Calibri" w:hAnsi="Calibri" w:cs="Calibri"/>
        </w:rPr>
        <w:t>glaucoma procedure is required, or if the patient progressed to no light perception.</w:t>
      </w:r>
    </w:p>
    <w:p w:rsidR="00E21D4D" w:rsidRDefault="00E21D4D"/>
    <w:sectPr w:rsidR="00E21D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B8"/>
    <w:rsid w:val="001942A7"/>
    <w:rsid w:val="00361ECC"/>
    <w:rsid w:val="005C5594"/>
    <w:rsid w:val="007668B8"/>
    <w:rsid w:val="007B5440"/>
    <w:rsid w:val="00924AFF"/>
    <w:rsid w:val="00992D49"/>
    <w:rsid w:val="00C712CA"/>
    <w:rsid w:val="00D7538D"/>
    <w:rsid w:val="00E21D4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68F18382"/>
  <w15:chartTrackingRefBased/>
  <w15:docId w15:val="{B7062478-9C00-E344-8476-9031DB04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8B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668B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668B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668B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68B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668B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668B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668B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668B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668B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B8"/>
    <w:rPr>
      <w:rFonts w:eastAsiaTheme="majorEastAsia" w:cstheme="majorBidi"/>
      <w:color w:val="272727" w:themeColor="text1" w:themeTint="D8"/>
    </w:rPr>
  </w:style>
  <w:style w:type="paragraph" w:styleId="Title">
    <w:name w:val="Title"/>
    <w:basedOn w:val="Normal"/>
    <w:next w:val="Normal"/>
    <w:link w:val="TitleChar"/>
    <w:uiPriority w:val="10"/>
    <w:qFormat/>
    <w:rsid w:val="007668B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B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B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668B8"/>
    <w:rPr>
      <w:i/>
      <w:iCs/>
      <w:color w:val="404040" w:themeColor="text1" w:themeTint="BF"/>
    </w:rPr>
  </w:style>
  <w:style w:type="paragraph" w:styleId="ListParagraph">
    <w:name w:val="List Paragraph"/>
    <w:basedOn w:val="Normal"/>
    <w:uiPriority w:val="34"/>
    <w:qFormat/>
    <w:rsid w:val="007668B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668B8"/>
    <w:rPr>
      <w:i/>
      <w:iCs/>
      <w:color w:val="0F4761" w:themeColor="accent1" w:themeShade="BF"/>
    </w:rPr>
  </w:style>
  <w:style w:type="paragraph" w:styleId="IntenseQuote">
    <w:name w:val="Intense Quote"/>
    <w:basedOn w:val="Normal"/>
    <w:next w:val="Normal"/>
    <w:link w:val="IntenseQuoteChar"/>
    <w:uiPriority w:val="30"/>
    <w:qFormat/>
    <w:rsid w:val="007668B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668B8"/>
    <w:rPr>
      <w:i/>
      <w:iCs/>
      <w:color w:val="0F4761" w:themeColor="accent1" w:themeShade="BF"/>
    </w:rPr>
  </w:style>
  <w:style w:type="character" w:styleId="IntenseReference">
    <w:name w:val="Intense Reference"/>
    <w:basedOn w:val="DefaultParagraphFont"/>
    <w:uiPriority w:val="32"/>
    <w:qFormat/>
    <w:rsid w:val="0076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5406</Words>
  <Characters>30815</Characters>
  <Application>Microsoft Office Word</Application>
  <DocSecurity>0</DocSecurity>
  <Lines>256</Lines>
  <Paragraphs>72</Paragraphs>
  <ScaleCrop>false</ScaleCrop>
  <Company/>
  <LinksUpToDate>false</LinksUpToDate>
  <CharactersWithSpaces>36149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Al Owaifeer</dc:creator>
  <cp:keywords/>
  <dc:description/>
  <cp:lastModifiedBy>Adi Al Owaifeer</cp:lastModifiedBy>
  <cp:revision>1</cp:revision>
  <dcterms:created xsi:type="dcterms:W3CDTF">2026-09-19T14:35:00Z</dcterms:created>
  <dcterms:modified xsi:type="dcterms:W3CDTF">2026-09-19T14:35:00Z</dcterms:modified>
</cp:coreProperties>
</file>