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470DD" w:rsidRPr="000C0BC6" w:rsidRDefault="000C0BC6" w:rsidP="000C0BC6">
      <w:pPr>
        <w:pBdr>
          <w:bottom w:val="single" w:sz="6" w:space="2" w:color="1F3864"/>
        </w:pBdr>
        <w:spacing w:after="60"/>
        <w:jc w:val="center"/>
        <w:rPr>
          <w:sz w:val="21"/>
          <w:szCs w:val="21"/>
        </w:rPr>
      </w:pPr>
      <w:r w:rsidRPr="000C0BC6">
        <w:rPr>
          <w:b/>
          <w:bCs/>
          <w:color w:val="1F3864"/>
          <w:sz w:val="36"/>
          <w:szCs w:val="36"/>
        </w:rPr>
        <w:t>Ophthalmology Data Cleaning Rules Template</w:t>
      </w:r>
    </w:p>
    <w:tbl>
      <w:tblPr>
        <w:tblW w:w="156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13536"/>
      </w:tblGrid>
      <w:tr w:rsidR="003470DD" w:rsidTr="000C0BC6">
        <w:trPr>
          <w:trHeight w:val="737"/>
          <w:tblHeader/>
        </w:trPr>
        <w:tc>
          <w:tcPr>
            <w:tcW w:w="2150" w:type="dxa"/>
            <w:tcBorders>
              <w:top w:val="single" w:sz="4" w:space="0" w:color="BFBFBF"/>
              <w:left w:val="single" w:sz="4" w:space="0" w:color="BFBFBF"/>
              <w:bottom w:val="single" w:sz="4" w:space="0" w:color="BFBFBF"/>
              <w:right w:val="single" w:sz="4" w:space="0" w:color="BFBFBF"/>
            </w:tcBorders>
            <w:shd w:val="clear" w:color="auto" w:fill="1F3864"/>
            <w:tcMar>
              <w:top w:w="30" w:type="dxa"/>
              <w:left w:w="70" w:type="dxa"/>
              <w:bottom w:w="22" w:type="dxa"/>
              <w:right w:w="70" w:type="dxa"/>
            </w:tcMar>
            <w:vAlign w:val="center"/>
          </w:tcPr>
          <w:p w:rsidR="003470DD" w:rsidRPr="000C0BC6" w:rsidRDefault="00000000" w:rsidP="000C0BC6">
            <w:pPr>
              <w:jc w:val="center"/>
              <w:rPr>
                <w:sz w:val="22"/>
                <w:szCs w:val="22"/>
              </w:rPr>
            </w:pPr>
            <w:r w:rsidRPr="000C0BC6">
              <w:rPr>
                <w:b/>
                <w:bCs/>
                <w:color w:val="FFFFFF"/>
                <w:sz w:val="22"/>
                <w:szCs w:val="22"/>
              </w:rPr>
              <w:t>Area</w:t>
            </w:r>
          </w:p>
        </w:tc>
        <w:tc>
          <w:tcPr>
            <w:tcW w:w="13536" w:type="dxa"/>
            <w:tcBorders>
              <w:top w:val="single" w:sz="4" w:space="0" w:color="BFBFBF"/>
              <w:left w:val="single" w:sz="4" w:space="0" w:color="BFBFBF"/>
              <w:bottom w:val="single" w:sz="4" w:space="0" w:color="BFBFBF"/>
              <w:right w:val="single" w:sz="4" w:space="0" w:color="BFBFBF"/>
            </w:tcBorders>
            <w:shd w:val="clear" w:color="auto" w:fill="1F3864"/>
            <w:tcMar>
              <w:top w:w="30" w:type="dxa"/>
              <w:left w:w="70" w:type="dxa"/>
              <w:bottom w:w="22" w:type="dxa"/>
              <w:right w:w="70" w:type="dxa"/>
            </w:tcMar>
            <w:vAlign w:val="center"/>
          </w:tcPr>
          <w:p w:rsidR="003470DD" w:rsidRPr="000C0BC6" w:rsidRDefault="00000000" w:rsidP="000C0BC6">
            <w:pPr>
              <w:jc w:val="center"/>
              <w:rPr>
                <w:sz w:val="22"/>
                <w:szCs w:val="22"/>
              </w:rPr>
            </w:pPr>
            <w:r w:rsidRPr="000C0BC6">
              <w:rPr>
                <w:b/>
                <w:bCs/>
                <w:color w:val="FFFFFF"/>
                <w:sz w:val="22"/>
                <w:szCs w:val="22"/>
              </w:rPr>
              <w:t>Rule</w:t>
            </w:r>
          </w:p>
        </w:tc>
      </w:tr>
      <w:tr w:rsidR="003470DD" w:rsidTr="000C0BC6">
        <w:trPr>
          <w:cantSplit/>
          <w:trHeight w:val="737"/>
        </w:trPr>
        <w:tc>
          <w:tcPr>
            <w:tcW w:w="2150" w:type="dxa"/>
            <w:tcBorders>
              <w:top w:val="single" w:sz="4" w:space="0" w:color="BFBFBF"/>
              <w:left w:val="single" w:sz="4" w:space="0" w:color="BFBFBF"/>
              <w:bottom w:val="single" w:sz="4" w:space="0" w:color="BFBFBF"/>
              <w:right w:val="single" w:sz="4" w:space="0" w:color="BFBFBF"/>
            </w:tcBorders>
            <w:shd w:val="clear" w:color="auto" w:fill="EEF2F9"/>
            <w:tcMar>
              <w:top w:w="30" w:type="dxa"/>
              <w:left w:w="70" w:type="dxa"/>
              <w:bottom w:w="22" w:type="dxa"/>
              <w:right w:w="70" w:type="dxa"/>
            </w:tcMar>
            <w:vAlign w:val="center"/>
          </w:tcPr>
          <w:p w:rsidR="003470DD" w:rsidRPr="000C0BC6" w:rsidRDefault="00000000" w:rsidP="000C0BC6">
            <w:pPr>
              <w:jc w:val="center"/>
              <w:rPr>
                <w:sz w:val="22"/>
                <w:szCs w:val="22"/>
              </w:rPr>
            </w:pPr>
            <w:r w:rsidRPr="000C0BC6">
              <w:rPr>
                <w:b/>
                <w:bCs/>
                <w:sz w:val="22"/>
                <w:szCs w:val="22"/>
              </w:rPr>
              <w:t>Raw data and log</w:t>
            </w:r>
          </w:p>
        </w:tc>
        <w:tc>
          <w:tcPr>
            <w:tcW w:w="13536" w:type="dxa"/>
            <w:tcBorders>
              <w:top w:val="single" w:sz="4" w:space="0" w:color="BFBFBF"/>
              <w:left w:val="single" w:sz="4" w:space="0" w:color="BFBFBF"/>
              <w:bottom w:val="single" w:sz="4" w:space="0" w:color="BFBFBF"/>
              <w:right w:val="single" w:sz="4" w:space="0" w:color="BFBFBF"/>
            </w:tcBorders>
            <w:tcMar>
              <w:top w:w="30" w:type="dxa"/>
              <w:left w:w="70" w:type="dxa"/>
              <w:bottom w:w="22" w:type="dxa"/>
              <w:right w:w="70" w:type="dxa"/>
            </w:tcMar>
            <w:vAlign w:val="center"/>
          </w:tcPr>
          <w:p w:rsidR="003470DD" w:rsidRPr="000C0BC6" w:rsidRDefault="00000000" w:rsidP="00422420">
            <w:pPr>
              <w:rPr>
                <w:sz w:val="22"/>
                <w:szCs w:val="22"/>
              </w:rPr>
            </w:pPr>
            <w:r w:rsidRPr="000C0BC6">
              <w:rPr>
                <w:sz w:val="22"/>
                <w:szCs w:val="22"/>
              </w:rPr>
              <w:t xml:space="preserve">Never edit raw data. Write cleaned values to new columns (_raw, _clean, _flag, _code) and log every change: rule ID, record key, old and new value, </w:t>
            </w:r>
            <w:r w:rsidR="000C0BC6" w:rsidRPr="000C0BC6">
              <w:rPr>
                <w:sz w:val="22"/>
                <w:szCs w:val="22"/>
              </w:rPr>
              <w:t xml:space="preserve">and </w:t>
            </w:r>
            <w:r w:rsidRPr="000C0BC6">
              <w:rPr>
                <w:sz w:val="22"/>
                <w:szCs w:val="22"/>
              </w:rPr>
              <w:t>date.</w:t>
            </w:r>
          </w:p>
        </w:tc>
      </w:tr>
      <w:tr w:rsidR="003470DD" w:rsidTr="000C0BC6">
        <w:trPr>
          <w:cantSplit/>
          <w:trHeight w:val="737"/>
        </w:trPr>
        <w:tc>
          <w:tcPr>
            <w:tcW w:w="2150" w:type="dxa"/>
            <w:tcBorders>
              <w:top w:val="single" w:sz="4" w:space="0" w:color="BFBFBF"/>
              <w:left w:val="single" w:sz="4" w:space="0" w:color="BFBFBF"/>
              <w:bottom w:val="single" w:sz="4" w:space="0" w:color="BFBFBF"/>
              <w:right w:val="single" w:sz="4" w:space="0" w:color="BFBFBF"/>
            </w:tcBorders>
            <w:shd w:val="clear" w:color="auto" w:fill="EEF2F9"/>
            <w:tcMar>
              <w:top w:w="30" w:type="dxa"/>
              <w:left w:w="70" w:type="dxa"/>
              <w:bottom w:w="22" w:type="dxa"/>
              <w:right w:w="70" w:type="dxa"/>
            </w:tcMar>
            <w:vAlign w:val="center"/>
          </w:tcPr>
          <w:p w:rsidR="003470DD" w:rsidRPr="000C0BC6" w:rsidRDefault="00000000" w:rsidP="000C0BC6">
            <w:pPr>
              <w:jc w:val="center"/>
              <w:rPr>
                <w:sz w:val="22"/>
                <w:szCs w:val="22"/>
              </w:rPr>
            </w:pPr>
            <w:r w:rsidRPr="000C0BC6">
              <w:rPr>
                <w:b/>
                <w:bCs/>
                <w:sz w:val="22"/>
                <w:szCs w:val="22"/>
              </w:rPr>
              <w:t>Identifiers</w:t>
            </w:r>
          </w:p>
        </w:tc>
        <w:tc>
          <w:tcPr>
            <w:tcW w:w="13536" w:type="dxa"/>
            <w:tcBorders>
              <w:top w:val="single" w:sz="4" w:space="0" w:color="BFBFBF"/>
              <w:left w:val="single" w:sz="4" w:space="0" w:color="BFBFBF"/>
              <w:bottom w:val="single" w:sz="4" w:space="0" w:color="BFBFBF"/>
              <w:right w:val="single" w:sz="4" w:space="0" w:color="BFBFBF"/>
            </w:tcBorders>
            <w:tcMar>
              <w:top w:w="30" w:type="dxa"/>
              <w:left w:w="70" w:type="dxa"/>
              <w:bottom w:w="22" w:type="dxa"/>
              <w:right w:w="70" w:type="dxa"/>
            </w:tcMar>
            <w:vAlign w:val="center"/>
          </w:tcPr>
          <w:p w:rsidR="003470DD" w:rsidRPr="000C0BC6" w:rsidRDefault="00000000" w:rsidP="00422420">
            <w:pPr>
              <w:rPr>
                <w:sz w:val="22"/>
                <w:szCs w:val="22"/>
              </w:rPr>
            </w:pPr>
            <w:r w:rsidRPr="000C0BC6">
              <w:rPr>
                <w:sz w:val="22"/>
                <w:szCs w:val="22"/>
              </w:rPr>
              <w:t>The MRN is the unique patient identifier and is present across all sheets.</w:t>
            </w:r>
          </w:p>
        </w:tc>
      </w:tr>
      <w:tr w:rsidR="003470DD" w:rsidTr="000C0BC6">
        <w:trPr>
          <w:cantSplit/>
          <w:trHeight w:val="737"/>
        </w:trPr>
        <w:tc>
          <w:tcPr>
            <w:tcW w:w="2150" w:type="dxa"/>
            <w:tcBorders>
              <w:top w:val="single" w:sz="4" w:space="0" w:color="BFBFBF"/>
              <w:left w:val="single" w:sz="4" w:space="0" w:color="BFBFBF"/>
              <w:bottom w:val="single" w:sz="4" w:space="0" w:color="BFBFBF"/>
              <w:right w:val="single" w:sz="4" w:space="0" w:color="BFBFBF"/>
            </w:tcBorders>
            <w:shd w:val="clear" w:color="auto" w:fill="EEF2F9"/>
            <w:tcMar>
              <w:top w:w="30" w:type="dxa"/>
              <w:left w:w="70" w:type="dxa"/>
              <w:bottom w:w="22" w:type="dxa"/>
              <w:right w:w="70" w:type="dxa"/>
            </w:tcMar>
            <w:vAlign w:val="center"/>
          </w:tcPr>
          <w:p w:rsidR="003470DD" w:rsidRPr="000C0BC6" w:rsidRDefault="00000000" w:rsidP="000C0BC6">
            <w:pPr>
              <w:jc w:val="center"/>
              <w:rPr>
                <w:sz w:val="22"/>
                <w:szCs w:val="22"/>
              </w:rPr>
            </w:pPr>
            <w:r w:rsidRPr="000C0BC6">
              <w:rPr>
                <w:b/>
                <w:bCs/>
                <w:sz w:val="22"/>
                <w:szCs w:val="22"/>
              </w:rPr>
              <w:t>Dates</w:t>
            </w:r>
          </w:p>
        </w:tc>
        <w:tc>
          <w:tcPr>
            <w:tcW w:w="13536" w:type="dxa"/>
            <w:tcBorders>
              <w:top w:val="single" w:sz="4" w:space="0" w:color="BFBFBF"/>
              <w:left w:val="single" w:sz="4" w:space="0" w:color="BFBFBF"/>
              <w:bottom w:val="single" w:sz="4" w:space="0" w:color="BFBFBF"/>
              <w:right w:val="single" w:sz="4" w:space="0" w:color="BFBFBF"/>
            </w:tcBorders>
            <w:tcMar>
              <w:top w:w="30" w:type="dxa"/>
              <w:left w:w="70" w:type="dxa"/>
              <w:bottom w:w="22" w:type="dxa"/>
              <w:right w:w="70" w:type="dxa"/>
            </w:tcMar>
            <w:vAlign w:val="center"/>
          </w:tcPr>
          <w:p w:rsidR="003470DD" w:rsidRPr="000C0BC6" w:rsidRDefault="00000000" w:rsidP="00422420">
            <w:pPr>
              <w:rPr>
                <w:sz w:val="22"/>
                <w:szCs w:val="22"/>
              </w:rPr>
            </w:pPr>
            <w:r w:rsidRPr="000C0BC6">
              <w:rPr>
                <w:sz w:val="22"/>
                <w:szCs w:val="22"/>
              </w:rPr>
              <w:t>Each instance or interval (visit, measurement, event, procedure) is matched with its own date. Dates are in ISO format (YYYY-MM-DD: year, month, day), on or after DOB and on or before the data cut-off.</w:t>
            </w:r>
          </w:p>
        </w:tc>
      </w:tr>
      <w:tr w:rsidR="003470DD" w:rsidTr="000C0BC6">
        <w:trPr>
          <w:cantSplit/>
          <w:trHeight w:val="737"/>
        </w:trPr>
        <w:tc>
          <w:tcPr>
            <w:tcW w:w="2150" w:type="dxa"/>
            <w:tcBorders>
              <w:top w:val="single" w:sz="4" w:space="0" w:color="BFBFBF"/>
              <w:left w:val="single" w:sz="4" w:space="0" w:color="BFBFBF"/>
              <w:bottom w:val="single" w:sz="4" w:space="0" w:color="BFBFBF"/>
              <w:right w:val="single" w:sz="4" w:space="0" w:color="BFBFBF"/>
            </w:tcBorders>
            <w:shd w:val="clear" w:color="auto" w:fill="EEF2F9"/>
            <w:tcMar>
              <w:top w:w="30" w:type="dxa"/>
              <w:left w:w="70" w:type="dxa"/>
              <w:bottom w:w="22" w:type="dxa"/>
              <w:right w:w="70" w:type="dxa"/>
            </w:tcMar>
            <w:vAlign w:val="center"/>
          </w:tcPr>
          <w:p w:rsidR="003470DD" w:rsidRPr="000C0BC6" w:rsidRDefault="00000000" w:rsidP="000C0BC6">
            <w:pPr>
              <w:jc w:val="center"/>
              <w:rPr>
                <w:sz w:val="22"/>
                <w:szCs w:val="22"/>
              </w:rPr>
            </w:pPr>
            <w:r w:rsidRPr="000C0BC6">
              <w:rPr>
                <w:b/>
                <w:bCs/>
                <w:sz w:val="22"/>
                <w:szCs w:val="22"/>
              </w:rPr>
              <w:t>Text hygiene</w:t>
            </w:r>
          </w:p>
        </w:tc>
        <w:tc>
          <w:tcPr>
            <w:tcW w:w="13536" w:type="dxa"/>
            <w:tcBorders>
              <w:top w:val="single" w:sz="4" w:space="0" w:color="BFBFBF"/>
              <w:left w:val="single" w:sz="4" w:space="0" w:color="BFBFBF"/>
              <w:bottom w:val="single" w:sz="4" w:space="0" w:color="BFBFBF"/>
              <w:right w:val="single" w:sz="4" w:space="0" w:color="BFBFBF"/>
            </w:tcBorders>
            <w:tcMar>
              <w:top w:w="30" w:type="dxa"/>
              <w:left w:w="70" w:type="dxa"/>
              <w:bottom w:w="22" w:type="dxa"/>
              <w:right w:w="70" w:type="dxa"/>
            </w:tcMar>
            <w:vAlign w:val="center"/>
          </w:tcPr>
          <w:p w:rsidR="003470DD" w:rsidRPr="000C0BC6" w:rsidRDefault="00000000" w:rsidP="00422420">
            <w:pPr>
              <w:rPr>
                <w:sz w:val="22"/>
                <w:szCs w:val="22"/>
              </w:rPr>
            </w:pPr>
            <w:r w:rsidRPr="000C0BC6">
              <w:rPr>
                <w:sz w:val="22"/>
                <w:szCs w:val="22"/>
              </w:rPr>
              <w:t>Remove encoding artefacts, control characters and extra spaces (keep the raw text). Placeholders ("-", ".", "na") become ND; "none" / "nil" become the explicit negative "None"; a placeholder is never converted to 0.</w:t>
            </w:r>
          </w:p>
        </w:tc>
      </w:tr>
      <w:tr w:rsidR="003470DD" w:rsidTr="000C0BC6">
        <w:trPr>
          <w:cantSplit/>
          <w:trHeight w:val="737"/>
        </w:trPr>
        <w:tc>
          <w:tcPr>
            <w:tcW w:w="2150" w:type="dxa"/>
            <w:tcBorders>
              <w:top w:val="single" w:sz="4" w:space="0" w:color="BFBFBF"/>
              <w:left w:val="single" w:sz="4" w:space="0" w:color="BFBFBF"/>
              <w:bottom w:val="single" w:sz="4" w:space="0" w:color="BFBFBF"/>
              <w:right w:val="single" w:sz="4" w:space="0" w:color="BFBFBF"/>
            </w:tcBorders>
            <w:shd w:val="clear" w:color="auto" w:fill="EEF2F9"/>
            <w:tcMar>
              <w:top w:w="30" w:type="dxa"/>
              <w:left w:w="70" w:type="dxa"/>
              <w:bottom w:w="22" w:type="dxa"/>
              <w:right w:w="70" w:type="dxa"/>
            </w:tcMar>
            <w:vAlign w:val="center"/>
          </w:tcPr>
          <w:p w:rsidR="003470DD" w:rsidRPr="000C0BC6" w:rsidRDefault="00000000" w:rsidP="000C0BC6">
            <w:pPr>
              <w:jc w:val="center"/>
              <w:rPr>
                <w:sz w:val="22"/>
                <w:szCs w:val="22"/>
              </w:rPr>
            </w:pPr>
            <w:r w:rsidRPr="000C0BC6">
              <w:rPr>
                <w:b/>
                <w:bCs/>
                <w:sz w:val="22"/>
                <w:szCs w:val="22"/>
              </w:rPr>
              <w:t>Missing-data coding</w:t>
            </w:r>
          </w:p>
        </w:tc>
        <w:tc>
          <w:tcPr>
            <w:tcW w:w="13536" w:type="dxa"/>
            <w:tcBorders>
              <w:top w:val="single" w:sz="4" w:space="0" w:color="BFBFBF"/>
              <w:left w:val="single" w:sz="4" w:space="0" w:color="BFBFBF"/>
              <w:bottom w:val="single" w:sz="4" w:space="0" w:color="BFBFBF"/>
              <w:right w:val="single" w:sz="4" w:space="0" w:color="BFBFBF"/>
            </w:tcBorders>
            <w:tcMar>
              <w:top w:w="30" w:type="dxa"/>
              <w:left w:w="70" w:type="dxa"/>
              <w:bottom w:w="22" w:type="dxa"/>
              <w:right w:w="70" w:type="dxa"/>
            </w:tcMar>
            <w:vAlign w:val="center"/>
          </w:tcPr>
          <w:p w:rsidR="003470DD" w:rsidRPr="000C0BC6" w:rsidRDefault="00000000" w:rsidP="00422420">
            <w:pPr>
              <w:rPr>
                <w:sz w:val="22"/>
                <w:szCs w:val="22"/>
              </w:rPr>
            </w:pPr>
            <w:r w:rsidRPr="000C0BC6">
              <w:rPr>
                <w:sz w:val="22"/>
                <w:szCs w:val="22"/>
              </w:rPr>
              <w:t>Every cell holds a value or one code. Flag missing data; never impute; never code missing as 0. Explicit negatives ("None", "No") and "unknown" are real values.</w:t>
            </w:r>
          </w:p>
        </w:tc>
      </w:tr>
      <w:tr w:rsidR="003470DD" w:rsidTr="000C0BC6">
        <w:trPr>
          <w:cantSplit/>
          <w:trHeight w:val="737"/>
        </w:trPr>
        <w:tc>
          <w:tcPr>
            <w:tcW w:w="2150" w:type="dxa"/>
            <w:tcBorders>
              <w:top w:val="single" w:sz="4" w:space="0" w:color="BFBFBF"/>
              <w:left w:val="single" w:sz="4" w:space="0" w:color="BFBFBF"/>
              <w:bottom w:val="single" w:sz="4" w:space="0" w:color="BFBFBF"/>
              <w:right w:val="single" w:sz="4" w:space="0" w:color="BFBFBF"/>
            </w:tcBorders>
            <w:shd w:val="clear" w:color="auto" w:fill="EEF2F9"/>
            <w:tcMar>
              <w:top w:w="30" w:type="dxa"/>
              <w:left w:w="70" w:type="dxa"/>
              <w:bottom w:w="22" w:type="dxa"/>
              <w:right w:w="70" w:type="dxa"/>
            </w:tcMar>
            <w:vAlign w:val="center"/>
          </w:tcPr>
          <w:p w:rsidR="003470DD" w:rsidRPr="000C0BC6" w:rsidRDefault="00000000" w:rsidP="000C0BC6">
            <w:pPr>
              <w:jc w:val="center"/>
              <w:rPr>
                <w:sz w:val="22"/>
                <w:szCs w:val="22"/>
              </w:rPr>
            </w:pPr>
            <w:r w:rsidRPr="000C0BC6">
              <w:rPr>
                <w:b/>
                <w:bCs/>
                <w:sz w:val="22"/>
                <w:szCs w:val="22"/>
              </w:rPr>
              <w:t>Units of measurement</w:t>
            </w:r>
          </w:p>
        </w:tc>
        <w:tc>
          <w:tcPr>
            <w:tcW w:w="13536" w:type="dxa"/>
            <w:tcBorders>
              <w:top w:val="single" w:sz="4" w:space="0" w:color="BFBFBF"/>
              <w:left w:val="single" w:sz="4" w:space="0" w:color="BFBFBF"/>
              <w:bottom w:val="single" w:sz="4" w:space="0" w:color="BFBFBF"/>
              <w:right w:val="single" w:sz="4" w:space="0" w:color="BFBFBF"/>
            </w:tcBorders>
            <w:tcMar>
              <w:top w:w="30" w:type="dxa"/>
              <w:left w:w="70" w:type="dxa"/>
              <w:bottom w:w="22" w:type="dxa"/>
              <w:right w:w="70" w:type="dxa"/>
            </w:tcMar>
            <w:vAlign w:val="center"/>
          </w:tcPr>
          <w:p w:rsidR="003470DD" w:rsidRPr="000C0BC6" w:rsidRDefault="00000000" w:rsidP="00422420">
            <w:pPr>
              <w:rPr>
                <w:sz w:val="22"/>
                <w:szCs w:val="22"/>
              </w:rPr>
            </w:pPr>
            <w:r w:rsidRPr="000C0BC6">
              <w:rPr>
                <w:sz w:val="22"/>
                <w:szCs w:val="22"/>
              </w:rPr>
              <w:t xml:space="preserve">State the unit for every variable and convert to it before checking. </w:t>
            </w:r>
            <w:r w:rsidRPr="000C0BC6">
              <w:rPr>
                <w:b/>
                <w:bCs/>
                <w:sz w:val="22"/>
                <w:szCs w:val="22"/>
              </w:rPr>
              <w:t>Age at presentation:</w:t>
            </w:r>
            <w:r w:rsidRPr="000C0BC6">
              <w:rPr>
                <w:sz w:val="22"/>
                <w:szCs w:val="22"/>
              </w:rPr>
              <w:t xml:space="preserve"> years (completed). </w:t>
            </w:r>
            <w:r w:rsidRPr="000C0BC6">
              <w:rPr>
                <w:b/>
                <w:bCs/>
                <w:sz w:val="22"/>
                <w:szCs w:val="22"/>
              </w:rPr>
              <w:t>IOP:</w:t>
            </w:r>
            <w:r w:rsidRPr="000C0BC6">
              <w:rPr>
                <w:sz w:val="22"/>
                <w:szCs w:val="22"/>
              </w:rPr>
              <w:t xml:space="preserve"> mmHg. </w:t>
            </w:r>
            <w:r w:rsidRPr="000C0BC6">
              <w:rPr>
                <w:b/>
                <w:bCs/>
                <w:sz w:val="22"/>
                <w:szCs w:val="22"/>
              </w:rPr>
              <w:t>Visual acuity:</w:t>
            </w:r>
            <w:r w:rsidRPr="000C0BC6">
              <w:rPr>
                <w:sz w:val="22"/>
                <w:szCs w:val="22"/>
              </w:rPr>
              <w:t xml:space="preserve"> logMAR (convert Snellen and CF / HM / LP / NLP entries to logMAR). </w:t>
            </w:r>
            <w:r w:rsidRPr="000C0BC6">
              <w:rPr>
                <w:b/>
                <w:bCs/>
                <w:sz w:val="22"/>
                <w:szCs w:val="22"/>
              </w:rPr>
              <w:t>CDR:</w:t>
            </w:r>
            <w:r w:rsidRPr="000C0BC6">
              <w:rPr>
                <w:sz w:val="22"/>
                <w:szCs w:val="22"/>
              </w:rPr>
              <w:t xml:space="preserve"> ratio, 0.0-1.0 (no unit). </w:t>
            </w:r>
            <w:r w:rsidRPr="000C0BC6">
              <w:rPr>
                <w:b/>
                <w:bCs/>
                <w:sz w:val="22"/>
                <w:szCs w:val="22"/>
              </w:rPr>
              <w:t>Number of anti-glaucoma medications:</w:t>
            </w:r>
            <w:r w:rsidRPr="000C0BC6">
              <w:rPr>
                <w:sz w:val="22"/>
                <w:szCs w:val="22"/>
              </w:rPr>
              <w:t xml:space="preserve"> count of active ingredients per eye (0-4+). </w:t>
            </w:r>
            <w:r w:rsidRPr="000C0BC6">
              <w:rPr>
                <w:b/>
                <w:bCs/>
                <w:sz w:val="22"/>
                <w:szCs w:val="22"/>
              </w:rPr>
              <w:t>MMC dose:</w:t>
            </w:r>
            <w:r w:rsidRPr="000C0BC6">
              <w:rPr>
                <w:sz w:val="22"/>
                <w:szCs w:val="22"/>
              </w:rPr>
              <w:t xml:space="preserve"> mg/ml. </w:t>
            </w:r>
            <w:r w:rsidRPr="000C0BC6">
              <w:rPr>
                <w:b/>
                <w:bCs/>
                <w:sz w:val="22"/>
                <w:szCs w:val="22"/>
              </w:rPr>
              <w:t>MMC duration:</w:t>
            </w:r>
            <w:r w:rsidRPr="000C0BC6">
              <w:rPr>
                <w:sz w:val="22"/>
                <w:szCs w:val="22"/>
              </w:rPr>
              <w:t xml:space="preserve"> minutes. </w:t>
            </w:r>
            <w:r w:rsidRPr="000C0BC6">
              <w:rPr>
                <w:b/>
                <w:bCs/>
                <w:sz w:val="22"/>
                <w:szCs w:val="22"/>
              </w:rPr>
              <w:t>Date of surgery:</w:t>
            </w:r>
            <w:r w:rsidRPr="000C0BC6">
              <w:rPr>
                <w:sz w:val="22"/>
                <w:szCs w:val="22"/>
              </w:rPr>
              <w:t xml:space="preserve"> YYYY-MM-DD. </w:t>
            </w:r>
            <w:r w:rsidRPr="000C0BC6">
              <w:rPr>
                <w:b/>
                <w:bCs/>
                <w:sz w:val="22"/>
                <w:szCs w:val="22"/>
              </w:rPr>
              <w:t>No unit (categorical, Yes/No or free text):</w:t>
            </w:r>
            <w:r w:rsidRPr="000C0BC6">
              <w:rPr>
                <w:sz w:val="22"/>
                <w:szCs w:val="22"/>
              </w:rPr>
              <w:t xml:space="preserve"> sex, previous glaucoma surgeries, lens status, surgeon level, MMC site, perforation, iridotomy, other operative complications, post-operative complications, surgical revisions, secondary major surgery.</w:t>
            </w:r>
          </w:p>
        </w:tc>
      </w:tr>
      <w:tr w:rsidR="003470DD" w:rsidTr="000C0BC6">
        <w:trPr>
          <w:cantSplit/>
          <w:trHeight w:val="737"/>
        </w:trPr>
        <w:tc>
          <w:tcPr>
            <w:tcW w:w="2150" w:type="dxa"/>
            <w:tcBorders>
              <w:top w:val="single" w:sz="4" w:space="0" w:color="BFBFBF"/>
              <w:left w:val="single" w:sz="4" w:space="0" w:color="BFBFBF"/>
              <w:bottom w:val="single" w:sz="4" w:space="0" w:color="BFBFBF"/>
              <w:right w:val="single" w:sz="4" w:space="0" w:color="BFBFBF"/>
            </w:tcBorders>
            <w:shd w:val="clear" w:color="auto" w:fill="EEF2F9"/>
            <w:tcMar>
              <w:top w:w="30" w:type="dxa"/>
              <w:left w:w="70" w:type="dxa"/>
              <w:bottom w:w="22" w:type="dxa"/>
              <w:right w:w="70" w:type="dxa"/>
            </w:tcMar>
            <w:vAlign w:val="center"/>
          </w:tcPr>
          <w:p w:rsidR="003470DD" w:rsidRPr="000C0BC6" w:rsidRDefault="00000000" w:rsidP="000C0BC6">
            <w:pPr>
              <w:jc w:val="center"/>
              <w:rPr>
                <w:sz w:val="22"/>
                <w:szCs w:val="22"/>
              </w:rPr>
            </w:pPr>
            <w:r w:rsidRPr="000C0BC6">
              <w:rPr>
                <w:b/>
                <w:bCs/>
                <w:sz w:val="22"/>
                <w:szCs w:val="22"/>
              </w:rPr>
              <w:t>Range checks</w:t>
            </w:r>
          </w:p>
        </w:tc>
        <w:tc>
          <w:tcPr>
            <w:tcW w:w="13536" w:type="dxa"/>
            <w:tcBorders>
              <w:top w:val="single" w:sz="4" w:space="0" w:color="BFBFBF"/>
              <w:left w:val="single" w:sz="4" w:space="0" w:color="BFBFBF"/>
              <w:bottom w:val="single" w:sz="4" w:space="0" w:color="BFBFBF"/>
              <w:right w:val="single" w:sz="4" w:space="0" w:color="BFBFBF"/>
            </w:tcBorders>
            <w:tcMar>
              <w:top w:w="30" w:type="dxa"/>
              <w:left w:w="70" w:type="dxa"/>
              <w:bottom w:w="22" w:type="dxa"/>
              <w:right w:w="70" w:type="dxa"/>
            </w:tcMar>
            <w:vAlign w:val="center"/>
          </w:tcPr>
          <w:p w:rsidR="003470DD" w:rsidRPr="000C0BC6" w:rsidRDefault="00000000" w:rsidP="00422420">
            <w:pPr>
              <w:rPr>
                <w:sz w:val="22"/>
                <w:szCs w:val="22"/>
              </w:rPr>
            </w:pPr>
            <w:r w:rsidRPr="000C0BC6">
              <w:rPr>
                <w:sz w:val="22"/>
                <w:szCs w:val="22"/>
              </w:rPr>
              <w:t>Flag any value outside the expected range for review.</w:t>
            </w:r>
          </w:p>
        </w:tc>
      </w:tr>
      <w:tr w:rsidR="003470DD" w:rsidTr="000C0BC6">
        <w:trPr>
          <w:cantSplit/>
          <w:trHeight w:val="737"/>
        </w:trPr>
        <w:tc>
          <w:tcPr>
            <w:tcW w:w="2150" w:type="dxa"/>
            <w:tcBorders>
              <w:top w:val="single" w:sz="4" w:space="0" w:color="BFBFBF"/>
              <w:left w:val="single" w:sz="4" w:space="0" w:color="BFBFBF"/>
              <w:bottom w:val="single" w:sz="4" w:space="0" w:color="BFBFBF"/>
              <w:right w:val="single" w:sz="4" w:space="0" w:color="BFBFBF"/>
            </w:tcBorders>
            <w:shd w:val="clear" w:color="auto" w:fill="EEF2F9"/>
            <w:tcMar>
              <w:top w:w="30" w:type="dxa"/>
              <w:left w:w="70" w:type="dxa"/>
              <w:bottom w:w="22" w:type="dxa"/>
              <w:right w:w="70" w:type="dxa"/>
            </w:tcMar>
            <w:vAlign w:val="center"/>
          </w:tcPr>
          <w:p w:rsidR="003470DD" w:rsidRPr="000C0BC6" w:rsidRDefault="00000000" w:rsidP="000C0BC6">
            <w:pPr>
              <w:jc w:val="center"/>
              <w:rPr>
                <w:sz w:val="22"/>
                <w:szCs w:val="22"/>
              </w:rPr>
            </w:pPr>
            <w:r w:rsidRPr="000C0BC6">
              <w:rPr>
                <w:b/>
                <w:bCs/>
                <w:sz w:val="22"/>
                <w:szCs w:val="22"/>
              </w:rPr>
              <w:t>Cross-field logic</w:t>
            </w:r>
          </w:p>
        </w:tc>
        <w:tc>
          <w:tcPr>
            <w:tcW w:w="13536" w:type="dxa"/>
            <w:tcBorders>
              <w:top w:val="single" w:sz="4" w:space="0" w:color="BFBFBF"/>
              <w:left w:val="single" w:sz="4" w:space="0" w:color="BFBFBF"/>
              <w:bottom w:val="single" w:sz="4" w:space="0" w:color="BFBFBF"/>
              <w:right w:val="single" w:sz="4" w:space="0" w:color="BFBFBF"/>
            </w:tcBorders>
            <w:tcMar>
              <w:top w:w="30" w:type="dxa"/>
              <w:left w:w="70" w:type="dxa"/>
              <w:bottom w:w="22" w:type="dxa"/>
              <w:right w:w="70" w:type="dxa"/>
            </w:tcMar>
            <w:vAlign w:val="center"/>
          </w:tcPr>
          <w:p w:rsidR="003470DD" w:rsidRPr="000C0BC6" w:rsidRDefault="00000000" w:rsidP="00422420">
            <w:pPr>
              <w:rPr>
                <w:sz w:val="22"/>
                <w:szCs w:val="22"/>
              </w:rPr>
            </w:pPr>
            <w:r w:rsidRPr="000C0BC6">
              <w:rPr>
                <w:sz w:val="22"/>
                <w:szCs w:val="22"/>
              </w:rPr>
              <w:t>Flag any cross-field logic conflict for review. Refer to the parsing rules in the Data Variable Mapping Sheet.</w:t>
            </w:r>
          </w:p>
        </w:tc>
      </w:tr>
      <w:tr w:rsidR="003470DD" w:rsidTr="000C0BC6">
        <w:trPr>
          <w:cantSplit/>
          <w:trHeight w:val="737"/>
        </w:trPr>
        <w:tc>
          <w:tcPr>
            <w:tcW w:w="2150" w:type="dxa"/>
            <w:tcBorders>
              <w:top w:val="single" w:sz="4" w:space="0" w:color="BFBFBF"/>
              <w:left w:val="single" w:sz="4" w:space="0" w:color="BFBFBF"/>
              <w:bottom w:val="single" w:sz="4" w:space="0" w:color="BFBFBF"/>
              <w:right w:val="single" w:sz="4" w:space="0" w:color="BFBFBF"/>
            </w:tcBorders>
            <w:shd w:val="clear" w:color="auto" w:fill="EEF2F9"/>
            <w:tcMar>
              <w:top w:w="30" w:type="dxa"/>
              <w:left w:w="70" w:type="dxa"/>
              <w:bottom w:w="22" w:type="dxa"/>
              <w:right w:w="70" w:type="dxa"/>
            </w:tcMar>
            <w:vAlign w:val="center"/>
          </w:tcPr>
          <w:p w:rsidR="003470DD" w:rsidRPr="000C0BC6" w:rsidRDefault="00000000" w:rsidP="000C0BC6">
            <w:pPr>
              <w:jc w:val="center"/>
              <w:rPr>
                <w:sz w:val="22"/>
                <w:szCs w:val="22"/>
              </w:rPr>
            </w:pPr>
            <w:r w:rsidRPr="000C0BC6">
              <w:rPr>
                <w:b/>
                <w:bCs/>
                <w:sz w:val="22"/>
                <w:szCs w:val="22"/>
              </w:rPr>
              <w:t>Duplicates</w:t>
            </w:r>
          </w:p>
        </w:tc>
        <w:tc>
          <w:tcPr>
            <w:tcW w:w="13536" w:type="dxa"/>
            <w:tcBorders>
              <w:top w:val="single" w:sz="4" w:space="0" w:color="BFBFBF"/>
              <w:left w:val="single" w:sz="4" w:space="0" w:color="BFBFBF"/>
              <w:bottom w:val="single" w:sz="4" w:space="0" w:color="BFBFBF"/>
              <w:right w:val="single" w:sz="4" w:space="0" w:color="BFBFBF"/>
            </w:tcBorders>
            <w:tcMar>
              <w:top w:w="30" w:type="dxa"/>
              <w:left w:w="70" w:type="dxa"/>
              <w:bottom w:w="22" w:type="dxa"/>
              <w:right w:w="70" w:type="dxa"/>
            </w:tcMar>
            <w:vAlign w:val="center"/>
          </w:tcPr>
          <w:p w:rsidR="003470DD" w:rsidRPr="000C0BC6" w:rsidRDefault="00000000" w:rsidP="00422420">
            <w:pPr>
              <w:rPr>
                <w:sz w:val="22"/>
                <w:szCs w:val="22"/>
              </w:rPr>
            </w:pPr>
            <w:r w:rsidRPr="000C0BC6">
              <w:rPr>
                <w:sz w:val="22"/>
                <w:szCs w:val="22"/>
              </w:rPr>
              <w:t>Check for duplicates in every sheet (demographics, diagnosis, measurements, medication, procedures, clinical notes and so forth). Flag any disagreement between duplicate records, refer to the parsing rules in the Data Variable Mapping Sheet, and flag anything further for manual review.</w:t>
            </w:r>
          </w:p>
        </w:tc>
      </w:tr>
      <w:tr w:rsidR="003470DD" w:rsidTr="000C0BC6">
        <w:trPr>
          <w:cantSplit/>
          <w:trHeight w:val="737"/>
        </w:trPr>
        <w:tc>
          <w:tcPr>
            <w:tcW w:w="2150" w:type="dxa"/>
            <w:tcBorders>
              <w:top w:val="single" w:sz="4" w:space="0" w:color="BFBFBF"/>
              <w:left w:val="single" w:sz="4" w:space="0" w:color="BFBFBF"/>
              <w:bottom w:val="single" w:sz="4" w:space="0" w:color="BFBFBF"/>
              <w:right w:val="single" w:sz="4" w:space="0" w:color="BFBFBF"/>
            </w:tcBorders>
            <w:shd w:val="clear" w:color="auto" w:fill="F4B183"/>
            <w:tcMar>
              <w:top w:w="30" w:type="dxa"/>
              <w:left w:w="70" w:type="dxa"/>
              <w:bottom w:w="22" w:type="dxa"/>
              <w:right w:w="70" w:type="dxa"/>
            </w:tcMar>
            <w:vAlign w:val="center"/>
          </w:tcPr>
          <w:p w:rsidR="003470DD" w:rsidRPr="000C0BC6" w:rsidRDefault="00000000" w:rsidP="000C0BC6">
            <w:pPr>
              <w:jc w:val="center"/>
              <w:rPr>
                <w:sz w:val="22"/>
                <w:szCs w:val="22"/>
              </w:rPr>
            </w:pPr>
            <w:r w:rsidRPr="000C0BC6">
              <w:rPr>
                <w:b/>
                <w:bCs/>
                <w:sz w:val="22"/>
                <w:szCs w:val="22"/>
              </w:rPr>
              <w:t>MANUAL REVIEW (mandatory)</w:t>
            </w:r>
          </w:p>
        </w:tc>
        <w:tc>
          <w:tcPr>
            <w:tcW w:w="13536" w:type="dxa"/>
            <w:tcBorders>
              <w:top w:val="single" w:sz="4" w:space="0" w:color="BFBFBF"/>
              <w:left w:val="single" w:sz="4" w:space="0" w:color="BFBFBF"/>
              <w:bottom w:val="single" w:sz="4" w:space="0" w:color="BFBFBF"/>
              <w:right w:val="single" w:sz="4" w:space="0" w:color="BFBFBF"/>
            </w:tcBorders>
            <w:shd w:val="clear" w:color="auto" w:fill="FFF2CC"/>
            <w:tcMar>
              <w:top w:w="30" w:type="dxa"/>
              <w:left w:w="70" w:type="dxa"/>
              <w:bottom w:w="22" w:type="dxa"/>
              <w:right w:w="70" w:type="dxa"/>
            </w:tcMar>
            <w:vAlign w:val="center"/>
          </w:tcPr>
          <w:p w:rsidR="003470DD" w:rsidRPr="000C0BC6" w:rsidRDefault="00000000" w:rsidP="00422420">
            <w:pPr>
              <w:rPr>
                <w:sz w:val="22"/>
                <w:szCs w:val="22"/>
              </w:rPr>
            </w:pPr>
            <w:r w:rsidRPr="000C0BC6">
              <w:rPr>
                <w:b/>
                <w:bCs/>
                <w:sz w:val="22"/>
                <w:szCs w:val="22"/>
              </w:rPr>
              <w:t>Follow the data cleaning rules above. If an issue cannot be resolved, flag it for manual review.</w:t>
            </w:r>
          </w:p>
        </w:tc>
      </w:tr>
    </w:tbl>
    <w:p w:rsidR="003470DD" w:rsidRDefault="003470DD" w:rsidP="000C0BC6">
      <w:pPr>
        <w:spacing w:before="50" w:after="15"/>
      </w:pPr>
    </w:p>
    <w:sectPr w:rsidR="003470DD">
      <w:pgSz w:w="16838" w:h="11906" w:orient="landscape"/>
      <w:pgMar w:top="430" w:right="576" w:bottom="380" w:left="57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851B4"/>
    <w:multiLevelType w:val="hybridMultilevel"/>
    <w:tmpl w:val="5E9CE7B4"/>
    <w:lvl w:ilvl="0" w:tplc="6624CB12">
      <w:start w:val="1"/>
      <w:numFmt w:val="bullet"/>
      <w:lvlText w:val="●"/>
      <w:lvlJc w:val="left"/>
      <w:pPr>
        <w:ind w:left="720" w:hanging="360"/>
      </w:pPr>
    </w:lvl>
    <w:lvl w:ilvl="1" w:tplc="F744B7B2">
      <w:start w:val="1"/>
      <w:numFmt w:val="bullet"/>
      <w:lvlText w:val="○"/>
      <w:lvlJc w:val="left"/>
      <w:pPr>
        <w:ind w:left="1440" w:hanging="360"/>
      </w:pPr>
    </w:lvl>
    <w:lvl w:ilvl="2" w:tplc="AC246FB2">
      <w:start w:val="1"/>
      <w:numFmt w:val="bullet"/>
      <w:lvlText w:val="■"/>
      <w:lvlJc w:val="left"/>
      <w:pPr>
        <w:ind w:left="2160" w:hanging="360"/>
      </w:pPr>
    </w:lvl>
    <w:lvl w:ilvl="3" w:tplc="90CA37E6">
      <w:start w:val="1"/>
      <w:numFmt w:val="bullet"/>
      <w:lvlText w:val="●"/>
      <w:lvlJc w:val="left"/>
      <w:pPr>
        <w:ind w:left="2880" w:hanging="360"/>
      </w:pPr>
    </w:lvl>
    <w:lvl w:ilvl="4" w:tplc="FD3C78D0">
      <w:start w:val="1"/>
      <w:numFmt w:val="bullet"/>
      <w:lvlText w:val="○"/>
      <w:lvlJc w:val="left"/>
      <w:pPr>
        <w:ind w:left="3600" w:hanging="360"/>
      </w:pPr>
    </w:lvl>
    <w:lvl w:ilvl="5" w:tplc="536849E2">
      <w:start w:val="1"/>
      <w:numFmt w:val="bullet"/>
      <w:lvlText w:val="■"/>
      <w:lvlJc w:val="left"/>
      <w:pPr>
        <w:ind w:left="4320" w:hanging="360"/>
      </w:pPr>
    </w:lvl>
    <w:lvl w:ilvl="6" w:tplc="F13AECE6">
      <w:start w:val="1"/>
      <w:numFmt w:val="bullet"/>
      <w:lvlText w:val="●"/>
      <w:lvlJc w:val="left"/>
      <w:pPr>
        <w:ind w:left="5040" w:hanging="360"/>
      </w:pPr>
    </w:lvl>
    <w:lvl w:ilvl="7" w:tplc="F82C30FA">
      <w:start w:val="1"/>
      <w:numFmt w:val="bullet"/>
      <w:lvlText w:val="●"/>
      <w:lvlJc w:val="left"/>
      <w:pPr>
        <w:ind w:left="5760" w:hanging="360"/>
      </w:pPr>
    </w:lvl>
    <w:lvl w:ilvl="8" w:tplc="5BF8ACDA">
      <w:start w:val="1"/>
      <w:numFmt w:val="bullet"/>
      <w:lvlText w:val="●"/>
      <w:lvlJc w:val="left"/>
      <w:pPr>
        <w:ind w:left="6480" w:hanging="360"/>
      </w:pPr>
    </w:lvl>
  </w:abstractNum>
  <w:num w:numId="1" w16cid:durableId="7328904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0DD"/>
    <w:rsid w:val="000C0BC6"/>
    <w:rsid w:val="003470DD"/>
    <w:rsid w:val="00361ECC"/>
    <w:rsid w:val="00422420"/>
    <w:rsid w:val="00D5084F"/>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5:docId w15:val="{41C76E05-B5C5-2F46-8214-67D06001B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330</Words>
  <Characters>1882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Cleaning Rules Template</vt:lpstr>
    </vt:vector>
  </TitlesOfParts>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Cleaning Rules Template</dc:title>
  <dc:creator>Claude</dc:creator>
  <cp:lastModifiedBy>Adi Al Owaifeer</cp:lastModifiedBy>
  <cp:revision>3</cp:revision>
  <dcterms:created xsi:type="dcterms:W3CDTF">2026-09-19T10:44:00Z</dcterms:created>
  <dcterms:modified xsi:type="dcterms:W3CDTF">2026-09-19T13:47:00Z</dcterms:modified>
</cp:coreProperties>
</file>