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5A6" w:rsidRDefault="00000000" w:rsidP="00C4620F">
      <w:pPr>
        <w:spacing w:after="20"/>
        <w:jc w:val="center"/>
        <w:rPr>
          <w:color w:val="595959"/>
          <w:sz w:val="17"/>
          <w:szCs w:val="17"/>
        </w:rPr>
      </w:pPr>
      <w:r>
        <w:rPr>
          <w:b/>
          <w:bCs/>
          <w:color w:val="1F3864"/>
          <w:sz w:val="32"/>
          <w:szCs w:val="32"/>
        </w:rPr>
        <w:t>Data Transformation Template</w:t>
      </w:r>
    </w:p>
    <w:p w:rsidR="00C4620F" w:rsidRDefault="00C4620F" w:rsidP="00C4620F">
      <w:pPr>
        <w:spacing w:after="20"/>
      </w:pPr>
    </w:p>
    <w:p w:rsidR="00D025A6" w:rsidRDefault="00000000">
      <w:pPr>
        <w:keepNext/>
        <w:shd w:val="clear" w:color="auto" w:fill="1F3864"/>
        <w:spacing w:after="80"/>
      </w:pPr>
      <w:r>
        <w:rPr>
          <w:b/>
          <w:bCs/>
          <w:color w:val="FFFFFF"/>
          <w:sz w:val="24"/>
          <w:szCs w:val="24"/>
        </w:rPr>
        <w:t xml:space="preserve">PART 1   Interval mapping </w:t>
      </w:r>
    </w:p>
    <w:p w:rsidR="00D025A6" w:rsidRDefault="00000000">
      <w:pPr>
        <w:keepNext/>
        <w:spacing w:before="90" w:after="40"/>
      </w:pPr>
      <w:r>
        <w:rPr>
          <w:b/>
          <w:bCs/>
          <w:color w:val="1F3864"/>
          <w:sz w:val="20"/>
          <w:szCs w:val="20"/>
        </w:rPr>
        <w:t>1.1 Interval definitions</w:t>
      </w:r>
    </w:p>
    <w:tbl>
      <w:tblPr>
        <w:tblW w:w="15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1275"/>
        <w:gridCol w:w="2835"/>
        <w:gridCol w:w="8364"/>
      </w:tblGrid>
      <w:tr w:rsidR="00C4620F" w:rsidTr="00C4620F">
        <w:trPr>
          <w:cantSplit/>
          <w:tblHeader/>
        </w:trPr>
        <w:tc>
          <w:tcPr>
            <w:tcW w:w="3256"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C4620F" w:rsidRDefault="00C4620F" w:rsidP="00982A7A">
            <w:pPr>
              <w:jc w:val="center"/>
            </w:pPr>
            <w:r>
              <w:rPr>
                <w:b/>
                <w:bCs/>
                <w:color w:val="FFFFFF"/>
              </w:rPr>
              <w:t>Interval</w:t>
            </w:r>
          </w:p>
        </w:tc>
        <w:tc>
          <w:tcPr>
            <w:tcW w:w="1275"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C4620F" w:rsidRDefault="00C4620F" w:rsidP="00982A7A">
            <w:pPr>
              <w:jc w:val="center"/>
            </w:pPr>
            <w:r>
              <w:rPr>
                <w:b/>
                <w:bCs/>
                <w:color w:val="FFFFFF"/>
              </w:rPr>
              <w:t>Target day</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C4620F" w:rsidRDefault="00C4620F" w:rsidP="00982A7A">
            <w:pPr>
              <w:jc w:val="center"/>
            </w:pPr>
            <w:r>
              <w:rPr>
                <w:b/>
                <w:bCs/>
                <w:color w:val="FFFFFF"/>
              </w:rPr>
              <w:t>Accepted range (days from surgery)</w:t>
            </w:r>
          </w:p>
        </w:tc>
        <w:tc>
          <w:tcPr>
            <w:tcW w:w="8364"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C4620F" w:rsidRDefault="00C4620F" w:rsidP="00982A7A">
            <w:pPr>
              <w:jc w:val="center"/>
            </w:pPr>
            <w:r>
              <w:rPr>
                <w:b/>
                <w:bCs/>
                <w:color w:val="FFFFFF"/>
              </w:rPr>
              <w:t>Required data</w:t>
            </w:r>
          </w:p>
        </w:tc>
      </w:tr>
      <w:tr w:rsidR="00C4620F" w:rsidTr="00982A7A">
        <w:trPr>
          <w:cantSplit/>
        </w:trPr>
        <w:tc>
          <w:tcPr>
            <w:tcW w:w="32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rsidP="00C4620F">
            <w:r>
              <w:rPr>
                <w:b/>
                <w:bCs/>
              </w:rPr>
              <w:t>Baseline (pre-op)</w:t>
            </w:r>
          </w:p>
        </w:tc>
        <w:tc>
          <w:tcPr>
            <w:tcW w:w="1275"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rsidP="00C4620F">
            <w:pPr>
              <w:jc w:val="center"/>
            </w:pPr>
            <w:r>
              <w:t>≤ 0</w:t>
            </w:r>
          </w:p>
        </w:tc>
        <w:tc>
          <w:tcPr>
            <w:tcW w:w="2835" w:type="dxa"/>
            <w:tcBorders>
              <w:top w:val="single" w:sz="4" w:space="0" w:color="BFBFBF"/>
              <w:left w:val="single" w:sz="4" w:space="0" w:color="BFBFBF"/>
              <w:bottom w:val="single" w:sz="4" w:space="0" w:color="BFBFBF"/>
              <w:right w:val="single" w:sz="4" w:space="0" w:color="BFBFBF"/>
            </w:tcBorders>
            <w:shd w:val="clear" w:color="auto" w:fill="F3F5F9"/>
            <w:tcMar>
              <w:top w:w="35" w:type="dxa"/>
              <w:left w:w="70" w:type="dxa"/>
              <w:bottom w:w="25" w:type="dxa"/>
              <w:right w:w="70" w:type="dxa"/>
            </w:tcMar>
            <w:vAlign w:val="center"/>
          </w:tcPr>
          <w:p w:rsidR="00C4620F" w:rsidRDefault="00C4620F" w:rsidP="00982A7A">
            <w:pPr>
              <w:jc w:val="center"/>
            </w:pPr>
          </w:p>
        </w:tc>
        <w:tc>
          <w:tcPr>
            <w:tcW w:w="8364" w:type="dxa"/>
            <w:vMerge w:val="restart"/>
            <w:tcBorders>
              <w:top w:val="single" w:sz="4" w:space="0" w:color="BFBFBF"/>
              <w:left w:val="single" w:sz="4" w:space="0" w:color="BFBFBF"/>
              <w:right w:val="single" w:sz="4" w:space="0" w:color="BFBFBF"/>
            </w:tcBorders>
            <w:tcMar>
              <w:top w:w="35" w:type="dxa"/>
              <w:left w:w="70" w:type="dxa"/>
              <w:bottom w:w="25" w:type="dxa"/>
              <w:right w:w="70" w:type="dxa"/>
            </w:tcMar>
            <w:vAlign w:val="center"/>
          </w:tcPr>
          <w:p w:rsidR="00C4620F" w:rsidRDefault="00C4620F" w:rsidP="00C4620F">
            <w:pPr>
              <w:jc w:val="center"/>
            </w:pPr>
            <w:r w:rsidRPr="00C4620F">
              <w:t>BCVA (logMAR), IOP (mmHg), Meds (count), post-operative complications, surgical revisions, secondary major surgery.</w:t>
            </w:r>
          </w:p>
        </w:tc>
      </w:tr>
      <w:tr w:rsidR="00C4620F" w:rsidTr="00982A7A">
        <w:trPr>
          <w:cantSplit/>
        </w:trPr>
        <w:tc>
          <w:tcPr>
            <w:tcW w:w="32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r>
              <w:rPr>
                <w:b/>
                <w:bCs/>
              </w:rPr>
              <w:t>Day 1</w:t>
            </w:r>
          </w:p>
        </w:tc>
        <w:tc>
          <w:tcPr>
            <w:tcW w:w="1275"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pPr>
              <w:jc w:val="center"/>
            </w:pPr>
            <w:r>
              <w:t>1</w:t>
            </w:r>
          </w:p>
        </w:tc>
        <w:tc>
          <w:tcPr>
            <w:tcW w:w="2835" w:type="dxa"/>
            <w:tcBorders>
              <w:top w:val="single" w:sz="4" w:space="0" w:color="BFBFBF"/>
              <w:left w:val="single" w:sz="4" w:space="0" w:color="BFBFBF"/>
              <w:bottom w:val="single" w:sz="4" w:space="0" w:color="BFBFBF"/>
              <w:right w:val="single" w:sz="4" w:space="0" w:color="BFBFBF"/>
            </w:tcBorders>
            <w:shd w:val="clear" w:color="auto" w:fill="F3F5F9"/>
            <w:tcMar>
              <w:top w:w="35" w:type="dxa"/>
              <w:left w:w="70" w:type="dxa"/>
              <w:bottom w:w="25" w:type="dxa"/>
              <w:right w:w="70" w:type="dxa"/>
            </w:tcMar>
            <w:vAlign w:val="center"/>
          </w:tcPr>
          <w:p w:rsidR="00C4620F" w:rsidRDefault="00C4620F" w:rsidP="00982A7A">
            <w:pPr>
              <w:jc w:val="center"/>
            </w:pPr>
            <w:r>
              <w:t>1 – 7</w:t>
            </w:r>
          </w:p>
        </w:tc>
        <w:tc>
          <w:tcPr>
            <w:tcW w:w="8364" w:type="dxa"/>
            <w:vMerge/>
            <w:tcBorders>
              <w:left w:val="single" w:sz="4" w:space="0" w:color="BFBFBF"/>
              <w:right w:val="single" w:sz="4" w:space="0" w:color="BFBFBF"/>
            </w:tcBorders>
            <w:tcMar>
              <w:top w:w="35" w:type="dxa"/>
              <w:left w:w="70" w:type="dxa"/>
              <w:bottom w:w="25" w:type="dxa"/>
              <w:right w:w="70" w:type="dxa"/>
            </w:tcMar>
          </w:tcPr>
          <w:p w:rsidR="00C4620F" w:rsidRDefault="00C4620F"/>
        </w:tc>
      </w:tr>
      <w:tr w:rsidR="00C4620F" w:rsidTr="00982A7A">
        <w:trPr>
          <w:cantSplit/>
        </w:trPr>
        <w:tc>
          <w:tcPr>
            <w:tcW w:w="32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r>
              <w:rPr>
                <w:b/>
                <w:bCs/>
              </w:rPr>
              <w:t>1 month</w:t>
            </w:r>
          </w:p>
        </w:tc>
        <w:tc>
          <w:tcPr>
            <w:tcW w:w="1275"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pPr>
              <w:jc w:val="center"/>
            </w:pPr>
            <w:r>
              <w:t>30</w:t>
            </w:r>
          </w:p>
        </w:tc>
        <w:tc>
          <w:tcPr>
            <w:tcW w:w="2835" w:type="dxa"/>
            <w:tcBorders>
              <w:top w:val="single" w:sz="4" w:space="0" w:color="BFBFBF"/>
              <w:left w:val="single" w:sz="4" w:space="0" w:color="BFBFBF"/>
              <w:bottom w:val="single" w:sz="4" w:space="0" w:color="BFBFBF"/>
              <w:right w:val="single" w:sz="4" w:space="0" w:color="BFBFBF"/>
            </w:tcBorders>
            <w:shd w:val="clear" w:color="auto" w:fill="F3F5F9"/>
            <w:tcMar>
              <w:top w:w="35" w:type="dxa"/>
              <w:left w:w="70" w:type="dxa"/>
              <w:bottom w:w="25" w:type="dxa"/>
              <w:right w:w="70" w:type="dxa"/>
            </w:tcMar>
            <w:vAlign w:val="center"/>
          </w:tcPr>
          <w:p w:rsidR="00C4620F" w:rsidRDefault="00C4620F" w:rsidP="00982A7A">
            <w:pPr>
              <w:jc w:val="center"/>
            </w:pPr>
            <w:r>
              <w:t>15 – 60</w:t>
            </w:r>
          </w:p>
        </w:tc>
        <w:tc>
          <w:tcPr>
            <w:tcW w:w="8364" w:type="dxa"/>
            <w:vMerge/>
            <w:tcBorders>
              <w:left w:val="single" w:sz="4" w:space="0" w:color="BFBFBF"/>
              <w:right w:val="single" w:sz="4" w:space="0" w:color="BFBFBF"/>
            </w:tcBorders>
            <w:shd w:val="clear" w:color="auto" w:fill="FFF3C4"/>
            <w:tcMar>
              <w:top w:w="35" w:type="dxa"/>
              <w:left w:w="70" w:type="dxa"/>
              <w:bottom w:w="25" w:type="dxa"/>
              <w:right w:w="70" w:type="dxa"/>
            </w:tcMar>
          </w:tcPr>
          <w:p w:rsidR="00C4620F" w:rsidRDefault="00C4620F"/>
        </w:tc>
      </w:tr>
      <w:tr w:rsidR="00C4620F" w:rsidTr="00982A7A">
        <w:trPr>
          <w:cantSplit/>
        </w:trPr>
        <w:tc>
          <w:tcPr>
            <w:tcW w:w="32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r>
              <w:rPr>
                <w:b/>
                <w:bCs/>
              </w:rPr>
              <w:t>3 months</w:t>
            </w:r>
          </w:p>
        </w:tc>
        <w:tc>
          <w:tcPr>
            <w:tcW w:w="1275"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pPr>
              <w:jc w:val="center"/>
            </w:pPr>
            <w:r>
              <w:t>90</w:t>
            </w:r>
          </w:p>
        </w:tc>
        <w:tc>
          <w:tcPr>
            <w:tcW w:w="2835" w:type="dxa"/>
            <w:tcBorders>
              <w:top w:val="single" w:sz="4" w:space="0" w:color="BFBFBF"/>
              <w:left w:val="single" w:sz="4" w:space="0" w:color="BFBFBF"/>
              <w:bottom w:val="single" w:sz="4" w:space="0" w:color="BFBFBF"/>
              <w:right w:val="single" w:sz="4" w:space="0" w:color="BFBFBF"/>
            </w:tcBorders>
            <w:shd w:val="clear" w:color="auto" w:fill="F3F5F9"/>
            <w:tcMar>
              <w:top w:w="35" w:type="dxa"/>
              <w:left w:w="70" w:type="dxa"/>
              <w:bottom w:w="25" w:type="dxa"/>
              <w:right w:w="70" w:type="dxa"/>
            </w:tcMar>
            <w:vAlign w:val="center"/>
          </w:tcPr>
          <w:p w:rsidR="00C4620F" w:rsidRDefault="00C4620F" w:rsidP="00982A7A">
            <w:pPr>
              <w:jc w:val="center"/>
            </w:pPr>
            <w:r>
              <w:t>61 – 122</w:t>
            </w:r>
          </w:p>
        </w:tc>
        <w:tc>
          <w:tcPr>
            <w:tcW w:w="8364" w:type="dxa"/>
            <w:vMerge/>
            <w:tcBorders>
              <w:left w:val="single" w:sz="4" w:space="0" w:color="BFBFBF"/>
              <w:right w:val="single" w:sz="4" w:space="0" w:color="BFBFBF"/>
            </w:tcBorders>
            <w:shd w:val="clear" w:color="auto" w:fill="FFF3C4"/>
            <w:tcMar>
              <w:top w:w="35" w:type="dxa"/>
              <w:left w:w="70" w:type="dxa"/>
              <w:bottom w:w="25" w:type="dxa"/>
              <w:right w:w="70" w:type="dxa"/>
            </w:tcMar>
          </w:tcPr>
          <w:p w:rsidR="00C4620F" w:rsidRDefault="00C4620F"/>
        </w:tc>
      </w:tr>
      <w:tr w:rsidR="00C4620F" w:rsidTr="00982A7A">
        <w:trPr>
          <w:cantSplit/>
        </w:trPr>
        <w:tc>
          <w:tcPr>
            <w:tcW w:w="32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r>
              <w:rPr>
                <w:b/>
                <w:bCs/>
              </w:rPr>
              <w:t>6 months</w:t>
            </w:r>
          </w:p>
        </w:tc>
        <w:tc>
          <w:tcPr>
            <w:tcW w:w="1275"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pPr>
              <w:jc w:val="center"/>
            </w:pPr>
            <w:r>
              <w:t>180</w:t>
            </w:r>
          </w:p>
        </w:tc>
        <w:tc>
          <w:tcPr>
            <w:tcW w:w="2835" w:type="dxa"/>
            <w:tcBorders>
              <w:top w:val="single" w:sz="4" w:space="0" w:color="BFBFBF"/>
              <w:left w:val="single" w:sz="4" w:space="0" w:color="BFBFBF"/>
              <w:bottom w:val="single" w:sz="4" w:space="0" w:color="BFBFBF"/>
              <w:right w:val="single" w:sz="4" w:space="0" w:color="BFBFBF"/>
            </w:tcBorders>
            <w:shd w:val="clear" w:color="auto" w:fill="F3F5F9"/>
            <w:tcMar>
              <w:top w:w="35" w:type="dxa"/>
              <w:left w:w="70" w:type="dxa"/>
              <w:bottom w:w="25" w:type="dxa"/>
              <w:right w:w="70" w:type="dxa"/>
            </w:tcMar>
            <w:vAlign w:val="center"/>
          </w:tcPr>
          <w:p w:rsidR="00C4620F" w:rsidRDefault="00C4620F" w:rsidP="00982A7A">
            <w:pPr>
              <w:jc w:val="center"/>
            </w:pPr>
            <w:r>
              <w:t>123 – 272</w:t>
            </w:r>
          </w:p>
        </w:tc>
        <w:tc>
          <w:tcPr>
            <w:tcW w:w="8364" w:type="dxa"/>
            <w:vMerge/>
            <w:tcBorders>
              <w:left w:val="single" w:sz="4" w:space="0" w:color="BFBFBF"/>
              <w:right w:val="single" w:sz="4" w:space="0" w:color="BFBFBF"/>
            </w:tcBorders>
            <w:shd w:val="clear" w:color="auto" w:fill="FFF3C4"/>
            <w:tcMar>
              <w:top w:w="35" w:type="dxa"/>
              <w:left w:w="70" w:type="dxa"/>
              <w:bottom w:w="25" w:type="dxa"/>
              <w:right w:w="70" w:type="dxa"/>
            </w:tcMar>
          </w:tcPr>
          <w:p w:rsidR="00C4620F" w:rsidRDefault="00C4620F"/>
        </w:tc>
      </w:tr>
      <w:tr w:rsidR="00C4620F" w:rsidTr="00982A7A">
        <w:trPr>
          <w:cantSplit/>
        </w:trPr>
        <w:tc>
          <w:tcPr>
            <w:tcW w:w="32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r>
              <w:rPr>
                <w:b/>
                <w:bCs/>
              </w:rPr>
              <w:t>12 months</w:t>
            </w:r>
          </w:p>
        </w:tc>
        <w:tc>
          <w:tcPr>
            <w:tcW w:w="1275"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pPr>
              <w:jc w:val="center"/>
            </w:pPr>
            <w:r>
              <w:t>365</w:t>
            </w:r>
          </w:p>
        </w:tc>
        <w:tc>
          <w:tcPr>
            <w:tcW w:w="2835" w:type="dxa"/>
            <w:tcBorders>
              <w:top w:val="single" w:sz="4" w:space="0" w:color="BFBFBF"/>
              <w:left w:val="single" w:sz="4" w:space="0" w:color="BFBFBF"/>
              <w:bottom w:val="single" w:sz="4" w:space="0" w:color="BFBFBF"/>
              <w:right w:val="single" w:sz="4" w:space="0" w:color="BFBFBF"/>
            </w:tcBorders>
            <w:shd w:val="clear" w:color="auto" w:fill="F3F5F9"/>
            <w:tcMar>
              <w:top w:w="35" w:type="dxa"/>
              <w:left w:w="70" w:type="dxa"/>
              <w:bottom w:w="25" w:type="dxa"/>
              <w:right w:w="70" w:type="dxa"/>
            </w:tcMar>
            <w:vAlign w:val="center"/>
          </w:tcPr>
          <w:p w:rsidR="00C4620F" w:rsidRDefault="00C4620F" w:rsidP="00982A7A">
            <w:pPr>
              <w:jc w:val="center"/>
            </w:pPr>
            <w:r>
              <w:t>273 – 456</w:t>
            </w:r>
          </w:p>
        </w:tc>
        <w:tc>
          <w:tcPr>
            <w:tcW w:w="8364" w:type="dxa"/>
            <w:vMerge/>
            <w:tcBorders>
              <w:left w:val="single" w:sz="4" w:space="0" w:color="BFBFBF"/>
              <w:right w:val="single" w:sz="4" w:space="0" w:color="BFBFBF"/>
            </w:tcBorders>
            <w:shd w:val="clear" w:color="auto" w:fill="FFF3C4"/>
            <w:tcMar>
              <w:top w:w="35" w:type="dxa"/>
              <w:left w:w="70" w:type="dxa"/>
              <w:bottom w:w="25" w:type="dxa"/>
              <w:right w:w="70" w:type="dxa"/>
            </w:tcMar>
          </w:tcPr>
          <w:p w:rsidR="00C4620F" w:rsidRDefault="00C4620F"/>
        </w:tc>
      </w:tr>
      <w:tr w:rsidR="00C4620F" w:rsidTr="00982A7A">
        <w:trPr>
          <w:cantSplit/>
        </w:trPr>
        <w:tc>
          <w:tcPr>
            <w:tcW w:w="32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r>
              <w:rPr>
                <w:b/>
                <w:bCs/>
              </w:rPr>
              <w:t>18 months</w:t>
            </w:r>
          </w:p>
        </w:tc>
        <w:tc>
          <w:tcPr>
            <w:tcW w:w="1275"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pPr>
              <w:jc w:val="center"/>
            </w:pPr>
            <w:r>
              <w:t>545</w:t>
            </w:r>
          </w:p>
        </w:tc>
        <w:tc>
          <w:tcPr>
            <w:tcW w:w="2835" w:type="dxa"/>
            <w:tcBorders>
              <w:top w:val="single" w:sz="4" w:space="0" w:color="BFBFBF"/>
              <w:left w:val="single" w:sz="4" w:space="0" w:color="BFBFBF"/>
              <w:bottom w:val="single" w:sz="4" w:space="0" w:color="BFBFBF"/>
              <w:right w:val="single" w:sz="4" w:space="0" w:color="BFBFBF"/>
            </w:tcBorders>
            <w:shd w:val="clear" w:color="auto" w:fill="F3F5F9"/>
            <w:tcMar>
              <w:top w:w="35" w:type="dxa"/>
              <w:left w:w="70" w:type="dxa"/>
              <w:bottom w:w="25" w:type="dxa"/>
              <w:right w:w="70" w:type="dxa"/>
            </w:tcMar>
            <w:vAlign w:val="center"/>
          </w:tcPr>
          <w:p w:rsidR="00C4620F" w:rsidRDefault="00C4620F" w:rsidP="00982A7A">
            <w:pPr>
              <w:jc w:val="center"/>
            </w:pPr>
            <w:r>
              <w:t>457</w:t>
            </w:r>
            <w:r w:rsidR="00982A7A">
              <w:t xml:space="preserve"> – </w:t>
            </w:r>
            <w:r>
              <w:t>639</w:t>
            </w:r>
          </w:p>
        </w:tc>
        <w:tc>
          <w:tcPr>
            <w:tcW w:w="8364" w:type="dxa"/>
            <w:vMerge/>
            <w:tcBorders>
              <w:left w:val="single" w:sz="4" w:space="0" w:color="BFBFBF"/>
              <w:right w:val="single" w:sz="4" w:space="0" w:color="BFBFBF"/>
            </w:tcBorders>
            <w:shd w:val="clear" w:color="auto" w:fill="FFF3C4"/>
            <w:tcMar>
              <w:top w:w="35" w:type="dxa"/>
              <w:left w:w="70" w:type="dxa"/>
              <w:bottom w:w="25" w:type="dxa"/>
              <w:right w:w="70" w:type="dxa"/>
            </w:tcMar>
          </w:tcPr>
          <w:p w:rsidR="00C4620F" w:rsidRDefault="00C4620F"/>
        </w:tc>
      </w:tr>
      <w:tr w:rsidR="00C4620F" w:rsidTr="00982A7A">
        <w:trPr>
          <w:cantSplit/>
        </w:trPr>
        <w:tc>
          <w:tcPr>
            <w:tcW w:w="32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r>
              <w:rPr>
                <w:b/>
                <w:bCs/>
              </w:rPr>
              <w:t>24 months</w:t>
            </w:r>
          </w:p>
        </w:tc>
        <w:tc>
          <w:tcPr>
            <w:tcW w:w="1275"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pPr>
              <w:jc w:val="center"/>
            </w:pPr>
            <w:r>
              <w:t>730</w:t>
            </w:r>
          </w:p>
        </w:tc>
        <w:tc>
          <w:tcPr>
            <w:tcW w:w="2835" w:type="dxa"/>
            <w:tcBorders>
              <w:top w:val="single" w:sz="4" w:space="0" w:color="BFBFBF"/>
              <w:left w:val="single" w:sz="4" w:space="0" w:color="BFBFBF"/>
              <w:bottom w:val="single" w:sz="4" w:space="0" w:color="BFBFBF"/>
              <w:right w:val="single" w:sz="4" w:space="0" w:color="BFBFBF"/>
            </w:tcBorders>
            <w:shd w:val="clear" w:color="auto" w:fill="F3F5F9"/>
            <w:tcMar>
              <w:top w:w="35" w:type="dxa"/>
              <w:left w:w="70" w:type="dxa"/>
              <w:bottom w:w="25" w:type="dxa"/>
              <w:right w:w="70" w:type="dxa"/>
            </w:tcMar>
            <w:vAlign w:val="center"/>
          </w:tcPr>
          <w:p w:rsidR="00C4620F" w:rsidRDefault="00982A7A" w:rsidP="00982A7A">
            <w:pPr>
              <w:jc w:val="center"/>
            </w:pPr>
            <w:r>
              <w:t>640 – 913</w:t>
            </w:r>
          </w:p>
        </w:tc>
        <w:tc>
          <w:tcPr>
            <w:tcW w:w="8364" w:type="dxa"/>
            <w:vMerge/>
            <w:tcBorders>
              <w:left w:val="single" w:sz="4" w:space="0" w:color="BFBFBF"/>
              <w:right w:val="single" w:sz="4" w:space="0" w:color="BFBFBF"/>
            </w:tcBorders>
            <w:shd w:val="clear" w:color="auto" w:fill="FFF3C4"/>
            <w:tcMar>
              <w:top w:w="35" w:type="dxa"/>
              <w:left w:w="70" w:type="dxa"/>
              <w:bottom w:w="25" w:type="dxa"/>
              <w:right w:w="70" w:type="dxa"/>
            </w:tcMar>
          </w:tcPr>
          <w:p w:rsidR="00C4620F" w:rsidRDefault="00C4620F"/>
        </w:tc>
      </w:tr>
      <w:tr w:rsidR="00C4620F" w:rsidTr="00982A7A">
        <w:trPr>
          <w:cantSplit/>
        </w:trPr>
        <w:tc>
          <w:tcPr>
            <w:tcW w:w="32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r>
              <w:rPr>
                <w:b/>
                <w:bCs/>
              </w:rPr>
              <w:t>36 months</w:t>
            </w:r>
          </w:p>
        </w:tc>
        <w:tc>
          <w:tcPr>
            <w:tcW w:w="1275"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C4620F" w:rsidRDefault="00C4620F">
            <w:pPr>
              <w:jc w:val="center"/>
            </w:pPr>
            <w:r>
              <w:t>1095</w:t>
            </w:r>
          </w:p>
        </w:tc>
        <w:tc>
          <w:tcPr>
            <w:tcW w:w="2835" w:type="dxa"/>
            <w:tcBorders>
              <w:top w:val="single" w:sz="4" w:space="0" w:color="BFBFBF"/>
              <w:left w:val="single" w:sz="4" w:space="0" w:color="BFBFBF"/>
              <w:bottom w:val="single" w:sz="4" w:space="0" w:color="BFBFBF"/>
              <w:right w:val="single" w:sz="4" w:space="0" w:color="BFBFBF"/>
            </w:tcBorders>
            <w:shd w:val="clear" w:color="auto" w:fill="F3F5F9"/>
            <w:tcMar>
              <w:top w:w="35" w:type="dxa"/>
              <w:left w:w="70" w:type="dxa"/>
              <w:bottom w:w="25" w:type="dxa"/>
              <w:right w:w="70" w:type="dxa"/>
            </w:tcMar>
            <w:vAlign w:val="center"/>
          </w:tcPr>
          <w:p w:rsidR="00C4620F" w:rsidRDefault="00982A7A" w:rsidP="00982A7A">
            <w:pPr>
              <w:jc w:val="center"/>
            </w:pPr>
            <w:r>
              <w:t>+/- 181 days</w:t>
            </w:r>
          </w:p>
        </w:tc>
        <w:tc>
          <w:tcPr>
            <w:tcW w:w="8364" w:type="dxa"/>
            <w:vMerge/>
            <w:tcBorders>
              <w:left w:val="single" w:sz="4" w:space="0" w:color="BFBFBF"/>
              <w:right w:val="single" w:sz="4" w:space="0" w:color="BFBFBF"/>
            </w:tcBorders>
            <w:shd w:val="clear" w:color="auto" w:fill="FFF3C4"/>
            <w:tcMar>
              <w:top w:w="35" w:type="dxa"/>
              <w:left w:w="70" w:type="dxa"/>
              <w:bottom w:w="25" w:type="dxa"/>
              <w:right w:w="70" w:type="dxa"/>
            </w:tcMar>
          </w:tcPr>
          <w:p w:rsidR="00C4620F" w:rsidRDefault="00C4620F"/>
        </w:tc>
      </w:tr>
      <w:tr w:rsidR="00982A7A" w:rsidTr="00982A7A">
        <w:trPr>
          <w:cantSplit/>
        </w:trPr>
        <w:tc>
          <w:tcPr>
            <w:tcW w:w="32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sidP="00982A7A">
            <w:pPr>
              <w:rPr>
                <w:b/>
                <w:bCs/>
              </w:rPr>
            </w:pPr>
            <w:r>
              <w:rPr>
                <w:b/>
                <w:bCs/>
              </w:rPr>
              <w:t>Once visit every following 12 months (48, 60, 72, … etc)</w:t>
            </w:r>
          </w:p>
        </w:tc>
        <w:tc>
          <w:tcPr>
            <w:tcW w:w="1275"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sidP="00982A7A">
            <w:pPr>
              <w:jc w:val="center"/>
            </w:pPr>
          </w:p>
        </w:tc>
        <w:tc>
          <w:tcPr>
            <w:tcW w:w="2835" w:type="dxa"/>
            <w:tcBorders>
              <w:top w:val="single" w:sz="4" w:space="0" w:color="BFBFBF"/>
              <w:left w:val="single" w:sz="4" w:space="0" w:color="BFBFBF"/>
              <w:bottom w:val="single" w:sz="4" w:space="0" w:color="BFBFBF"/>
              <w:right w:val="single" w:sz="4" w:space="0" w:color="BFBFBF"/>
            </w:tcBorders>
            <w:shd w:val="clear" w:color="auto" w:fill="F3F5F9"/>
            <w:tcMar>
              <w:top w:w="35" w:type="dxa"/>
              <w:left w:w="70" w:type="dxa"/>
              <w:bottom w:w="25" w:type="dxa"/>
              <w:right w:w="70" w:type="dxa"/>
            </w:tcMar>
            <w:vAlign w:val="center"/>
          </w:tcPr>
          <w:p w:rsidR="00982A7A" w:rsidRDefault="00982A7A" w:rsidP="00982A7A">
            <w:pPr>
              <w:jc w:val="center"/>
            </w:pPr>
            <w:r>
              <w:t>+/- 181 days</w:t>
            </w:r>
          </w:p>
        </w:tc>
        <w:tc>
          <w:tcPr>
            <w:tcW w:w="8364" w:type="dxa"/>
            <w:vMerge/>
            <w:tcBorders>
              <w:left w:val="single" w:sz="4" w:space="0" w:color="BFBFBF"/>
              <w:right w:val="single" w:sz="4" w:space="0" w:color="BFBFBF"/>
            </w:tcBorders>
            <w:shd w:val="clear" w:color="auto" w:fill="FFF3C4"/>
            <w:tcMar>
              <w:top w:w="35" w:type="dxa"/>
              <w:left w:w="70" w:type="dxa"/>
              <w:bottom w:w="25" w:type="dxa"/>
              <w:right w:w="70" w:type="dxa"/>
            </w:tcMar>
          </w:tcPr>
          <w:p w:rsidR="00982A7A" w:rsidRDefault="00982A7A" w:rsidP="00982A7A"/>
        </w:tc>
      </w:tr>
      <w:tr w:rsidR="00982A7A" w:rsidTr="00982A7A">
        <w:trPr>
          <w:cantSplit/>
        </w:trPr>
        <w:tc>
          <w:tcPr>
            <w:tcW w:w="32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sidP="00982A7A">
            <w:pPr>
              <w:rPr>
                <w:b/>
                <w:bCs/>
              </w:rPr>
            </w:pPr>
            <w:r>
              <w:rPr>
                <w:b/>
                <w:bCs/>
              </w:rPr>
              <w:t>Last follow up (the last documented follow up for each patient</w:t>
            </w:r>
          </w:p>
        </w:tc>
        <w:tc>
          <w:tcPr>
            <w:tcW w:w="1275"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sidP="00982A7A">
            <w:pPr>
              <w:jc w:val="center"/>
            </w:pPr>
          </w:p>
        </w:tc>
        <w:tc>
          <w:tcPr>
            <w:tcW w:w="2835" w:type="dxa"/>
            <w:tcBorders>
              <w:top w:val="single" w:sz="4" w:space="0" w:color="BFBFBF"/>
              <w:left w:val="single" w:sz="4" w:space="0" w:color="BFBFBF"/>
              <w:bottom w:val="single" w:sz="4" w:space="0" w:color="BFBFBF"/>
              <w:right w:val="single" w:sz="4" w:space="0" w:color="BFBFBF"/>
            </w:tcBorders>
            <w:shd w:val="clear" w:color="auto" w:fill="F3F5F9"/>
            <w:tcMar>
              <w:top w:w="35" w:type="dxa"/>
              <w:left w:w="70" w:type="dxa"/>
              <w:bottom w:w="25" w:type="dxa"/>
              <w:right w:w="70" w:type="dxa"/>
            </w:tcMar>
            <w:vAlign w:val="center"/>
          </w:tcPr>
          <w:p w:rsidR="00982A7A" w:rsidRDefault="00982A7A" w:rsidP="00982A7A">
            <w:pPr>
              <w:jc w:val="center"/>
            </w:pPr>
          </w:p>
        </w:tc>
        <w:tc>
          <w:tcPr>
            <w:tcW w:w="8364" w:type="dxa"/>
            <w:vMerge/>
            <w:tcBorders>
              <w:left w:val="single" w:sz="4" w:space="0" w:color="BFBFBF"/>
              <w:bottom w:val="single" w:sz="4" w:space="0" w:color="BFBFBF"/>
              <w:right w:val="single" w:sz="4" w:space="0" w:color="BFBFBF"/>
            </w:tcBorders>
            <w:shd w:val="clear" w:color="auto" w:fill="FFF3C4"/>
            <w:tcMar>
              <w:top w:w="35" w:type="dxa"/>
              <w:left w:w="70" w:type="dxa"/>
              <w:bottom w:w="25" w:type="dxa"/>
              <w:right w:w="70" w:type="dxa"/>
            </w:tcMar>
          </w:tcPr>
          <w:p w:rsidR="00982A7A" w:rsidRDefault="00982A7A" w:rsidP="00982A7A"/>
        </w:tc>
      </w:tr>
    </w:tbl>
    <w:p w:rsidR="00C4620F" w:rsidRDefault="00C4620F">
      <w:pPr>
        <w:spacing w:before="30" w:after="40"/>
      </w:pPr>
    </w:p>
    <w:p w:rsidR="00D025A6" w:rsidRDefault="00000000">
      <w:pPr>
        <w:keepNext/>
        <w:spacing w:before="90" w:after="40"/>
      </w:pPr>
      <w:r>
        <w:rPr>
          <w:b/>
          <w:bCs/>
          <w:color w:val="1F3864"/>
          <w:sz w:val="20"/>
          <w:szCs w:val="20"/>
        </w:rPr>
        <w:t>1.</w:t>
      </w:r>
      <w:r w:rsidR="00C4620F">
        <w:rPr>
          <w:b/>
          <w:bCs/>
          <w:color w:val="1F3864"/>
          <w:sz w:val="20"/>
          <w:szCs w:val="20"/>
        </w:rPr>
        <w:t>2</w:t>
      </w:r>
      <w:r>
        <w:rPr>
          <w:b/>
          <w:bCs/>
          <w:color w:val="1F3864"/>
          <w:sz w:val="20"/>
          <w:szCs w:val="20"/>
        </w:rPr>
        <w:t xml:space="preserve"> Availability by interval (</w:t>
      </w:r>
      <w:r w:rsidR="00982A7A">
        <w:rPr>
          <w:b/>
          <w:bCs/>
          <w:color w:val="1F3864"/>
          <w:sz w:val="20"/>
          <w:szCs w:val="20"/>
        </w:rPr>
        <w:t>filled as an output by Claude</w:t>
      </w:r>
      <w:r>
        <w:rPr>
          <w:b/>
          <w:bCs/>
          <w:color w:val="1F3864"/>
          <w:sz w:val="20"/>
          <w:szCs w:val="20"/>
        </w:rPr>
        <w:t>)</w:t>
      </w:r>
    </w:p>
    <w:tbl>
      <w:tblPr>
        <w:tblW w:w="15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64"/>
        <w:gridCol w:w="1843"/>
        <w:gridCol w:w="1985"/>
        <w:gridCol w:w="1559"/>
        <w:gridCol w:w="1134"/>
        <w:gridCol w:w="1559"/>
        <w:gridCol w:w="3686"/>
      </w:tblGrid>
      <w:tr w:rsidR="00982A7A" w:rsidTr="00982A7A">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982A7A" w:rsidRDefault="00982A7A">
            <w:r>
              <w:rPr>
                <w:b/>
                <w:bCs/>
                <w:color w:val="FFFFFF"/>
              </w:rPr>
              <w:t>Interval</w:t>
            </w:r>
          </w:p>
        </w:tc>
        <w:tc>
          <w:tcPr>
            <w:tcW w:w="2064"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982A7A" w:rsidRDefault="00982A7A">
            <w:pPr>
              <w:jc w:val="center"/>
            </w:pPr>
            <w:r>
              <w:rPr>
                <w:b/>
                <w:bCs/>
                <w:color w:val="FFFFFF"/>
              </w:rPr>
              <w:t>Eyes under follow-up (n)</w:t>
            </w:r>
          </w:p>
        </w:tc>
        <w:tc>
          <w:tcPr>
            <w:tcW w:w="1843"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982A7A" w:rsidRDefault="00982A7A">
            <w:pPr>
              <w:jc w:val="center"/>
            </w:pPr>
            <w:r>
              <w:rPr>
                <w:b/>
                <w:bCs/>
                <w:color w:val="FFFFFF"/>
              </w:rPr>
              <w:t>Eyes with BCVA (n)</w:t>
            </w:r>
          </w:p>
        </w:tc>
        <w:tc>
          <w:tcPr>
            <w:tcW w:w="1985"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982A7A" w:rsidRDefault="00982A7A">
            <w:pPr>
              <w:jc w:val="center"/>
            </w:pPr>
            <w:r>
              <w:rPr>
                <w:b/>
                <w:bCs/>
                <w:color w:val="FFFFFF"/>
              </w:rPr>
              <w:t>Eyes with IOP (n)</w:t>
            </w:r>
          </w:p>
        </w:tc>
        <w:tc>
          <w:tcPr>
            <w:tcW w:w="1559"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982A7A" w:rsidRDefault="00982A7A">
            <w:pPr>
              <w:jc w:val="center"/>
            </w:pPr>
            <w:r>
              <w:rPr>
                <w:b/>
                <w:bCs/>
                <w:color w:val="FFFFFF"/>
              </w:rPr>
              <w:t>Eyes with meds (n)</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982A7A" w:rsidRDefault="00982A7A">
            <w:pPr>
              <w:jc w:val="center"/>
            </w:pPr>
            <w:r>
              <w:rPr>
                <w:b/>
                <w:bCs/>
                <w:color w:val="FFFFFF"/>
              </w:rPr>
              <w:t>Eyes with all required (n)</w:t>
            </w:r>
          </w:p>
        </w:tc>
        <w:tc>
          <w:tcPr>
            <w:tcW w:w="1559"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982A7A" w:rsidRDefault="00982A7A">
            <w:pPr>
              <w:jc w:val="center"/>
            </w:pPr>
            <w:r>
              <w:rPr>
                <w:b/>
                <w:bCs/>
                <w:color w:val="FFFFFF"/>
              </w:rPr>
              <w:t>% of cohort (all required)</w:t>
            </w:r>
          </w:p>
        </w:tc>
        <w:tc>
          <w:tcPr>
            <w:tcW w:w="3686"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982A7A" w:rsidRDefault="00982A7A">
            <w:pPr>
              <w:jc w:val="center"/>
            </w:pPr>
            <w:r>
              <w:rPr>
                <w:b/>
                <w:bCs/>
                <w:color w:val="FFFFFF"/>
              </w:rPr>
              <w:t>Patients (n)</w:t>
            </w:r>
          </w:p>
        </w:tc>
      </w:tr>
      <w:tr w:rsidR="00982A7A" w:rsidTr="00982A7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
              <w:rPr>
                <w:b/>
                <w:bCs/>
              </w:rPr>
              <w:t>Cohort (all eyes)</w:t>
            </w:r>
          </w:p>
        </w:tc>
        <w:tc>
          <w:tcPr>
            <w:tcW w:w="206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84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98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13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rsidP="00982A7A"/>
        </w:tc>
        <w:tc>
          <w:tcPr>
            <w:tcW w:w="36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r>
      <w:tr w:rsidR="00982A7A" w:rsidTr="00982A7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
              <w:rPr>
                <w:b/>
                <w:bCs/>
              </w:rPr>
              <w:t>Baseline (pre-op)</w:t>
            </w:r>
          </w:p>
        </w:tc>
        <w:tc>
          <w:tcPr>
            <w:tcW w:w="206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84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98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13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36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r>
      <w:tr w:rsidR="00982A7A" w:rsidTr="00982A7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
              <w:rPr>
                <w:b/>
                <w:bCs/>
              </w:rPr>
              <w:t>Day 1</w:t>
            </w:r>
          </w:p>
        </w:tc>
        <w:tc>
          <w:tcPr>
            <w:tcW w:w="206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84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98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13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36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r>
      <w:tr w:rsidR="00982A7A" w:rsidTr="00982A7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
              <w:rPr>
                <w:b/>
                <w:bCs/>
              </w:rPr>
              <w:t>1 month</w:t>
            </w:r>
          </w:p>
        </w:tc>
        <w:tc>
          <w:tcPr>
            <w:tcW w:w="206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84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98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13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36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r>
      <w:tr w:rsidR="00982A7A" w:rsidTr="00982A7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
              <w:rPr>
                <w:b/>
                <w:bCs/>
              </w:rPr>
              <w:t>3 months</w:t>
            </w:r>
          </w:p>
        </w:tc>
        <w:tc>
          <w:tcPr>
            <w:tcW w:w="206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84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98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13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36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r>
      <w:tr w:rsidR="00982A7A" w:rsidTr="00982A7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
              <w:rPr>
                <w:b/>
                <w:bCs/>
              </w:rPr>
              <w:t>6 months</w:t>
            </w:r>
          </w:p>
        </w:tc>
        <w:tc>
          <w:tcPr>
            <w:tcW w:w="206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84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98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13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36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r>
      <w:tr w:rsidR="00982A7A" w:rsidTr="00982A7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
              <w:rPr>
                <w:b/>
                <w:bCs/>
              </w:rPr>
              <w:t>12 months</w:t>
            </w:r>
          </w:p>
        </w:tc>
        <w:tc>
          <w:tcPr>
            <w:tcW w:w="206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84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98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13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36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r>
      <w:tr w:rsidR="00982A7A" w:rsidTr="00982A7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
              <w:rPr>
                <w:b/>
                <w:bCs/>
              </w:rPr>
              <w:t>18 months</w:t>
            </w:r>
          </w:p>
        </w:tc>
        <w:tc>
          <w:tcPr>
            <w:tcW w:w="206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84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98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13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36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r>
      <w:tr w:rsidR="00982A7A" w:rsidTr="00982A7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
              <w:rPr>
                <w:b/>
                <w:bCs/>
              </w:rPr>
              <w:t>24 months</w:t>
            </w:r>
          </w:p>
        </w:tc>
        <w:tc>
          <w:tcPr>
            <w:tcW w:w="206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84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98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13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36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r>
      <w:tr w:rsidR="00982A7A" w:rsidTr="00982A7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
              <w:rPr>
                <w:b/>
                <w:bCs/>
              </w:rPr>
              <w:t>36 months</w:t>
            </w:r>
          </w:p>
        </w:tc>
        <w:tc>
          <w:tcPr>
            <w:tcW w:w="206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84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98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13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c>
          <w:tcPr>
            <w:tcW w:w="36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pPr>
              <w:jc w:val="center"/>
            </w:pPr>
          </w:p>
        </w:tc>
      </w:tr>
      <w:tr w:rsidR="00B64D39" w:rsidTr="00982A7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B64D39" w:rsidRDefault="00B64D39" w:rsidP="00B64D39">
            <w:pPr>
              <w:rPr>
                <w:b/>
                <w:bCs/>
              </w:rPr>
            </w:pPr>
            <w:r>
              <w:rPr>
                <w:b/>
                <w:bCs/>
              </w:rPr>
              <w:t>Once visit every following 12 months (48, 60, 72, … etc)</w:t>
            </w:r>
          </w:p>
        </w:tc>
        <w:tc>
          <w:tcPr>
            <w:tcW w:w="206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c>
          <w:tcPr>
            <w:tcW w:w="184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c>
          <w:tcPr>
            <w:tcW w:w="198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c>
          <w:tcPr>
            <w:tcW w:w="113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c>
          <w:tcPr>
            <w:tcW w:w="36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r>
      <w:tr w:rsidR="00B64D39" w:rsidTr="00982A7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B64D39" w:rsidRDefault="00B64D39" w:rsidP="00B64D39">
            <w:pPr>
              <w:rPr>
                <w:b/>
                <w:bCs/>
              </w:rPr>
            </w:pPr>
            <w:r>
              <w:rPr>
                <w:b/>
                <w:bCs/>
              </w:rPr>
              <w:t>Last follow up (the last documented follow up for each patient</w:t>
            </w:r>
          </w:p>
        </w:tc>
        <w:tc>
          <w:tcPr>
            <w:tcW w:w="206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c>
          <w:tcPr>
            <w:tcW w:w="184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c>
          <w:tcPr>
            <w:tcW w:w="198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c>
          <w:tcPr>
            <w:tcW w:w="1134"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c>
          <w:tcPr>
            <w:tcW w:w="155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c>
          <w:tcPr>
            <w:tcW w:w="36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B64D39" w:rsidRDefault="00B64D39" w:rsidP="00B64D39">
            <w:pPr>
              <w:jc w:val="center"/>
            </w:pPr>
          </w:p>
        </w:tc>
      </w:tr>
    </w:tbl>
    <w:p w:rsidR="00982A7A" w:rsidRDefault="00982A7A">
      <w:pPr>
        <w:keepNext/>
        <w:spacing w:before="90" w:after="40"/>
        <w:rPr>
          <w:i/>
          <w:iCs/>
          <w:color w:val="595959"/>
        </w:rPr>
      </w:pPr>
    </w:p>
    <w:p w:rsidR="00D025A6" w:rsidRDefault="00000000">
      <w:pPr>
        <w:keepNext/>
        <w:spacing w:before="90" w:after="40"/>
      </w:pPr>
      <w:r>
        <w:rPr>
          <w:b/>
          <w:bCs/>
          <w:color w:val="1F3864"/>
          <w:sz w:val="20"/>
          <w:szCs w:val="20"/>
        </w:rPr>
        <w:t>1.</w:t>
      </w:r>
      <w:r w:rsidR="00982A7A">
        <w:rPr>
          <w:b/>
          <w:bCs/>
          <w:color w:val="1F3864"/>
          <w:sz w:val="20"/>
          <w:szCs w:val="20"/>
        </w:rPr>
        <w:t>3</w:t>
      </w:r>
      <w:r>
        <w:rPr>
          <w:b/>
          <w:bCs/>
          <w:color w:val="1F3864"/>
          <w:sz w:val="20"/>
          <w:szCs w:val="20"/>
        </w:rPr>
        <w:t xml:space="preserve"> Follow-up rules for inclusion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2500"/>
        <w:gridCol w:w="1700"/>
      </w:tblGrid>
      <w:tr w:rsidR="00982A7A" w:rsidTr="00982A7A">
        <w:trPr>
          <w:cantSplit/>
          <w:tblHeader/>
        </w:trPr>
        <w:tc>
          <w:tcPr>
            <w:tcW w:w="5300"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982A7A" w:rsidRDefault="00982A7A">
            <w:r>
              <w:rPr>
                <w:b/>
                <w:bCs/>
                <w:color w:val="FFFFFF"/>
              </w:rPr>
              <w:t>Follow-up rule for including an eye or patient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982A7A" w:rsidRDefault="00982A7A">
            <w:r>
              <w:rPr>
                <w:b/>
                <w:bCs/>
                <w:color w:val="FFFFFF"/>
              </w:rPr>
              <w:t>Threshold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982A7A" w:rsidRDefault="00982A7A">
            <w:r>
              <w:rPr>
                <w:b/>
                <w:bCs/>
                <w:color w:val="FFFFFF"/>
              </w:rPr>
              <w:t>Eyes excluded (n)</w:t>
            </w:r>
          </w:p>
        </w:tc>
      </w:tr>
      <w:tr w:rsidR="00982A7A" w:rsidTr="00982A7A">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
              <w:rPr>
                <w:b/>
                <w:bCs/>
              </w:rPr>
              <w:t>Minimum follow-up after surgery</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r>
              <w:t>6 months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tc>
      </w:tr>
      <w:tr w:rsidR="00982A7A" w:rsidTr="00982A7A">
        <w:trPr>
          <w:cantSplit/>
        </w:trPr>
        <w:tc>
          <w:tcPr>
            <w:tcW w:w="53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982A7A" w:rsidRDefault="00982A7A">
            <w:r>
              <w:rPr>
                <w:b/>
                <w:bCs/>
              </w:rPr>
              <w:t>Values after failure or after a secondary glaucoma surgery</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r>
              <w:t>exclude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tcPr>
          <w:p w:rsidR="00982A7A" w:rsidRDefault="00982A7A"/>
        </w:tc>
      </w:tr>
    </w:tbl>
    <w:p w:rsidR="00D025A6" w:rsidRDefault="00D025A6">
      <w:pPr>
        <w:pageBreakBefore/>
      </w:pPr>
    </w:p>
    <w:p w:rsidR="00D025A6" w:rsidRDefault="00000000">
      <w:pPr>
        <w:keepNext/>
        <w:shd w:val="clear" w:color="auto" w:fill="1F3864"/>
        <w:spacing w:after="80"/>
      </w:pPr>
      <w:r>
        <w:rPr>
          <w:b/>
          <w:bCs/>
          <w:color w:val="FFFFFF"/>
          <w:sz w:val="24"/>
          <w:szCs w:val="24"/>
        </w:rPr>
        <w:t>PART 2   Survival analysis inputs</w:t>
      </w:r>
    </w:p>
    <w:p w:rsidR="00D025A6" w:rsidRDefault="00000000">
      <w:pPr>
        <w:keepNext/>
        <w:spacing w:before="90" w:after="40"/>
      </w:pPr>
      <w:r>
        <w:rPr>
          <w:b/>
          <w:bCs/>
          <w:color w:val="1F3864"/>
          <w:sz w:val="20"/>
          <w:szCs w:val="20"/>
        </w:rPr>
        <w:t>2.1 Study setup</w:t>
      </w:r>
    </w:p>
    <w:tbl>
      <w:tblPr>
        <w:tblW w:w="15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2430"/>
      </w:tblGrid>
      <w:tr w:rsidR="008F7A33" w:rsidTr="008F7A33">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8F7A33" w:rsidRDefault="008F7A33">
            <w:r>
              <w:rPr>
                <w:b/>
                <w:bCs/>
                <w:color w:val="FFFFFF"/>
              </w:rPr>
              <w:t>Setting</w:t>
            </w:r>
          </w:p>
        </w:tc>
        <w:tc>
          <w:tcPr>
            <w:tcW w:w="12430"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8F7A33" w:rsidRDefault="008F7A33">
            <w:r>
              <w:rPr>
                <w:b/>
                <w:bCs/>
                <w:color w:val="FFFFFF"/>
              </w:rPr>
              <w:t>Note</w:t>
            </w:r>
          </w:p>
        </w:tc>
      </w:tr>
      <w:tr w:rsidR="008F7A33" w:rsidTr="008F7A33">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8F7A33" w:rsidRDefault="008F7A33" w:rsidP="008F7A33">
            <w:pPr>
              <w:rPr>
                <w:b/>
                <w:bCs/>
              </w:rPr>
            </w:pPr>
            <w:r>
              <w:rPr>
                <w:b/>
                <w:bCs/>
              </w:rPr>
              <w:t>Time origin</w:t>
            </w:r>
          </w:p>
        </w:tc>
        <w:tc>
          <w:tcPr>
            <w:tcW w:w="12430"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tcPr>
          <w:p w:rsidR="008F7A33" w:rsidRDefault="008F7A33" w:rsidP="008F7A33">
            <w:r>
              <w:t>Starting point; index deep sclerectomy surgery (date)</w:t>
            </w:r>
          </w:p>
        </w:tc>
      </w:tr>
      <w:tr w:rsidR="008F7A33" w:rsidTr="008F7A33">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8F7A33" w:rsidRDefault="008F7A33" w:rsidP="008F7A33">
            <w:r>
              <w:rPr>
                <w:b/>
                <w:bCs/>
              </w:rPr>
              <w:t>Time scale</w:t>
            </w:r>
          </w:p>
        </w:tc>
        <w:tc>
          <w:tcPr>
            <w:tcW w:w="12430"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tcPr>
          <w:p w:rsidR="008F7A33" w:rsidRDefault="008F7A33" w:rsidP="008F7A33">
            <w:r>
              <w:t>Unit of time is months calculated as [months = days ÷ 30.4375]</w:t>
            </w:r>
          </w:p>
        </w:tc>
      </w:tr>
      <w:tr w:rsidR="008F7A33" w:rsidTr="008F7A33">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8F7A33" w:rsidRDefault="008F7A33" w:rsidP="008F7A33">
            <w:r>
              <w:rPr>
                <w:b/>
                <w:bCs/>
              </w:rPr>
              <w:t>Unit of analysis</w:t>
            </w:r>
          </w:p>
        </w:tc>
        <w:tc>
          <w:tcPr>
            <w:tcW w:w="12430"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tcPr>
          <w:p w:rsidR="008F7A33" w:rsidRDefault="008F7A33" w:rsidP="008F7A33">
            <w:r>
              <w:t>[eye]</w:t>
            </w:r>
          </w:p>
        </w:tc>
      </w:tr>
      <w:tr w:rsidR="008F7A33" w:rsidTr="008F7A33">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8F7A33" w:rsidRDefault="008F7A33" w:rsidP="008F7A33">
            <w:r>
              <w:rPr>
                <w:b/>
                <w:bCs/>
              </w:rPr>
              <w:t>Event and success version</w:t>
            </w:r>
          </w:p>
        </w:tc>
        <w:tc>
          <w:tcPr>
            <w:tcW w:w="12430"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tcPr>
          <w:p w:rsidR="008F7A33" w:rsidRDefault="008F7A33" w:rsidP="008F7A33">
            <w:r>
              <w:t>Event ‘failure’ is defined as IOP outside of the range 5-21 mmHg in two consecutive postoperative visits</w:t>
            </w:r>
          </w:p>
        </w:tc>
      </w:tr>
      <w:tr w:rsidR="008F7A33" w:rsidTr="008F7A33">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8F7A33" w:rsidRDefault="008F7A33" w:rsidP="008F7A33">
            <w:r>
              <w:rPr>
                <w:b/>
                <w:bCs/>
              </w:rPr>
              <w:t>Censoring and data cut-off</w:t>
            </w:r>
          </w:p>
        </w:tc>
        <w:tc>
          <w:tcPr>
            <w:tcW w:w="12430"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tcPr>
          <w:p w:rsidR="008F7A33" w:rsidRDefault="008F7A33" w:rsidP="008F7A33">
            <w:r>
              <w:t>End of follow-up = [last valid visit with IOP and VA]</w:t>
            </w:r>
          </w:p>
        </w:tc>
      </w:tr>
      <w:tr w:rsidR="008F7A33" w:rsidTr="008F7A33">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tcPr>
          <w:p w:rsidR="008F7A33" w:rsidRDefault="008F7A33" w:rsidP="008F7A33">
            <w:r>
              <w:rPr>
                <w:b/>
                <w:bCs/>
              </w:rPr>
              <w:t>Loss to follow-up</w:t>
            </w:r>
          </w:p>
        </w:tc>
        <w:tc>
          <w:tcPr>
            <w:tcW w:w="12430"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tcPr>
          <w:p w:rsidR="008F7A33" w:rsidRDefault="008F7A33" w:rsidP="008F7A33">
            <w:r>
              <w:t>For eyes with a gap of more than 18 months between visits censor at the last visit before the gap</w:t>
            </w:r>
          </w:p>
        </w:tc>
      </w:tr>
    </w:tbl>
    <w:p w:rsidR="00D025A6" w:rsidRDefault="00000000">
      <w:pPr>
        <w:keepNext/>
        <w:spacing w:before="90" w:after="40"/>
      </w:pPr>
      <w:r>
        <w:rPr>
          <w:b/>
          <w:bCs/>
          <w:color w:val="1F3864"/>
          <w:sz w:val="20"/>
          <w:szCs w:val="20"/>
        </w:rPr>
        <w:t>2.2 Failure criteria and how to flag them</w:t>
      </w:r>
    </w:p>
    <w:tbl>
      <w:tblPr>
        <w:tblW w:w="15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56"/>
        <w:gridCol w:w="4110"/>
        <w:gridCol w:w="4820"/>
        <w:gridCol w:w="1134"/>
        <w:gridCol w:w="2410"/>
      </w:tblGrid>
      <w:tr w:rsidR="008F7A33" w:rsidTr="008F7A33">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8F7A33" w:rsidRDefault="008F7A33" w:rsidP="008F7A33">
            <w:pPr>
              <w:jc w:val="center"/>
            </w:pPr>
            <w:r>
              <w:rPr>
                <w:b/>
                <w:bCs/>
                <w:color w:val="FFFFFF"/>
              </w:rPr>
              <w:t>Code</w:t>
            </w:r>
          </w:p>
        </w:tc>
        <w:tc>
          <w:tcPr>
            <w:tcW w:w="2656"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8F7A33" w:rsidRDefault="008F7A33" w:rsidP="008F7A33">
            <w:pPr>
              <w:jc w:val="center"/>
            </w:pPr>
            <w:r>
              <w:rPr>
                <w:b/>
                <w:bCs/>
                <w:color w:val="FFFFFF"/>
              </w:rPr>
              <w:t>Criterion (Data Collection Sheet)</w:t>
            </w:r>
          </w:p>
        </w:tc>
        <w:tc>
          <w:tcPr>
            <w:tcW w:w="4110"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8F7A33" w:rsidRDefault="008F7A33" w:rsidP="008F7A33">
            <w:pPr>
              <w:jc w:val="center"/>
            </w:pPr>
            <w:r>
              <w:rPr>
                <w:b/>
                <w:bCs/>
                <w:color w:val="FFFFFF"/>
              </w:rPr>
              <w:t>Note</w:t>
            </w:r>
          </w:p>
        </w:tc>
        <w:tc>
          <w:tcPr>
            <w:tcW w:w="4820"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8F7A33" w:rsidRDefault="008F7A33" w:rsidP="008F7A33">
            <w:pPr>
              <w:jc w:val="center"/>
            </w:pPr>
            <w:r>
              <w:rPr>
                <w:b/>
                <w:bCs/>
                <w:color w:val="FFFFFF"/>
              </w:rPr>
              <w:t>Data source (mapping sheet)</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8F7A33" w:rsidRDefault="008F7A33" w:rsidP="008F7A33">
            <w:pPr>
              <w:jc w:val="center"/>
            </w:pPr>
            <w:r>
              <w:rPr>
                <w:b/>
                <w:bCs/>
                <w:color w:val="FFFFFF"/>
              </w:rPr>
              <w:t>Flag</w:t>
            </w:r>
          </w:p>
        </w:tc>
        <w:tc>
          <w:tcPr>
            <w:tcW w:w="2410" w:type="dxa"/>
            <w:tcBorders>
              <w:top w:val="single" w:sz="4" w:space="0" w:color="BFBFBF"/>
              <w:left w:val="single" w:sz="4" w:space="0" w:color="BFBFBF"/>
              <w:bottom w:val="single" w:sz="4" w:space="0" w:color="BFBFBF"/>
              <w:right w:val="single" w:sz="4" w:space="0" w:color="BFBFBF"/>
            </w:tcBorders>
            <w:shd w:val="clear" w:color="auto" w:fill="1F3864"/>
            <w:tcMar>
              <w:top w:w="35" w:type="dxa"/>
              <w:left w:w="70" w:type="dxa"/>
              <w:bottom w:w="25" w:type="dxa"/>
              <w:right w:w="70" w:type="dxa"/>
            </w:tcMar>
          </w:tcPr>
          <w:p w:rsidR="008F7A33" w:rsidRDefault="008F7A33" w:rsidP="008F7A33">
            <w:pPr>
              <w:jc w:val="center"/>
            </w:pPr>
            <w:r>
              <w:rPr>
                <w:b/>
                <w:bCs/>
                <w:color w:val="FFFFFF"/>
              </w:rPr>
              <w:t>Event date</w:t>
            </w:r>
          </w:p>
        </w:tc>
      </w:tr>
      <w:tr w:rsidR="008F7A33" w:rsidTr="008F7A33">
        <w:trPr>
          <w:cantSplit/>
          <w:trHeight w:val="397"/>
        </w:trPr>
        <w:tc>
          <w:tcPr>
            <w:tcW w:w="6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vAlign w:val="center"/>
          </w:tcPr>
          <w:p w:rsidR="008F7A33" w:rsidRDefault="008F7A33" w:rsidP="008F7A33">
            <w:pPr>
              <w:jc w:val="center"/>
            </w:pPr>
            <w:r w:rsidRPr="008F7A33">
              <w:t>F1</w:t>
            </w:r>
          </w:p>
        </w:tc>
        <w:tc>
          <w:tcPr>
            <w:tcW w:w="26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vAlign w:val="center"/>
          </w:tcPr>
          <w:p w:rsidR="008F7A33" w:rsidRDefault="008F7A33" w:rsidP="008F7A33">
            <w:pPr>
              <w:jc w:val="center"/>
            </w:pPr>
            <w:r>
              <w:t>High IOP in more than 2 consecutive visits</w:t>
            </w:r>
          </w:p>
        </w:tc>
        <w:tc>
          <w:tcPr>
            <w:tcW w:w="411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vAlign w:val="center"/>
          </w:tcPr>
          <w:p w:rsidR="008F7A33" w:rsidRDefault="008F7A33" w:rsidP="008F7A33">
            <w:pPr>
              <w:jc w:val="center"/>
            </w:pPr>
            <w:r>
              <w:t>Event ‘failure’ is defined as IOP outside of the range 5-21 mmHg in two consecutive postoperative visits</w:t>
            </w:r>
          </w:p>
        </w:tc>
        <w:tc>
          <w:tcPr>
            <w:tcW w:w="4820"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vAlign w:val="center"/>
          </w:tcPr>
          <w:p w:rsidR="008F7A33" w:rsidRDefault="008F7A33" w:rsidP="008F7A33">
            <w:pPr>
              <w:jc w:val="center"/>
            </w:pPr>
            <w:r w:rsidRPr="008F7A33">
              <w:t>Search Doctor Note / Progress Note for IOP measurements. If multiple measurements are documented, use the Goldmann applanation tonometry (GAT) value when identified. Also search the IOP sheet for the same time frame. Prioritize the Doctor Note / Progress Note as the source of truth; if IOP is not documented there, use the corresponding IOP sheet value.</w:t>
            </w:r>
          </w:p>
        </w:tc>
        <w:tc>
          <w:tcPr>
            <w:tcW w:w="1134"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vAlign w:val="center"/>
          </w:tcPr>
          <w:p w:rsidR="008F7A33" w:rsidRDefault="008F7A33" w:rsidP="008F7A33">
            <w:pPr>
              <w:jc w:val="center"/>
            </w:pPr>
            <w:r w:rsidRPr="008F7A33">
              <w:t>FAIL_IOP</w:t>
            </w:r>
          </w:p>
        </w:tc>
        <w:tc>
          <w:tcPr>
            <w:tcW w:w="2410"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vAlign w:val="center"/>
          </w:tcPr>
          <w:p w:rsidR="008F7A33" w:rsidRDefault="008F7A33" w:rsidP="008F7A33">
            <w:pPr>
              <w:jc w:val="center"/>
            </w:pPr>
            <w:r>
              <w:t>Visit that completes the run</w:t>
            </w:r>
          </w:p>
        </w:tc>
      </w:tr>
      <w:tr w:rsidR="008F7A33" w:rsidTr="008F7A33">
        <w:trPr>
          <w:cantSplit/>
          <w:trHeight w:val="397"/>
        </w:trPr>
        <w:tc>
          <w:tcPr>
            <w:tcW w:w="6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vAlign w:val="center"/>
          </w:tcPr>
          <w:p w:rsidR="008F7A33" w:rsidRDefault="008F7A33" w:rsidP="008F7A33">
            <w:pPr>
              <w:jc w:val="center"/>
            </w:pPr>
            <w:r w:rsidRPr="008F7A33">
              <w:t>F2</w:t>
            </w:r>
          </w:p>
        </w:tc>
        <w:tc>
          <w:tcPr>
            <w:tcW w:w="26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vAlign w:val="center"/>
          </w:tcPr>
          <w:p w:rsidR="008F7A33" w:rsidRDefault="008F7A33" w:rsidP="008F7A33">
            <w:pPr>
              <w:jc w:val="center"/>
            </w:pPr>
            <w:r>
              <w:t>Another major glaucoma surgery</w:t>
            </w:r>
          </w:p>
        </w:tc>
        <w:tc>
          <w:tcPr>
            <w:tcW w:w="411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vAlign w:val="center"/>
          </w:tcPr>
          <w:p w:rsidR="008F7A33" w:rsidRDefault="008F7A33" w:rsidP="008F7A33">
            <w:pPr>
              <w:jc w:val="center"/>
            </w:pPr>
            <w:r>
              <w:t>Event ‘failure’ is defined as any major glaucoma surgery that occurs after the index deep sclerectomy surgery</w:t>
            </w:r>
          </w:p>
        </w:tc>
        <w:tc>
          <w:tcPr>
            <w:tcW w:w="4820"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vAlign w:val="center"/>
          </w:tcPr>
          <w:p w:rsidR="008F7A33" w:rsidRPr="008F7A33" w:rsidRDefault="008F7A33" w:rsidP="008F7A33">
            <w:pPr>
              <w:jc w:val="center"/>
            </w:pPr>
            <w:r w:rsidRPr="008F7A33">
              <w:t>Scan Doctor Notes, Progress Notes, Laser, and Operations occurring after the primary surgery for secondary major procedure. Prioritize the following procedures, but also capture any other documented major glaucoma surgery: deep sclerectomy, trabeculectomy, glaucoma valve surgery, cyclophotocoagulation.</w:t>
            </w:r>
          </w:p>
        </w:tc>
        <w:tc>
          <w:tcPr>
            <w:tcW w:w="1134"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vAlign w:val="center"/>
          </w:tcPr>
          <w:p w:rsidR="008F7A33" w:rsidRDefault="008F7A33" w:rsidP="008F7A33">
            <w:pPr>
              <w:jc w:val="center"/>
            </w:pPr>
            <w:r w:rsidRPr="008F7A33">
              <w:t>FAIL_SURG</w:t>
            </w:r>
          </w:p>
        </w:tc>
        <w:tc>
          <w:tcPr>
            <w:tcW w:w="2410"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vAlign w:val="center"/>
          </w:tcPr>
          <w:p w:rsidR="008F7A33" w:rsidRDefault="008F7A33" w:rsidP="008F7A33">
            <w:pPr>
              <w:jc w:val="center"/>
            </w:pPr>
            <w:r>
              <w:t>Date of the first qualifying surgery</w:t>
            </w:r>
          </w:p>
        </w:tc>
      </w:tr>
      <w:tr w:rsidR="008F7A33" w:rsidTr="008F7A33">
        <w:trPr>
          <w:cantSplit/>
          <w:trHeight w:val="397"/>
        </w:trPr>
        <w:tc>
          <w:tcPr>
            <w:tcW w:w="600"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vAlign w:val="center"/>
          </w:tcPr>
          <w:p w:rsidR="008F7A33" w:rsidRDefault="008F7A33" w:rsidP="008F7A33">
            <w:pPr>
              <w:jc w:val="center"/>
            </w:pPr>
            <w:r w:rsidRPr="008F7A33">
              <w:t>F3</w:t>
            </w:r>
          </w:p>
        </w:tc>
        <w:tc>
          <w:tcPr>
            <w:tcW w:w="2656" w:type="dxa"/>
            <w:tcBorders>
              <w:top w:val="single" w:sz="4" w:space="0" w:color="BFBFBF"/>
              <w:left w:val="single" w:sz="4" w:space="0" w:color="BFBFBF"/>
              <w:bottom w:val="single" w:sz="4" w:space="0" w:color="BFBFBF"/>
              <w:right w:val="single" w:sz="4" w:space="0" w:color="BFBFBF"/>
            </w:tcBorders>
            <w:shd w:val="clear" w:color="auto" w:fill="EEF2F9"/>
            <w:tcMar>
              <w:top w:w="35" w:type="dxa"/>
              <w:left w:w="70" w:type="dxa"/>
              <w:bottom w:w="25" w:type="dxa"/>
              <w:right w:w="70" w:type="dxa"/>
            </w:tcMar>
            <w:vAlign w:val="center"/>
          </w:tcPr>
          <w:p w:rsidR="008F7A33" w:rsidRDefault="008F7A33" w:rsidP="008F7A33">
            <w:pPr>
              <w:jc w:val="center"/>
            </w:pPr>
            <w:r>
              <w:t>Progression to NLP (no light perception)</w:t>
            </w:r>
          </w:p>
        </w:tc>
        <w:tc>
          <w:tcPr>
            <w:tcW w:w="411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35" w:type="dxa"/>
              <w:left w:w="70" w:type="dxa"/>
              <w:bottom w:w="25" w:type="dxa"/>
              <w:right w:w="70" w:type="dxa"/>
            </w:tcMar>
            <w:vAlign w:val="center"/>
          </w:tcPr>
          <w:p w:rsidR="008F7A33" w:rsidRDefault="008F7A33" w:rsidP="008F7A33">
            <w:pPr>
              <w:jc w:val="center"/>
            </w:pPr>
            <w:r w:rsidRPr="008F7A33">
              <w:t>Event ‘failure’ is defined as visual acuity recorded as NLP. Only if light perception or better at baseline: [yes / no]</w:t>
            </w:r>
          </w:p>
        </w:tc>
        <w:tc>
          <w:tcPr>
            <w:tcW w:w="4820"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vAlign w:val="center"/>
          </w:tcPr>
          <w:p w:rsidR="008F7A33" w:rsidRDefault="008F7A33" w:rsidP="008F7A33">
            <w:pPr>
              <w:jc w:val="center"/>
            </w:pPr>
            <w:r w:rsidRPr="008F7A33">
              <w:t>Extract VA from the Vision sheet. Use the best-corrected VA, whether recorded with glasses or pinhole.</w:t>
            </w:r>
          </w:p>
        </w:tc>
        <w:tc>
          <w:tcPr>
            <w:tcW w:w="1134"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vAlign w:val="center"/>
          </w:tcPr>
          <w:p w:rsidR="008F7A33" w:rsidRDefault="008F7A33" w:rsidP="008F7A33">
            <w:pPr>
              <w:jc w:val="center"/>
            </w:pPr>
            <w:r w:rsidRPr="008F7A33">
              <w:t>FAIL_NLP</w:t>
            </w:r>
          </w:p>
        </w:tc>
        <w:tc>
          <w:tcPr>
            <w:tcW w:w="2410" w:type="dxa"/>
            <w:tcBorders>
              <w:top w:val="single" w:sz="4" w:space="0" w:color="BFBFBF"/>
              <w:left w:val="single" w:sz="4" w:space="0" w:color="BFBFBF"/>
              <w:bottom w:val="single" w:sz="4" w:space="0" w:color="BFBFBF"/>
              <w:right w:val="single" w:sz="4" w:space="0" w:color="BFBFBF"/>
            </w:tcBorders>
            <w:tcMar>
              <w:top w:w="35" w:type="dxa"/>
              <w:left w:w="70" w:type="dxa"/>
              <w:bottom w:w="25" w:type="dxa"/>
              <w:right w:w="70" w:type="dxa"/>
            </w:tcMar>
            <w:vAlign w:val="center"/>
          </w:tcPr>
          <w:p w:rsidR="008F7A33" w:rsidRDefault="008F7A33" w:rsidP="008F7A33">
            <w:pPr>
              <w:jc w:val="center"/>
            </w:pPr>
            <w:r>
              <w:t>First visit with NLP</w:t>
            </w:r>
          </w:p>
        </w:tc>
      </w:tr>
    </w:tbl>
    <w:p w:rsidR="008F7A33" w:rsidRDefault="008F7A33">
      <w:pPr>
        <w:keepNext/>
        <w:spacing w:before="90" w:after="40"/>
        <w:rPr>
          <w:i/>
          <w:iCs/>
          <w:color w:val="595959"/>
        </w:rPr>
      </w:pPr>
    </w:p>
    <w:p w:rsidR="00E44F44" w:rsidRDefault="00E44F44" w:rsidP="008F7A33">
      <w:pPr>
        <w:keepNext/>
        <w:spacing w:before="90" w:after="40"/>
      </w:pPr>
    </w:p>
    <w:sectPr w:rsidR="00E44F44">
      <w:footerReference w:type="default" r:id="rId7"/>
      <w:pgSz w:w="16838" w:h="11906" w:orient="landscape"/>
      <w:pgMar w:top="430" w:right="576" w:bottom="430"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44E7" w:rsidRDefault="001A44E7">
      <w:r>
        <w:separator/>
      </w:r>
    </w:p>
  </w:endnote>
  <w:endnote w:type="continuationSeparator" w:id="0">
    <w:p w:rsidR="001A44E7" w:rsidRDefault="001A4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5A6" w:rsidRDefault="00D025A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44E7" w:rsidRDefault="001A44E7">
      <w:r>
        <w:separator/>
      </w:r>
    </w:p>
  </w:footnote>
  <w:footnote w:type="continuationSeparator" w:id="0">
    <w:p w:rsidR="001A44E7" w:rsidRDefault="001A44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F1EE8"/>
    <w:multiLevelType w:val="hybridMultilevel"/>
    <w:tmpl w:val="E99E1A2C"/>
    <w:lvl w:ilvl="0" w:tplc="8A0667CC">
      <w:start w:val="1"/>
      <w:numFmt w:val="bullet"/>
      <w:lvlText w:val="●"/>
      <w:lvlJc w:val="left"/>
      <w:pPr>
        <w:ind w:left="720" w:hanging="360"/>
      </w:pPr>
    </w:lvl>
    <w:lvl w:ilvl="1" w:tplc="7520C150">
      <w:start w:val="1"/>
      <w:numFmt w:val="bullet"/>
      <w:lvlText w:val="○"/>
      <w:lvlJc w:val="left"/>
      <w:pPr>
        <w:ind w:left="1440" w:hanging="360"/>
      </w:pPr>
    </w:lvl>
    <w:lvl w:ilvl="2" w:tplc="D5104D72">
      <w:start w:val="1"/>
      <w:numFmt w:val="bullet"/>
      <w:lvlText w:val="■"/>
      <w:lvlJc w:val="left"/>
      <w:pPr>
        <w:ind w:left="2160" w:hanging="360"/>
      </w:pPr>
    </w:lvl>
    <w:lvl w:ilvl="3" w:tplc="62D021C2">
      <w:start w:val="1"/>
      <w:numFmt w:val="bullet"/>
      <w:lvlText w:val="●"/>
      <w:lvlJc w:val="left"/>
      <w:pPr>
        <w:ind w:left="2880" w:hanging="360"/>
      </w:pPr>
    </w:lvl>
    <w:lvl w:ilvl="4" w:tplc="734ED440">
      <w:start w:val="1"/>
      <w:numFmt w:val="bullet"/>
      <w:lvlText w:val="○"/>
      <w:lvlJc w:val="left"/>
      <w:pPr>
        <w:ind w:left="3600" w:hanging="360"/>
      </w:pPr>
    </w:lvl>
    <w:lvl w:ilvl="5" w:tplc="43964E6C">
      <w:start w:val="1"/>
      <w:numFmt w:val="bullet"/>
      <w:lvlText w:val="■"/>
      <w:lvlJc w:val="left"/>
      <w:pPr>
        <w:ind w:left="4320" w:hanging="360"/>
      </w:pPr>
    </w:lvl>
    <w:lvl w:ilvl="6" w:tplc="1C740B8E">
      <w:start w:val="1"/>
      <w:numFmt w:val="bullet"/>
      <w:lvlText w:val="●"/>
      <w:lvlJc w:val="left"/>
      <w:pPr>
        <w:ind w:left="5040" w:hanging="360"/>
      </w:pPr>
    </w:lvl>
    <w:lvl w:ilvl="7" w:tplc="AF62AF54">
      <w:start w:val="1"/>
      <w:numFmt w:val="bullet"/>
      <w:lvlText w:val="●"/>
      <w:lvlJc w:val="left"/>
      <w:pPr>
        <w:ind w:left="5760" w:hanging="360"/>
      </w:pPr>
    </w:lvl>
    <w:lvl w:ilvl="8" w:tplc="DE38B206">
      <w:start w:val="1"/>
      <w:numFmt w:val="bullet"/>
      <w:lvlText w:val="●"/>
      <w:lvlJc w:val="left"/>
      <w:pPr>
        <w:ind w:left="6480" w:hanging="360"/>
      </w:pPr>
    </w:lvl>
  </w:abstractNum>
  <w:num w:numId="1" w16cid:durableId="13619283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5A6"/>
    <w:rsid w:val="001A44E7"/>
    <w:rsid w:val="00361ECC"/>
    <w:rsid w:val="008F7A33"/>
    <w:rsid w:val="00936041"/>
    <w:rsid w:val="00982A7A"/>
    <w:rsid w:val="00B64D39"/>
    <w:rsid w:val="00C4620F"/>
    <w:rsid w:val="00D025A6"/>
    <w:rsid w:val="00E44F44"/>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5:docId w15:val="{41C76E05-B5C5-2F46-8214-67D06001B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5"/>
        <w:szCs w:val="15"/>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7A33"/>
    <w:pPr>
      <w:tabs>
        <w:tab w:val="center" w:pos="4680"/>
        <w:tab w:val="right" w:pos="9360"/>
      </w:tabs>
    </w:pPr>
  </w:style>
  <w:style w:type="character" w:customStyle="1" w:styleId="HeaderChar">
    <w:name w:val="Header Char"/>
    <w:basedOn w:val="DefaultParagraphFont"/>
    <w:link w:val="Header"/>
    <w:uiPriority w:val="99"/>
    <w:rsid w:val="008F7A33"/>
  </w:style>
  <w:style w:type="paragraph" w:styleId="Footer">
    <w:name w:val="footer"/>
    <w:basedOn w:val="Normal"/>
    <w:link w:val="FooterChar"/>
    <w:uiPriority w:val="99"/>
    <w:unhideWhenUsed/>
    <w:rsid w:val="008F7A33"/>
    <w:pPr>
      <w:tabs>
        <w:tab w:val="center" w:pos="4680"/>
        <w:tab w:val="right" w:pos="9360"/>
      </w:tabs>
    </w:pPr>
  </w:style>
  <w:style w:type="character" w:customStyle="1" w:styleId="FooterChar">
    <w:name w:val="Footer Char"/>
    <w:basedOn w:val="DefaultParagraphFont"/>
    <w:link w:val="Footer"/>
    <w:uiPriority w:val="99"/>
    <w:rsid w:val="008F7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Data Transformation Template</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Transformation Template</dc:title>
  <dc:creator>Claude</dc:creator>
  <cp:lastModifiedBy>Adi Al Owaifeer</cp:lastModifiedBy>
  <cp:revision>4</cp:revision>
  <dcterms:created xsi:type="dcterms:W3CDTF">2026-09-19T11:01:00Z</dcterms:created>
  <dcterms:modified xsi:type="dcterms:W3CDTF">2026-09-19T15:01:00Z</dcterms:modified>
</cp:coreProperties>
</file>