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5A6" w:rsidRDefault="00000000">
      <w:pPr>
        <w:spacing w:after="20"/>
      </w:pPr>
      <w:r>
        <w:rPr>
          <w:b/>
          <w:bCs/>
          <w:color w:val="1F3864"/>
          <w:sz w:val="34"/>
          <w:szCs w:val="34"/>
        </w:rPr>
        <w:t>Dummy Tables and Figures</w:t>
      </w:r>
    </w:p>
    <w:p w:rsidR="007F0137" w:rsidRDefault="007F0137">
      <w:pPr>
        <w:keepNext/>
        <w:spacing w:before="200" w:after="60"/>
        <w:rPr>
          <w:i/>
          <w:iCs/>
          <w:color w:val="C00000"/>
          <w:sz w:val="16"/>
          <w:szCs w:val="16"/>
        </w:rPr>
      </w:pPr>
    </w:p>
    <w:p w:rsidR="005735A6" w:rsidRDefault="00000000">
      <w:pPr>
        <w:keepNext/>
        <w:spacing w:before="200" w:after="60"/>
      </w:pPr>
      <w:r>
        <w:rPr>
          <w:b/>
          <w:bCs/>
          <w:sz w:val="20"/>
          <w:szCs w:val="20"/>
        </w:rPr>
        <w:t>TABLE 1.</w:t>
      </w:r>
      <w:r>
        <w:rPr>
          <w:sz w:val="20"/>
          <w:szCs w:val="20"/>
        </w:rPr>
        <w:t xml:space="preserve"> Baseline characteristics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3506"/>
      </w:tblGrid>
      <w:tr w:rsidR="00573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/>
        </w:tc>
        <w:tc>
          <w:tcPr>
            <w:tcW w:w="350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n (%)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Age (y)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Mean (SD)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Range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xx-xx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Sex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Male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Female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Previous surgery/laser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Selective laser trabeculoplasty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Glaucoma drainage device surgery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Other (specify)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Visual acuity (logMAR)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Mean (SD)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x.xx (x.xx)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Range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x-x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Lens status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Phakic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Pseudophakic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Aphakic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Cup-disc ratio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0.3-0.5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0.6-0.7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0.8-0.9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 w:rsidTr="007F01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Mean (SD)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x.xx (x.xx)</w:t>
            </w:r>
          </w:p>
        </w:tc>
      </w:tr>
      <w:tr w:rsidR="005735A6" w:rsidTr="007F01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Range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x.x-x.x</w:t>
            </w:r>
          </w:p>
        </w:tc>
      </w:tr>
    </w:tbl>
    <w:p w:rsidR="005735A6" w:rsidRDefault="00000000">
      <w:pPr>
        <w:spacing w:after="10"/>
      </w:pPr>
      <w:r>
        <w:rPr>
          <w:color w:val="404040"/>
          <w:sz w:val="15"/>
          <w:szCs w:val="15"/>
        </w:rPr>
        <w:t>Patients n = xx; eyes n = xx. Age, sex and previous surgery are per patient; the other rows are per eye.</w:t>
      </w:r>
    </w:p>
    <w:p w:rsidR="005735A6" w:rsidRDefault="00000000">
      <w:pPr>
        <w:spacing w:after="10"/>
      </w:pPr>
      <w:r>
        <w:rPr>
          <w:color w:val="404040"/>
          <w:sz w:val="15"/>
          <w:szCs w:val="15"/>
        </w:rPr>
        <w:t>logMAR, logarithm of the minimum angle of resolution; MD, mean deviation.</w:t>
      </w:r>
    </w:p>
    <w:p w:rsidR="005735A6" w:rsidRDefault="005735A6">
      <w:pPr>
        <w:pageBreakBefore/>
      </w:pPr>
    </w:p>
    <w:p w:rsidR="005735A6" w:rsidRDefault="00000000">
      <w:pPr>
        <w:keepNext/>
        <w:spacing w:before="200" w:after="60"/>
      </w:pPr>
      <w:r>
        <w:rPr>
          <w:b/>
          <w:bCs/>
          <w:sz w:val="20"/>
          <w:szCs w:val="20"/>
        </w:rPr>
        <w:t>TABLE 2.</w:t>
      </w:r>
      <w:r>
        <w:rPr>
          <w:sz w:val="20"/>
          <w:szCs w:val="20"/>
        </w:rPr>
        <w:t xml:space="preserve"> Mean IOP and number of glaucoma medications during follow-up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00"/>
        <w:gridCol w:w="2000"/>
        <w:gridCol w:w="2000"/>
        <w:gridCol w:w="800"/>
        <w:gridCol w:w="2000"/>
        <w:gridCol w:w="806"/>
      </w:tblGrid>
      <w:tr w:rsidR="00573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  <w:tc>
          <w:tcPr>
            <w:tcW w:w="800" w:type="dxa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  <w:tc>
          <w:tcPr>
            <w:tcW w:w="4800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IOP (mm Hg)</w:t>
            </w:r>
          </w:p>
        </w:tc>
        <w:tc>
          <w:tcPr>
            <w:tcW w:w="2806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No. Medications (n)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N†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Mean ± SD (Range)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Decrease from baseline [Mean (%)]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P*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Mean ± SD (Range)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P*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Baseline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1 mo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3 mo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6 mo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12 mo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18 mo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24 mo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30 mo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36 mo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t>Last visit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± xx.x (xx-xx)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xx.x (xx)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x.x ± x.x (x-x)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0.xxx</w:t>
            </w:r>
          </w:p>
        </w:tc>
      </w:tr>
    </w:tbl>
    <w:p w:rsidR="005735A6" w:rsidRDefault="00000000">
      <w:pPr>
        <w:spacing w:after="10"/>
      </w:pPr>
      <w:r>
        <w:rPr>
          <w:color w:val="404040"/>
          <w:sz w:val="15"/>
          <w:szCs w:val="15"/>
        </w:rPr>
        <w:t>†Number of eyes at the current follow-up interval.</w:t>
      </w:r>
    </w:p>
    <w:p w:rsidR="005735A6" w:rsidRDefault="00000000">
      <w:pPr>
        <w:spacing w:after="10"/>
        <w:rPr>
          <w:color w:val="404040"/>
          <w:sz w:val="15"/>
          <w:szCs w:val="15"/>
        </w:rPr>
      </w:pPr>
      <w:r>
        <w:rPr>
          <w:color w:val="404040"/>
          <w:sz w:val="15"/>
          <w:szCs w:val="15"/>
        </w:rPr>
        <w:t>*P value for the comparison of each interval with baseline (paired t test or Wilcoxon signed-rank test).</w:t>
      </w: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  <w:rPr>
          <w:color w:val="404040"/>
          <w:sz w:val="15"/>
          <w:szCs w:val="15"/>
        </w:rPr>
      </w:pPr>
    </w:p>
    <w:p w:rsidR="007F0137" w:rsidRDefault="007F0137">
      <w:pPr>
        <w:spacing w:after="10"/>
      </w:pPr>
    </w:p>
    <w:p w:rsidR="005735A6" w:rsidRDefault="00000000">
      <w:pPr>
        <w:keepNext/>
        <w:spacing w:before="200" w:after="60"/>
      </w:pPr>
      <w:r>
        <w:rPr>
          <w:b/>
          <w:bCs/>
          <w:sz w:val="20"/>
          <w:szCs w:val="20"/>
        </w:rPr>
        <w:lastRenderedPageBreak/>
        <w:t>TABLE 3.</w:t>
      </w:r>
      <w:r>
        <w:rPr>
          <w:sz w:val="20"/>
          <w:szCs w:val="20"/>
        </w:rPr>
        <w:t xml:space="preserve"> Complications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906"/>
      </w:tblGrid>
      <w:tr w:rsidR="00573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Complication</w:t>
            </w:r>
          </w:p>
        </w:tc>
        <w:tc>
          <w:tcPr>
            <w:tcW w:w="290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n (%)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Intraoperative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Perforation of the trabeculo-Descemet membrane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Postoperative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5735A6">
            <w:pPr>
              <w:jc w:val="center"/>
            </w:pP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Early bleb leak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Corneal abrasion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Shallow anterior chamber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Choroidal effusion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Hypotony†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Cataract progression‡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Hyphema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Other (specify)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</w:tbl>
    <w:p w:rsidR="005735A6" w:rsidRDefault="00000000">
      <w:pPr>
        <w:spacing w:after="10"/>
      </w:pPr>
      <w:r>
        <w:rPr>
          <w:color w:val="404040"/>
          <w:sz w:val="15"/>
          <w:szCs w:val="15"/>
        </w:rPr>
        <w:t>Some eyes may have more than one complication.</w:t>
      </w:r>
    </w:p>
    <w:p w:rsidR="005735A6" w:rsidRDefault="00000000">
      <w:pPr>
        <w:spacing w:after="10"/>
      </w:pPr>
      <w:r>
        <w:rPr>
          <w:color w:val="404040"/>
          <w:sz w:val="15"/>
          <w:szCs w:val="15"/>
        </w:rPr>
        <w:t>†Defined as an IOP measurement below 5 mm Hg.</w:t>
      </w:r>
    </w:p>
    <w:p w:rsidR="005735A6" w:rsidRDefault="00000000">
      <w:pPr>
        <w:spacing w:after="10"/>
      </w:pPr>
      <w:r>
        <w:rPr>
          <w:color w:val="404040"/>
          <w:sz w:val="15"/>
          <w:szCs w:val="15"/>
        </w:rPr>
        <w:t>‡Defined as loss of more than 2 lines of Snellen acuity attributed to cataract, or visually significant cataract requiring surgery.</w:t>
      </w:r>
    </w:p>
    <w:p w:rsidR="007F0137" w:rsidRDefault="007F0137">
      <w:pPr>
        <w:keepNext/>
        <w:spacing w:before="200" w:after="60"/>
        <w:rPr>
          <w:b/>
          <w:bCs/>
          <w:sz w:val="20"/>
          <w:szCs w:val="20"/>
        </w:rPr>
      </w:pPr>
    </w:p>
    <w:p w:rsidR="007F0137" w:rsidRDefault="007F0137">
      <w:pPr>
        <w:keepNext/>
        <w:spacing w:before="200" w:after="60"/>
        <w:rPr>
          <w:b/>
          <w:bCs/>
          <w:sz w:val="20"/>
          <w:szCs w:val="20"/>
        </w:rPr>
      </w:pPr>
    </w:p>
    <w:p w:rsidR="007F0137" w:rsidRDefault="007F0137">
      <w:pPr>
        <w:keepNext/>
        <w:spacing w:before="200" w:after="60"/>
        <w:rPr>
          <w:b/>
          <w:bCs/>
          <w:sz w:val="20"/>
          <w:szCs w:val="20"/>
        </w:rPr>
      </w:pPr>
    </w:p>
    <w:p w:rsidR="007F0137" w:rsidRDefault="007F0137">
      <w:pPr>
        <w:keepNext/>
        <w:spacing w:before="200" w:after="60"/>
        <w:rPr>
          <w:b/>
          <w:bCs/>
          <w:sz w:val="20"/>
          <w:szCs w:val="20"/>
        </w:rPr>
      </w:pPr>
    </w:p>
    <w:p w:rsidR="007F0137" w:rsidRDefault="007F0137">
      <w:pPr>
        <w:keepNext/>
        <w:spacing w:before="200" w:after="60"/>
        <w:rPr>
          <w:b/>
          <w:bCs/>
          <w:sz w:val="20"/>
          <w:szCs w:val="20"/>
        </w:rPr>
      </w:pPr>
    </w:p>
    <w:p w:rsidR="005735A6" w:rsidRDefault="00000000">
      <w:pPr>
        <w:keepNext/>
        <w:spacing w:before="200" w:after="60"/>
      </w:pPr>
      <w:r>
        <w:rPr>
          <w:b/>
          <w:bCs/>
          <w:sz w:val="20"/>
          <w:szCs w:val="20"/>
        </w:rPr>
        <w:t>TABLE 4.</w:t>
      </w:r>
      <w:r>
        <w:rPr>
          <w:sz w:val="20"/>
          <w:szCs w:val="20"/>
        </w:rPr>
        <w:t xml:space="preserve"> Postoperative interventions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906"/>
      </w:tblGrid>
      <w:tr w:rsidR="005735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r>
              <w:rPr>
                <w:b/>
                <w:bCs/>
              </w:rPr>
              <w:t>Intervention</w:t>
            </w:r>
          </w:p>
        </w:tc>
        <w:tc>
          <w:tcPr>
            <w:tcW w:w="290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rPr>
                <w:b/>
                <w:bCs/>
              </w:rPr>
              <w:t>n (%)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Goniopuncture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Laser suture lysis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Bleb needling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Conjunctival resuturing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  <w:tr w:rsidR="005735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ind w:left="260"/>
            </w:pPr>
            <w:r>
              <w:t>Other (specify)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5735A6" w:rsidRDefault="00000000">
            <w:pPr>
              <w:jc w:val="center"/>
            </w:pPr>
            <w:r>
              <w:t>xx (xx.x)</w:t>
            </w:r>
          </w:p>
        </w:tc>
      </w:tr>
    </w:tbl>
    <w:p w:rsidR="005735A6" w:rsidRDefault="00000000">
      <w:pPr>
        <w:spacing w:after="10"/>
      </w:pPr>
      <w:r>
        <w:rPr>
          <w:color w:val="404040"/>
          <w:sz w:val="15"/>
          <w:szCs w:val="15"/>
        </w:rPr>
        <w:t>Laser or surgical interventions performed to control intraocular pressure or manage complications.</w:t>
      </w:r>
    </w:p>
    <w:p w:rsidR="005735A6" w:rsidRDefault="005735A6">
      <w:pPr>
        <w:pageBreakBefore/>
      </w:pPr>
    </w:p>
    <w:p w:rsidR="005735A6" w:rsidRDefault="00000000">
      <w:pPr>
        <w:keepNext/>
        <w:spacing w:after="40"/>
      </w:pPr>
      <w:r>
        <w:rPr>
          <w:b/>
          <w:bCs/>
          <w:sz w:val="20"/>
          <w:szCs w:val="20"/>
        </w:rPr>
        <w:t>FIGURE 1.</w:t>
      </w:r>
      <w:r>
        <w:rPr>
          <w:sz w:val="20"/>
          <w:szCs w:val="20"/>
        </w:rPr>
        <w:t xml:space="preserve"> Kaplan-Meier survival curves with 95% confidence intervals for the probability of IOP staying within 5 to 21 mm Hg. Numbers of eyes at risk are shown under each panel.</w:t>
      </w:r>
    </w:p>
    <w:p w:rsidR="005735A6" w:rsidRDefault="00000000">
      <w:pPr>
        <w:spacing w:before="100" w:after="8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1432222</wp:posOffset>
            </wp:positionH>
            <wp:positionV relativeFrom="paragraph">
              <wp:posOffset>561079</wp:posOffset>
            </wp:positionV>
            <wp:extent cx="3169920" cy="3170490"/>
            <wp:effectExtent l="0" t="0" r="5080" b="5080"/>
            <wp:wrapNone/>
            <wp:docPr id="1" name="Figure 1 dummy Kaplan-Meier curves" descr="Three placeholder Kaplan-Meier panels with number-at-risk rows" title="Figure 1 dummy Kaplan-Meier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91" b="51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170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35A6" w:rsidRDefault="005735A6">
      <w:pPr>
        <w:pageBreakBefore/>
      </w:pPr>
    </w:p>
    <w:p w:rsidR="005735A6" w:rsidRDefault="00000000">
      <w:pPr>
        <w:keepNext/>
        <w:spacing w:after="40"/>
      </w:pPr>
      <w:r>
        <w:rPr>
          <w:b/>
          <w:bCs/>
          <w:sz w:val="20"/>
          <w:szCs w:val="20"/>
        </w:rPr>
        <w:t>FIGURE 2.</w:t>
      </w:r>
      <w:r>
        <w:rPr>
          <w:sz w:val="20"/>
          <w:szCs w:val="20"/>
        </w:rPr>
        <w:t xml:space="preserve"> Scatter plot of logMAR visual acuity at baseline against the last follow-up visit, one point per eye. The line marks no change. CF, counting fingers; HM, hand motion; LP, light perception (placed according to the logMAR convention chosen for CF, HM, LP and NLP).</w:t>
      </w:r>
    </w:p>
    <w:p w:rsidR="005735A6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>
            <wp:extent cx="5143500" cy="4667250"/>
            <wp:effectExtent l="0" t="0" r="0" b="0"/>
            <wp:docPr id="1292859994" name="Figure 2 dummy scatter plot" descr="Placeholder scatter of baseline versus last follow-up logMAR acuity with a line of equality" title="Figure 2 dummy scatter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5A6">
      <w:footerReference w:type="default" r:id="rId9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783D" w:rsidRDefault="0066783D">
      <w:r>
        <w:separator/>
      </w:r>
    </w:p>
  </w:endnote>
  <w:endnote w:type="continuationSeparator" w:id="0">
    <w:p w:rsidR="0066783D" w:rsidRDefault="00667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5A6" w:rsidRDefault="005735A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783D" w:rsidRDefault="0066783D">
      <w:r>
        <w:separator/>
      </w:r>
    </w:p>
  </w:footnote>
  <w:footnote w:type="continuationSeparator" w:id="0">
    <w:p w:rsidR="0066783D" w:rsidRDefault="00667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60E96"/>
    <w:multiLevelType w:val="hybridMultilevel"/>
    <w:tmpl w:val="6B2631D2"/>
    <w:lvl w:ilvl="0" w:tplc="96605ADC">
      <w:start w:val="1"/>
      <w:numFmt w:val="bullet"/>
      <w:lvlText w:val="●"/>
      <w:lvlJc w:val="left"/>
      <w:pPr>
        <w:ind w:left="720" w:hanging="360"/>
      </w:pPr>
    </w:lvl>
    <w:lvl w:ilvl="1" w:tplc="1966E2B2">
      <w:start w:val="1"/>
      <w:numFmt w:val="bullet"/>
      <w:lvlText w:val="○"/>
      <w:lvlJc w:val="left"/>
      <w:pPr>
        <w:ind w:left="1440" w:hanging="360"/>
      </w:pPr>
    </w:lvl>
    <w:lvl w:ilvl="2" w:tplc="53F2E1E4">
      <w:start w:val="1"/>
      <w:numFmt w:val="bullet"/>
      <w:lvlText w:val="■"/>
      <w:lvlJc w:val="left"/>
      <w:pPr>
        <w:ind w:left="2160" w:hanging="360"/>
      </w:pPr>
    </w:lvl>
    <w:lvl w:ilvl="3" w:tplc="92AECBDA">
      <w:start w:val="1"/>
      <w:numFmt w:val="bullet"/>
      <w:lvlText w:val="●"/>
      <w:lvlJc w:val="left"/>
      <w:pPr>
        <w:ind w:left="2880" w:hanging="360"/>
      </w:pPr>
    </w:lvl>
    <w:lvl w:ilvl="4" w:tplc="138AFC38">
      <w:start w:val="1"/>
      <w:numFmt w:val="bullet"/>
      <w:lvlText w:val="○"/>
      <w:lvlJc w:val="left"/>
      <w:pPr>
        <w:ind w:left="3600" w:hanging="360"/>
      </w:pPr>
    </w:lvl>
    <w:lvl w:ilvl="5" w:tplc="BE426980">
      <w:start w:val="1"/>
      <w:numFmt w:val="bullet"/>
      <w:lvlText w:val="■"/>
      <w:lvlJc w:val="left"/>
      <w:pPr>
        <w:ind w:left="4320" w:hanging="360"/>
      </w:pPr>
    </w:lvl>
    <w:lvl w:ilvl="6" w:tplc="C69A783A">
      <w:start w:val="1"/>
      <w:numFmt w:val="bullet"/>
      <w:lvlText w:val="●"/>
      <w:lvlJc w:val="left"/>
      <w:pPr>
        <w:ind w:left="5040" w:hanging="360"/>
      </w:pPr>
    </w:lvl>
    <w:lvl w:ilvl="7" w:tplc="B69AE00C">
      <w:start w:val="1"/>
      <w:numFmt w:val="bullet"/>
      <w:lvlText w:val="●"/>
      <w:lvlJc w:val="left"/>
      <w:pPr>
        <w:ind w:left="5760" w:hanging="360"/>
      </w:pPr>
    </w:lvl>
    <w:lvl w:ilvl="8" w:tplc="F080EB40">
      <w:start w:val="1"/>
      <w:numFmt w:val="bullet"/>
      <w:lvlText w:val="●"/>
      <w:lvlJc w:val="left"/>
      <w:pPr>
        <w:ind w:left="6480" w:hanging="360"/>
      </w:pPr>
    </w:lvl>
  </w:abstractNum>
  <w:num w:numId="1" w16cid:durableId="886531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6"/>
    <w:rsid w:val="00361ECC"/>
    <w:rsid w:val="005735A6"/>
    <w:rsid w:val="0066783D"/>
    <w:rsid w:val="007F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D9BB"/>
  <w15:docId w15:val="{41C76E05-B5C5-2F46-8214-67D06001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01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137"/>
  </w:style>
  <w:style w:type="paragraph" w:styleId="Footer">
    <w:name w:val="footer"/>
    <w:basedOn w:val="Normal"/>
    <w:link w:val="FooterChar"/>
    <w:uiPriority w:val="99"/>
    <w:unhideWhenUsed/>
    <w:rsid w:val="007F01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Dummy Tables and Figures</dc:title>
  <dc:creator>Claude</dc:creator>
  <cp:lastModifiedBy>Adi Al Owaifeer</cp:lastModifiedBy>
  <cp:revision>2</cp:revision>
  <dcterms:created xsi:type="dcterms:W3CDTF">2026-09-19T13:57:00Z</dcterms:created>
  <dcterms:modified xsi:type="dcterms:W3CDTF">2026-09-19T14:01:00Z</dcterms:modified>
</cp:coreProperties>
</file>