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KeraNova Data Variable Mapping Sheet</ns0:t>
      </ns0:r>
    </ns0:p>
    <ns0:p>
      <ns0:r>
        <ns0:t>Version 1.0 for committee review on 1 October 2026</ns0:t>
      </ns0:r>
    </ns0:p>
    <ns0:p>
      <ns0:r>
        <ns0:t>KeraNova Research Team  |  Version 1.0  |  1 October 2026</ns0:t>
      </ns0:r>
    </ns0:p>
    <ns0:p>
      <ns0:pPr>
        <ns0:pStyle ns0:val="Heading1"/>
      </ns0:pPr>
      <ns0:r>
        <ns0:t>Scope and source authority</ns0:t>
      </ns0:r>
    </ns0:p>
    <ns0:p>
      <ns0:r>
        <ns0:t>This dictionary maps all 42 columns of dataset.csv and defines the additional fields required by KeraNova. Quoted source headers preserve leading and trailing spaces; the quotation marks are notation, not part of the header. Column numbers are one-based. Do not rename source headers in place. Assign unique clean field names in a derivative table.</ns0:t>
      </ns0:r>
    </ns0:p>
    <ns0:p>
      <ns0:r>
        <ns0:t>The CSV has 79 eye-record rows and four section-heading rows. A source row is a record identifier, not a patient identifier. Current values are provisional until chart and operative verification. A row may fail core eligibility, outcome eligibility, or source-quality checks independently.</ns0:t>
      </ns0:r>
    </ns0:p>
    <ns0:p>
      <ns0:pPr>
        <ns0:pStyle ns0:val="Heading1"/>
      </ns0:pPr>
      <ns0:r>
        <ns0:t>Demographics and structural columns</ns0:t>
      </ns0: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936"/>
        <ns0:gridCol ns0:w="2808"/>
        <ns0:gridCol ns0:w="2376"/>
        <ns0:gridCol ns0:w="3917"/>
      </ns0:tblGrid>
      <ns0:tr>
        <ns0:trPr>
          <ns0:tblHeader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CSV column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Exact source header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Clean field and unit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Interpretation and rule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1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     Demographics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section_raw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Section label only. Source rows 2, 21, 40 and 63 are administrative headings, not eyes. Preserve in import log.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2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"gender"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sex; categorical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Trim and standardize Male and Female; documented spelling Femal maps to Female with rule log. Other or unknown requires source review.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3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"age"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age_source_years; years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Parse 30 y, 46y and plain numbers. Timing is not established; do not claim age at surgery without source verification.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4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"Eye (laterality) right OD/ left OS"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laterality; OD or OS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Right maps to OD, Left to OS after trimming. Patient identity cannot be inferred from laterality.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5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"Visual Acuity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structural_va_header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Empty divider column; no clinical measurement.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14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"Refraction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structural_refraction_header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Empty divider column; no clinical measurement.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27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"Topography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structural_topography_header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Empty divider column; no clinical measurement.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38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"treatment_details"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structural_treatment_header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Empty divider. Treatment values are in column 39, not this column.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41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"Safety/Haze"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structural_safety_header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Empty divider. Haze observations are in column 42.</ns0:t>
            </ns0:r>
          </ns0:p>
        </ns0:tc>
      </ns0:tr>
    </ns0:tbl>
    <ns0:p>
      <ns0:pPr>
        <ns0:spacing ns0:after="0"/>
      </ns0:pPr>
    </ns0:p>
    <ns0:sectPr ns0:rsidR="00FC693F" ns0:rsidRPr="0006063C" ns0:rsidSect="00034616">
      <ns0:footerReference ns0:type="default" ns2:id="rId9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KeraNova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Keratoconus cohort and explainable outcome prediction</dc:subject>
  <dc:creator>KeraNova Research Team</dc:creator>
  <cp:keywords>KeraNova, keratoconus, research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