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Visual acuity columns</ns0:t>
      </ns0:r>
    </ns0:p>
    <ns0:p>
      <ns0:r>
        <ns0:t>Each mapped field retains raw notation, chart type, testing distance, correction method, parsed fraction or directly documented logMAR, modifiers, date, conversion rule and review status. A populated source field does not establish a valid model label.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936"/>
        <ns0:gridCol ns0:w="2808"/>
        <ns0:gridCol ns0:w="2376"/>
        <ns0:gridCol ns0:w="3917"/>
      </ns0:tblGrid>
      <ns0:tr>
        <ns0:trPr>
          <ns0:tblHeader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CSV column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Exact source header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Clean field and unit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Interpretation and rule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6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"Uncorrected (VA-Dt) pre-op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udva_baseline_raw; then logMAR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Uncorrected baseline distance vision; not a substitute for baseline CDVA.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7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"Un corrected VA-Dt post op 1 month"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udva_1m_label_raw; then logMAR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Source one-month label; date unverified.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8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"Uncorrected VA-Dt post op 6 months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udva_6m_label_raw; then logMAR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Source six-month label; date unverified.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9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"Uncorrected VA-Dt post op 12 month"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udva_12m_label_raw; then logMAR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Source twelve-month label; date unverified; not the primary CDVA target.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10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"corrected (VA-Dt) pre-op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cdva_baseline_raw; then logMAR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9 populated entries; verify refractive correction and preoperative date.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11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"corrected VA-Dt post op 1 month"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cdva_1m_label_raw; then logMAR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6 populated entries; interim label, not the target.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12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"corrected VA-Dt post op 6 months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cdva_6m_label_raw; then logMAR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5 populated entries; do not carry forward into twelve months.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13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"corrected VA-Dt post op 12 month"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cdva_12m_label_raw; then logMAR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2 populated entries: row 6 is 20/30- and row 76 is 20/25. No dates verify the endpoint window; row 6 modifier requires review.</ns0:t>
            </ns0:r>
          </ns0:p>
        </ns0:tc>
      </ns0:tr>
    </ns0:tbl>
    <ns0:p>
      <ns0:pPr>
        <ns0:spacing ns0:after="0"/>
      </ns0:pP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