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Refraction columns</ns0:t>
      </ns0:r>
    </ns0:p>
    <ns0:p>
      <ns0:r>
        <ns0:t>All sphere, cylinder and MRSE fields use dioptres. Keep recorded and calculated MRSE separately. Derive MRSE only from valid paired sphere and cylinder at the same encounter. A trailing plus sign in refraction is a positive sign when the numeric context is clear; the same symbol in visual acuity is a letter modifier.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936"/>
        <ns0:gridCol ns0:w="2808"/>
        <ns0:gridCol ns0:w="2376"/>
        <ns0:gridCol ns0:w="3917"/>
      </ns0:tblGrid>
      <ns0:tr>
        <ns0:trPr>
          <ns0:tblHeader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CSV column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Exact source header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Clean field and unit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Interpretation and rule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15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"pre-op_sphere diopters"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sphere_baseline_D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sphere. PL or Pl in this field means plano subject to documented convention, not perception of light.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16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"preop_cylinder Diopters"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cylinder_baseline_D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cylinder; confirm cylinder convention.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17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"pre-op_mrse Diopters"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mrse_baseline_reported_D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Compare with sphere plus half cylinder. Missing reported MRSE may coexist with a valid derived value.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18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"postop_sphere after 1 month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sphere_1m_label_D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sphere at source one-month label.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19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"postop_cylinder after 1 month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cylinder_1m_label_D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cylinder at source one-month label.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20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"postop_mrse after 1 month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mrse_1m_label_reported_D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Recorded MRSE; consistency check only.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21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"postop_sphere after 6 months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sphere_6m_label_D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sphere at source six-month label.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22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"postop_cylinder after 6 months"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cylinder_6m_label_D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cylinder at source six-month label.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23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"postop_mrse after 6 months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mrse_6m_label_reported_D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Recorded MRSE; consistency check only.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24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"postop_sphere after 12 months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sphere_12m_label_D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sphere at source twelve-month label; date unverified.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25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"postop_cylinder after 12 months"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cylinder_12m_label_D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Signed cylinder at source twelve-month label; date unverified.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26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"postop_mrse after 12 months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mrse_12m_label_reported_D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Recorded MRSE; requires same-visit verification for endpoint analysis.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