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Topography and pachymetry columns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936"/>
        <ns0:gridCol ns0:w="2808"/>
        <ns0:gridCol ns0:w="2376"/>
        <ns0:gridCol ns0:w="3917"/>
      </ns0:tblGrid>
      <ns0:tr>
        <ns0:trPr>
          <ns0:tblHeader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CSV column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Exact source header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 and unit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Interpretation and rule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28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"preop_k1 diopters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k1_baseline_D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K1 in dioptres; remove explicit D suffix only after retaining raw.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29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"preop_k2 diopters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k2_baseline_D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K2 in dioptres; inspect consistency with K1.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30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"preop_kmax diopters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kmax_baseline_D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populated entries; candidate predictor after dated scan verification.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31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"Preop-thinnest loca"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thinnest_baseline_source_um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Despite loca label, values suggest thickness; confirm TCT meaning and micrometre units before renaming to tct_baseline_um.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32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"Preop-PAD-d"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pad_d_baseline_source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9 entries. PAD-d may refer to BAD-D; confirm source semantics before mapping to bad_d. No primary model use.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33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"postop_k1"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k1_postop_unassigned_D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No interval in header; date and visit must be recovered.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34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"postop_k2"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k2_postop_unassigned_D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Do not assign to twelve months automatically.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35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"postop_kmax"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kmax_postop_unassigned_D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Do not assign to twelve months automatically.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36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 op-thinnest loca"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thinnest_postop_unassigned_um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Confirm thickness metric, units and date.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37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 op - Pad d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pad_d_postop_unassigned_source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 entries. Confirm score identity, timing and date.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