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Provenance and extraction standards</ns0:t>
      </ns0:r>
    </ns0:p>
    <ns0:p>
      <ns0:r>
        <ns0:t>Retain a source hash, source row, exact field, raw value, clean value, rule version, timestamp and reviewer for every mapped observation. Prefer a dated operative report for procedure verification and a dated vision/refraction record for CDVA. A disagreement among sources requires clinical adjudication; no global rule can make one note authoritative for every field.</ns0:t>
      </ns0:r>
    </ns0:p>
    <ns0:p>
      <ns0:r>
        <ns0:t>Automated note extraction must record the quoted evidence location, laterality, date, negation and uncertainty. A mention of haze, progression or surgery without a positive finding and relevant chronology does not establish its presence.</ns0:t>
      </ns0: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