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KeraNova Planned Tables and Figures</ns0:t>
      </ns0:r>
    </ns0:p>
    <ns0:p>
      <ns0:r>
        <ns0:t>Committee output shells</ns0:t>
      </ns0:r>
    </ns0:p>
    <ns0:p>
      <ns0:r>
        <ns0:t>KeraNova Research Team  |  Version 1.0  |  1 October 2026</ns0:t>
      </ns0:r>
    </ns0:p>
    <ns0:p>
      <ns0:pPr>
        <ns0:pStyle ns0:val="Heading1"/>
      </ns0:pPr>
      <ns0:r>
        <ns0:t>1 How to use these shells</ns0:t>
      </ns0:r>
    </ns0:p>
    <ns0:p>
      <ns0:r>
        <ns0:t>Replace each [pending] field only with a verified output from the locked analysis and its saved denominator. A shell is not a results table. Current endpoint/identifier deficiencies prevent the primary model: display not run — data readiness unmet in the submission rather than fabricated metrics. Raw extract counts must never be labelled the final eligible cohort.</ns0:t>
      </ns0:r>
    </ns0:p>
    <ns0:p>
      <ns0:r>
        <ns0:t>Report eye counts and unique patient counts together. Continuous values use n, mean (SD) and median [IQR]; categories use n/N (%). Specify outcome availability, units and paired-change n. Unknown is separate from no/zero. The templates below correspond to the methodology and statistical plan.</ns0:t>
      </ns0:r>
    </ns0:p>
    <ns0:p>
      <ns0:r>
        <ns0:t>Abbreviations: CDVA, corrected distance visual acuity; UDVA, uncorrected distance visual acuity; ACXL, accelerated corneal cross-linking; TG-PRK, topography-guided photorefractive keratectomy; TCT, thinnest corneal thickness; D, dioptres; MAE, mean absolute error; RMSE, root mean squared error; CI, confidence interval.</ns0:t>
      </ns0: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