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Supplementary public-feasibility outputs</ns0:t>
      </ns0:r>
    </ns0:p>
    <ns0:p>
      <ns0:r>
        <ns0:t>If the separately registered public CXL-only experiment is executed, supply its own screening/missingness table, five-predictor model performance table, calibration plot and coefficient table. Use the label public CXL-only, nominal one-year CDVA throughout. Report source patient-ID counts, adult/quality exclusions, CXL protocol mix and unresolved date/laterality limitations. These results do not populate the KKESH treatment-comparison tables or establish external validation of its model.</ns0:t>
      </ns0:r>
    </ns0:p>
    <ns0:p>
      <ns0:pPr>
        <ns0:pStyle ns0:val="Heading1"/>
      </ns0:pPr>
      <ns0:r>
        <ns0:t>3 Output verification and references</ns0:t>
      </ns0:r>
    </ns0:p>
    <ns0:p>
      <ns0:r>
        <ns0:t>Reporting basis: Collins GS et al. TRIPOD+AI. BMJ. 2024;385:e078378. https://doi.org/10.1136/bmj-2023-078378</ns0:t>
      </ns0:r>
    </ns0:p>
    <ns0:p>
      <ns0:r>
        <ns0:t>Development/evaluation appraisal: Moons KGM et al. PROBAST+AI. BMJ. 2025;388:e082505. https://doi.org/10.1136/bmj-2024-082505</ns0:t>
      </ns0:r>
    </ns0:p>
    <ns0:p>
      <ns0:r>
        <ns0:t>Analysis definitions and denominator rules are governed by the accompanying Statistical Analysis Plan, version 1.0.</ns0:t>
      </ns0:r>
    </ns0:p>
    <ns0:p>
      <ns0:pPr>
        <ns0:pStyle ns0:val="ListBullet"/>
      </ns0:pPr>
      <ns0:r>
        <ns0:t>Reconcile screening and analysis counts to the saved population and unique coded patients.</ns0:t>
      </ns0:r>
    </ns0:p>
    <ns0:p>
      <ns0:pPr>
        <ns0:pStyle ns0:val="ListBullet"/>
      </ns0:pPr>
      <ns0:r>
        <ns0:t>Check every unit, visual-acuity conversion and paired-change sign against the transformation specification.</ns0:t>
      </ns0:r>
    </ns0:p>
    <ns0:p>
      <ns0:pPr>
        <ns0:pStyle ns0:val="ListBullet"/>
      </ns0:pPr>
      <ns0:r>
        <ns0:t>Recalculate representative summary cells and model metrics independently from saved analytical data/predictions.</ns0:t>
      </ns0:r>
    </ns0:p>
    <ns0:p>
      <ns0:pPr>
        <ns0:pStyle ns0:val="ListBullet"/>
      </ns0:pPr>
      <ns0:r>
        <ns0:t>Confirm no patient appears in both training and test partitions, including bootstrap duplicates.</ns0:t>
      </ns0:r>
    </ns0:p>
    <ns0:p>
      <ns0:pPr>
        <ns0:pStyle ns0:val="ListBullet"/>
      </ns0:pPr>
      <ns0:r>
        <ns0:t>Show missingness, dates, failed resamples and analysis limitations; all unavailable results say not run or not estimable.</ns0:t>
      </ns0:r>
    </ns0:p>
    <ns0:p>
      <ns0:pPr>
        <ns0:pStyle ns0:val="ListBullet"/>
      </ns0:pPr>
      <ns0:r>
        <ns0:t>Inspect rendered tables and figures for clipped text, unreadable labels, fabricated precision and accidental identifiers.</ns0:t>
      </ns0: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