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Table 2 Baseline characteristics of the verified eligible cohorts</ns0:t>
      </ns0:r>
    </ns0:p>
    <ns0:p>
      <ns0:r>
        <ns0:t>Footnote: baseline is the nearest valid preoperative examination. Show standardized differences in a supplementary column if useful; do not use baseline p-values to choose model predictors. Sex/laterality percentages use known documented categories and explicitly state the denominator.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tblHeader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Characteristic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TG-PRK + ACXL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ACXL alone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Missing / note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Eyes / unique patients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 / 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 / N]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Report overall unique patients separately.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Age at index treatment, years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[missing n per cohort]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Recorded sex, categories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[unknown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OD / OS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[unknown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Baseline CDVA, logMAR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Baseline UDVA, logMAR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Sphere / cylinder / spherical equivalent, D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[separate rows in results]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[separate rows in results]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[missing n per measure]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K1 / K2 / Kmax, D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[separate rows in results]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[separate rows in results]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[missing n per measure]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TCT, micrometres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mean(SD);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[missing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Amsler–Krumeich stage, if verified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 per stage]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 per stage]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[unknown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Baseline-to-surgery interval, days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[n; median(IQR)]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[missing date n]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