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Heading1"/>
      </ns0:pPr>
      <ns0:r>
        <ns0:t>Table 3 Primary outcome availability and one-year vision</ns0:t>
      </ns0:r>
    </ns0:p>
    <ns0:p>
      <ns0:r>
        <ns0:t>Footnote: negative logMAR change means improved vision. Primary secondary-comparison difference is combined minus ACXL, adjusted for baseline CDVA using CDVA12 ~ treatment + CDVA0. CIs use patient-cluster bootstrap where feasible; all cohort comparisons are observational and exploratory. A missing estimate is labelled not estimable with its reason.</ns0:t>
      </ns0:r>
    </ns0:p>
    <ns0:tbl>
      <ns0:tblPr>
        <ns0:tblStyle ns0:val="TableGrid"/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2509"/>
        <ns0:gridCol ns0:w="2509"/>
        <ns0:gridCol ns0:w="2509"/>
        <ns0:gridCol ns0:w="2509"/>
      </ns0:tblGrid>
      <ns0:tr>
        <ns0:trPr>
          <ns0:tblHeader/>
        </ns0:trPr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shd ns0:fill="E8F1F3"/>
          </ns0:tcPr>
          <ns0:p>
            <ns0:pPr>
              <ns0:keepNext/>
              <ns0:spacing ns0:after="60" ns0:line="240" ns0:lineRule="auto"/>
            </ns0:pPr>
            <ns0:r>
              <ns0:rPr>
                <ns0:rFonts ns0:ascii="Calibri" ns0:hAnsi="Calibri"/>
                <ns0:b/>
                <ns0:sz ns0:val="18"/>
              </ns0:rPr>
              <ns0:t>Measure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shd ns0:fill="E8F1F3"/>
          </ns0:tcPr>
          <ns0:p>
            <ns0:pPr>
              <ns0:keepNext/>
              <ns0:spacing ns0:after="60" ns0:line="240" ns0:lineRule="auto"/>
            </ns0:pPr>
            <ns0:r>
              <ns0:rPr>
                <ns0:rFonts ns0:ascii="Calibri" ns0:hAnsi="Calibri"/>
                <ns0:b/>
                <ns0:sz ns0:val="18"/>
              </ns0:rPr>
              <ns0:t>TG-PRK + ACXL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shd ns0:fill="E8F1F3"/>
          </ns0:tcPr>
          <ns0:p>
            <ns0:pPr>
              <ns0:keepNext/>
              <ns0:spacing ns0:after="60" ns0:line="240" ns0:lineRule="auto"/>
            </ns0:pPr>
            <ns0:r>
              <ns0:rPr>
                <ns0:rFonts ns0:ascii="Calibri" ns0:hAnsi="Calibri"/>
                <ns0:b/>
                <ns0:sz ns0:val="18"/>
              </ns0:rPr>
              <ns0:t>ACXL alone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shd ns0:fill="E8F1F3"/>
          </ns0:tcPr>
          <ns0:p>
            <ns0:pPr>
              <ns0:keepNext/>
              <ns0:spacing ns0:after="60" ns0:line="240" ns0:lineRule="auto"/>
            </ns0:pPr>
            <ns0:r>
              <ns0:rPr>
                <ns0:rFonts ns0:ascii="Calibri" ns0:hAnsi="Calibri"/>
                <ns0:b/>
                <ns0:sz ns0:val="18"/>
              </ns0:rPr>
              <ns0:t>Comparison / explanation</ns0:t>
            </ns0:r>
          </ns0:p>
        </ns0:tc>
      </ns0:tr>
      <ns0:tr>
        <ns0:trPr>
          <ns0:cantSplit/>
        </ns0:trPr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Endpoint available / eligible eyes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[n/N (%)]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[n/N (%)]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Dated CDVA in the selected window.</ns0:t>
            </ns0:r>
          </ns0:p>
        </ns0:tc>
      </ns0:tr>
      <ns0:tr>
        <ns0:trPr>
          <ns0:cantSplit/>
        </ns0:trPr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Actual follow-up interval, days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[n; median(IQR)]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[n; median(IQR)]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Use dates, not column labels.</ns0:t>
            </ns0:r>
          </ns0:p>
        </ns0:tc>
      </ns0:tr>
      <ns0:tr>
        <ns0:trPr>
          <ns0:cantSplit/>
        </ns0:trPr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12-month CDVA, logMAR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[n; mean(SD); median(IQR)]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[n; mean(SD); median(IQR)]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[adjusted difference; 95% CI]</ns0:t>
            </ns0:r>
          </ns0:p>
        </ns0:tc>
      </ns0:tr>
      <ns0:tr>
        <ns0:trPr>
          <ns0:cantSplit/>
        </ns0:trPr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CDVA change, logMAR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[paired n; mean(SD)]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[paired n; mean(SD)]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Follow-up minus baseline.</ns0:t>
            </ns0:r>
          </ns0:p>
        </ns0:tc>
      </ns0:tr>
      <ns0:tr>
        <ns0:trPr>
          <ns0:cantSplit/>
        </ns0:trPr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12-month UDVA, logMAR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[n; mean(SD); median(IQR)]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[n; mean(SD); median(IQR)]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[exploratory difference; 95% CI]</ns0:t>
            </ns0:r>
          </ns0:p>
        </ns0:tc>
      </ns0:tr>
      <ns0:tr>
        <ns0:trPr>
          <ns0:cantSplit/>
        </ns0:trPr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UDVA change, logMAR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[paired n; mean(SD)]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[paired n; mean(SD)]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[difference in mean change; 95% CI]</ns0:t>
            </ns0:r>
          </ns0:p>
        </ns0:tc>
      </ns0:tr>
    </ns0:tbl>
    <ns0:p>
      <ns0:pPr>
        <ns0:spacing ns0:after="0"/>
      </ns0:pPr>
    </ns0:p>
    <ns0:sectPr ns0:rsidR="00FC693F" ns0:rsidRPr="0006063C" ns0:rsidSect="00034616">
      <ns0:footerReference ns0:type="default" ns2:id="rId9"/>
      <ns0:pgSz ns0:w="11909" ns0:h="16834"/>
      <ns0:pgMar ns0:top="936" ns0:right="936" ns0:bottom="936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KeraNova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Keratoconus cohort and explainable outcome prediction</dc:subject>
  <dc:creator>KeraNova Research Team</dc:creator>
  <cp:keywords>KeraNova, keratoconus, research protocol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