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Table 4 Refraction and corneal measurements at one year</ns0:t>
      </ns0:r>
    </ns0:p>
    <ns0:p>
      <ns0:r>
        <ns0:t>Footnote: each endpoint uses the prespecified one-year visit and its own valid measurement availability. Summary means mean(SD) and median[IQR]; change is follow-up minus baseline for paired eyes. Expand rows/columns in final results for readability. Do not call a change beneficial or a proof of stability without clinical interpretation and longitudinal evidence.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509"/>
        <ns0:gridCol ns0:w="2509"/>
        <ns0:gridCol ns0:w="2509"/>
        <ns0:gridCol ns0:w="2509"/>
      </ns0:tblGrid>
      <ns0:tr>
        <ns0:trPr>
          <ns0:tblHeader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Measure (unit)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Combined: endpoint / change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ACXL: endpoint / change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Difference in mean change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Sphere (D)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[estimate; 95% CI]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Cylinder (D)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[estimate; 95% CI]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Spherical equivalent (D)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[estimate; 95% CI]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K1 (D)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[estimate; 95% CI]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K2 (D)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[estimate; 95% CI]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Kmax (D)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[estimate; 95% CI]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TCT (micrometres)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summary / paired n; change]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[estimate; 95% CI]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