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Heading1"/>
      </ns0:pPr>
      <ns0:r>
        <ns0:t>Table 5 Recorded complications and additional procedures</ns0:t>
      </ns0:r>
    </ns0:p>
    <ns0:p>
      <ns0:r>
        <ns0:t>Footnote: no event requires explicit negative assessment or source-adjudicated documentation; an empty haze field is not no haze. Present descriptive events and assessment completeness. No haze-resolution curve is planned without dated onset/resolution and censoring evidence.</ns0:t>
      </ns0:r>
    </ns0:p>
    <ns0:tbl>
      <ns0:tblPr>
        <ns0:tblStyle ns0:val="TableGrid"/>
        <ns0:tblW ns0:type="auto" ns0:w="0"/>
        <ns0:jc ns0:val="center"/>
        <ns0:tblLayout ns0:type="fixed"/>
        <ns0:tblLook ns0:firstColumn="1" ns0:firstRow="1" ns0:lastColumn="0" ns0:lastRow="0" ns0:noHBand="0" ns0:noVBand="1" ns0:val="04A0"/>
      </ns0:tblPr>
      <ns0:tblGrid>
        <ns0:gridCol ns0:w="2509"/>
        <ns0:gridCol ns0:w="2509"/>
        <ns0:gridCol ns0:w="2509"/>
        <ns0:gridCol ns0:w="2509"/>
      </ns0:tblGrid>
      <ns0:tr>
        <ns0:trPr>
          <ns0:tblHeader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Recorded outcome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TG-PRK + ACXL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ACXL alone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  <ns0:shd ns0:fill="E8F1F3"/>
          </ns0:tcPr>
          <ns0:p>
            <ns0:pPr>
              <ns0:keepNext/>
              <ns0:spacing ns0:after="60" ns0:line="240" ns0:lineRule="auto"/>
            </ns0:pPr>
            <ns0:r>
              <ns0:rPr>
                <ns0:rFonts ns0:ascii="Calibri" ns0:hAnsi="Calibri"/>
                <ns0:b/>
                <ns0:sz ns0:val="18"/>
              </ns0:rPr>
              <ns0:t>Unknown / not assessed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Any documented haze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[events / assessed (%)]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[events / assessed (%)]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 per group]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Haze grade at selected endpoint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[n/N (%) per grade]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[n/N (%) per grade]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[unknown grade n]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Delayed epithelial healing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[events / assessed (%)]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[events / assessed (%)]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 per group]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Corneal infection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[events / assessed (%)]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[events / assessed (%)]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 per group]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Retreatment / additional corneal procedure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[n/N (%); procedure]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[n/N (%); procedure]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[unknown n]</ns0:t>
            </ns0:r>
          </ns0:p>
        </ns0:tc>
      </ns0:tr>
      <ns0:tr>
        <ns0:trPr>
          <ns0:cantSplit/>
        </ns0:trPr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Other complication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[event; n/N (%)]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[event; n/N (%)]</ns0:t>
            </ns0:r>
          </ns0:p>
        </ns0:tc>
        <ns0:tc>
          <ns0:tcPr>
            <ns0:tcW ns0:type="dxa" ns0:w="2509"/>
            <ns0:vAlign ns0:val="top"/>
            <ns0:tcMar>
              <ns0:top ns0:w="70" ns0:type="dxa"/>
              <ns0:left ns0:w="70" ns0:type="dxa"/>
              <ns0:bottom ns0:w="70" ns0:type="dxa"/>
              <ns0:right ns0:w="70" ns0:type="dxa"/>
            </ns0:tcMar>
          </ns0:tcPr>
          <ns0:p>
            <ns0:pPr>
              <ns0:spacing ns0:after="60" ns0:line="240" ns0:lineRule="auto"/>
            </ns0:pPr>
            <ns0:r>
              <ns0:rPr>
                <ns0:rFonts ns0:ascii="Calibri" ns0:hAnsi="Calibri"/>
                <ns0:b ns0:val="0"/>
                <ns0:sz ns0:val="18"/>
              </ns0:rPr>
              <ns0:t>[unknown n]</ns0:t>
            </ns0:r>
          </ns0:p>
        </ns0:tc>
      </ns0:tr>
    </ns0:tbl>
    <ns0:p>
      <ns0:pPr>
        <ns0:spacing ns0:after="0"/>
      </ns0:pPr>
    </ns0:p>
    <ns0:sectPr ns0:rsidR="00FC693F" ns0:rsidRPr="0006063C" ns0:rsidSect="00034616">
      <ns0:footerReference ns0:type="default" ns2:id="rId9"/>
      <ns0:pgSz ns0:w="11909" ns0:h="16834"/>
      <ns0:pgMar ns0:top="936" ns0:right="936" ns0:bottom="936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KeraNova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Keratoconus cohort and explainable outcome prediction</dc:subject>
  <dc:creator>KeraNova Research Team</dc:creator>
  <cp:keywords>KeraNova, keratoconus, research protocol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