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Heading1"/>
      </ns0:pPr>
      <ns0:r>
        <ns0:t>Table 6 Internally validated prediction performance</ns0:t>
      </ns0:r>
    </ns0:p>
    <ns0:p>
      <ns0:r>
        <ns0:t>Required footnotes: model-population eyes and unique patients; 20 repeats of grouped five-fold outer/four-fold inner validation; training-only preprocessing; penalty grid/objective; mean repeat-level metrics; 1,000 patient-cluster bootstrap attempts, successful number and failed reasons. Calibration ideal values are intercept 0 and slope 1. Fold scores are not independent observations. Label confidence intervals approximate and exploratory. Current data readiness is unmet, so no actual performance values are supplied.</ns0:t>
      </ns0:r>
    </ns0:p>
    <ns0:tbl>
      <ns0:tblPr>
        <ns0:tblStyle ns0:val="TableGrid"/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509"/>
        <ns0:gridCol ns0:w="2509"/>
        <ns0:gridCol ns0:w="2509"/>
        <ns0:gridCol ns0:w="2509"/>
      </ns0:tblGrid>
      <ns0:tr>
        <ns0:trPr>
          <ns0:tblHeader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Model / comparison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MAE, logMAR (95% CI)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RMSE, logMAR (95% CI)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Calibration intercept / slope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Training mean reference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[not run / estimate]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[not run / estimate]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[intercept; slope not applicable if constant]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Clinical benchmark: baseline CDVA + cohort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[not run / estimate]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[not run / estimate]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[a; b; 95% CIs]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Ridge: six baseline predictors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[not run / estimate]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[not run / estimate]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[a; b; 95% CIs]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Ridge minus benchmark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[paired difference; 95% CI]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[paired difference; 95% CI]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[descriptive comparison]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Sensitivity: one eye per patient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[not run / estimate]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[not run / estimate]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[a; b; 95% CIs]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Sensitivity: Kmax/TCT imputation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[not run / estimate]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[not run / estimate]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[a; b; 95% CIs]</ns0:t>
            </ns0:r>
          </ns0:p>
        </ns0:tc>
      </ns0:tr>
    </ns0:tbl>
    <ns0:p>
      <ns0:pPr>
        <ns0:spacing ns0:after="0"/>
      </ns0:pPr>
    </ns0:p>
    <ns0:sectPr ns0:rsidR="00FC693F" ns0:rsidRPr="0006063C" ns0:rsidSect="00034616">
      <ns0:footerReference ns0:type="default" ns2:id="rId9"/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KeraNova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Keratoconus cohort and explainable outcome prediction</dc:subject>
  <dc:creator>KeraNova Research Team</dc:creator>
  <cp:keywords>KeraNova, keratoconus, research protocol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