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Heading1"/>
      </ns0:pPr>
      <ns0:r>
        <ns0:t>Table 7 Final model transparency and missingness</ns0:t>
      </ns0:r>
    </ns0:p>
    <ns0:p>
      <ns0:r>
        <ns0:t>Footnote: record final penalty/objective, scaling means/SDs and preprocessing with the model artefact. Ridge coefficients describe conditional predictive associations; no conventional unpenalized coefficient p-values or causal interpretation. Provide a supplementary missingness table for every variable, baseline/follow-up slot and cohort, and baseline characteristics of endpoint-observed versus endpoint-missing eyes.</ns0:t>
      </ns0:r>
    </ns0:p>
    <ns0:tbl>
      <ns0:tblPr>
        <ns0:tblStyle ns0:val="TableGrid"/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2509"/>
        <ns0:gridCol ns0:w="2509"/>
        <ns0:gridCol ns0:w="2509"/>
        <ns0:gridCol ns0:w="2509"/>
      </ns0:tblGrid>
      <ns0:tr>
        <ns0:trPr>
          <ns0:tblHeader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Predictor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Unit / coding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Final coefficient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Resampling stability / missing n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Intercept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Original logMAR scale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[not run]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[bootstrap distribution]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Baseline CDVA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Per 1 logMAR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[not run]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[direction / distribution; missing n]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Age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Per 1 year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[not run]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[direction / distribution; missing n]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Recorded sex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Male=1, female=0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[not run]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[direction / distribution; missing n]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Treatment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Combined=1, ACXL alone=0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[not run]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[direction / distribution; missing n]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Kmax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Per 1 D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[not run]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[direction / distribution; missing n]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TCT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Per 1 micrometre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[not run]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[direction / distribution; missing n]</ns0:t>
            </ns0:r>
          </ns0:p>
        </ns0:tc>
      </ns0:tr>
    </ns0:tbl>
    <ns0:p>
      <ns0:pPr>
        <ns0:spacing ns0:after="0"/>
      </ns0:pPr>
    </ns0:p>
    <ns0:sectPr ns0:rsidR="00FC693F" ns0:rsidRPr="0006063C" ns0:rsidSect="00034616">
      <ns0:footerReference ns0:type="default" ns2:id="rId9"/>
      <ns0:pgSz ns0:w="11909" ns0:h="16834"/>
      <ns0:pgMar ns0:top="936" ns0:right="936" ns0:bottom="936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KeraNova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Keratoconus cohort and explainable outcome prediction</dc:subject>
  <dc:creator>KeraNova Research Team</dc:creator>
  <cp:keywords>KeraNova, keratoconus, research protocol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