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Heading1"/>
      </ns0:pPr>
      <ns0:r>
        <ns0:t>2 Figure specifications</ns0:t>
      </ns0:r>
    </ns0:p>
    <ns0:tbl>
      <ns0:tblPr>
        <ns0:tblStyle ns0:val="TableGrid"/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2160"/>
        <ns0:gridCol ns0:w="2880"/>
        <ns0:gridCol ns0:w="4997"/>
      </ns0:tblGrid>
      <ns0:tr>
        <ns0:trPr>
          <ns0:tblHeader/>
        </ns0:trPr>
        <ns0:tc>
          <ns0:tcPr>
            <ns0:tcW ns0:type="dxa" ns0:w="216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Figure</ns0:t>
            </ns0:r>
          </ns0:p>
        </ns0:tc>
        <ns0:tc>
          <ns0:tcPr>
            <ns0:tcW ns0:type="dxa" ns0:w="288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Specification</ns0:t>
            </ns0:r>
          </ns0:p>
        </ns0:tc>
        <ns0:tc>
          <ns0:tcPr>
            <ns0:tcW ns0:type="dxa" ns0:w="499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Readiness / interpretation</ns0:t>
            </ns0:r>
          </ns0:p>
        </ns0:tc>
      </ns0:tr>
      <ns0:tr>
        <ns0:trPr>
          <ns0:cantSplit/>
        </ns0:trPr>
        <ns0:tc>
          <ns0:tcPr>
            <ns0:tcW ns0:type="dxa" ns0:w="216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1. Cohort flow</ns0:t>
            </ns0:r>
          </ns0:p>
        </ns0:tc>
        <ns0:tc>
          <ns0:tcPr>
            <ns0:tcW ns0:type="dxa" ns0:w="288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Source records → verified cohorts → exclusions/pending → endpoint availability → prediction sample; eyes and patients at each stage.</ns0:t>
            </ns0:r>
          </ns0:p>
        </ns0:tc>
        <ns0:tc>
          <ns0:tcPr>
            <ns0:tcW ns0:type="dxa" ns0:w="499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Counts must reconcile; planned sample is a note, not a result.</ns0:t>
            </ns0:r>
          </ns0:p>
        </ns0:tc>
      </ns0:tr>
      <ns0:tr>
        <ns0:trPr>
          <ns0:cantSplit/>
        </ns0:trPr>
        <ns0:tc>
          <ns0:tcPr>
            <ns0:tcW ns0:type="dxa" ns0:w="216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2. Missingness map</ns0:t>
            </ns0:r>
          </ns0:p>
        </ns0:tc>
        <ns0:tc>
          <ns0:tcPr>
            <ns0:tcW ns0:type="dxa" ns0:w="288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Variables × record rows, with missing/observed/unverified distinctions; companion per-cohort percentage chart.</ns0:t>
            </ns0:r>
          </ns0:p>
        </ns0:tc>
        <ns0:tc>
          <ns0:tcPr>
            <ns0:tcW ns0:type="dxa" ns0:w="499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Can be produced from the current audit without claiming model readiness; no identifiers displayed.</ns0:t>
            </ns0:r>
          </ns0:p>
        </ns0:tc>
      </ns0:tr>
      <ns0:tr>
        <ns0:trPr>
          <ns0:cantSplit/>
        </ns0:trPr>
        <ns0:tc>
          <ns0:tcPr>
            <ns0:tcW ns0:type="dxa" ns0:w="216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3. Baseline-to-one-year CDVA</ns0:t>
            </ns0:r>
          </ns0:p>
        </ns0:tc>
        <ns0:tc>
          <ns0:tcPr>
            <ns0:tcW ns0:type="dxa" ns0:w="288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Paired eye trajectories or distribution plots by treatment; show paired n and actual window.</ns0:t>
            </ns0:r>
          </ns0:p>
        </ns0:tc>
        <ns0:tc>
          <ns0:tcPr>
            <ns0:tcW ns0:type="dxa" ns0:w="499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Only dated verified outcomes; do not connect unavailable observations.</ns0:t>
            </ns0:r>
          </ns0:p>
        </ns0:tc>
      </ns0:tr>
      <ns0:tr>
        <ns0:trPr>
          <ns0:cantSplit/>
        </ns0:trPr>
        <ns0:tc>
          <ns0:tcPr>
            <ns0:tcW ns0:type="dxa" ns0:w="216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4. Observed versus predicted CDVA</ns0:t>
            </ns0:r>
          </ns0:p>
        </ns0:tc>
        <ns0:tc>
          <ns0:tcPr>
            <ns0:tcW ns0:type="dxa" ns0:w="288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Held-out predictions versus observed logMAR; identity line, treatment colours and population n.</ns0:t>
            </ns0:r>
          </ns0:p>
        </ns0:tc>
        <ns0:tc>
          <ns0:tcPr>
            <ns0:tcW ns0:type="dxa" ns0:w="499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Requires valid grouped evaluation. Each eye's mean held-out prediction is a display summary, not extra data.</ns0:t>
            </ns0:r>
          </ns0:p>
        </ns0:tc>
      </ns0:tr>
      <ns0:tr>
        <ns0:trPr>
          <ns0:cantSplit/>
        </ns0:trPr>
        <ns0:tc>
          <ns0:tcPr>
            <ns0:tcW ns0:type="dxa" ns0:w="216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5. Calibration and residuals</ns0:t>
            </ns0:r>
          </ns0:p>
        </ns0:tc>
        <ns0:tc>
          <ns0:tcPr>
            <ns0:tcW ns0:type="dxa" ns0:w="288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Held-out calibration fit with identity line; residual-versus-prediction panel; show uncertainty and sparse-data limitations.</ns0:t>
            </ns0:r>
          </ns0:p>
        </ns0:tc>
        <ns0:tc>
          <ns0:tcPr>
            <ns0:tcW ns0:type="dxa" ns0:w="499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Continuous-outcome calibration; no arbitrary risk groups.</ns0:t>
            </ns0:r>
          </ns0:p>
        </ns0:tc>
      </ns0:tr>
      <ns0:tr>
        <ns0:trPr>
          <ns0:cantSplit/>
        </ns0:trPr>
        <ns0:tc>
          <ns0:tcPr>
            <ns0:tcW ns0:type="dxa" ns0:w="216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6. Predictor associations</ns0:t>
            </ns0:r>
          </ns0:p>
        </ns0:tc>
        <ns0:tc>
          <ns0:tcPr>
            <ns0:tcW ns0:type="dxa" ns0:w="288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Original-unit/standardized ridge coefficient plot with resampling variability and units.</ns0:t>
            </ns0:r>
          </ns0:p>
        </ns0:tc>
        <ns0:tc>
          <ns0:tcPr>
            <ns0:tcW ns0:type="dxa" ns0:w="499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Predictive associations; correlated features and shrinkage affect magnitude.</ns0:t>
            </ns0:r>
          </ns0:p>
        </ns0:tc>
      </ns0:tr>
      <ns0:tr>
        <ns0:trPr>
          <ns0:cantSplit/>
        </ns0:trPr>
        <ns0:tc>
          <ns0:tcPr>
            <ns0:tcW ns0:type="dxa" ns0:w="216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7. Error comparison</ns0:t>
            </ns0:r>
          </ns0:p>
        </ns0:tc>
        <ns0:tc>
          <ns0:tcPr>
            <ns0:tcW ns0:type="dxa" ns0:w="288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MAE/RMSE and paired ridge-minus-benchmark differences with approximate patient-cluster CIs.</ns0:t>
            </ns0:r>
          </ns0:p>
        </ns0:tc>
        <ns0:tc>
          <ns0:tcPr>
            <ns0:tcW ns0:type="dxa" ns0:w="499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No plot if model was not run; no clinical superiority or deployment claim.</ns0:t>
            </ns0:r>
          </ns0:p>
        </ns0:tc>
      </ns0:tr>
    </ns0:tbl>
    <ns0:p>
      <ns0:pPr>
        <ns0:spacing ns0:after="0"/>
      </ns0:pPr>
    </ns0:p>
    <ns0:sectPr ns0:rsidR="00FC693F" ns0:rsidRPr="0006063C" ns0:rsidSect="00034616">
      <ns0:footerReference ns0:type="default" ns2:id="rId9"/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KeraNova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Keratoconus cohort and explainable outcome prediction</dc:subject>
  <dc:creator>KeraNova Research Team</dc:creator>
  <cp:keywords>KeraNova, keratoconus, research protocol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