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KeraNova Data Collection Sheet</w:t>
      </w:r>
    </w:p>
    <w:p>
      <w:r>
        <w:t>Version 1.0 for committee review on 1 October 2026</w:t>
      </w:r>
    </w:p>
    <w:p>
      <w:r>
        <w:t>KeraNova Research Team  |  Version 1.0  |  1 October 2026</w:t>
      </w:r>
    </w:p>
    <w:p>
      <w:pPr>
        <w:pStyle w:val="Heading1"/>
      </w:pPr>
      <w:r>
        <w:t>Purpose and use</w:t>
      </w:r>
    </w:p>
    <w:p>
      <w:r>
        <w:t>This form supports KeraNova, a retrospective keratoconus study and exploratory prediction of twelve-month corrected distance visual acuity (CDVA). Complete one eye treatment record and repeat the visit form for every relevant visit. An empty entry space is intended for data collection; it is not a patient result.</w:t>
      </w:r>
    </w:p>
    <w:p>
      <w:r>
        <w:t>Use coded patient IDs in the analytic file. The authorized institutional custodian maintains the linkage to source records separately. The index treatment is TG-PRK plus accelerated corneal cross-linking (CXL), or accelerated CXL alone, documented during the parent study period. The intended cohort is up to 60 eligible eyes with 30 per group. Verify the actual cohort before reporting its size.</w:t>
      </w:r>
    </w:p>
    <w:p>
      <w:r>
        <w:t>Record the original measurement and its method before conversion. Use ND for not documented, NA for not applicable, UNK for explicitly unknown, NR for a source that cannot be retrieved, and AMBIG for an unresolved meaning or conflict. Zero and No are observed values. Do not fill missing CDVA from uncorrected or pinhole vision.</w:t>
      </w:r>
    </w:p>
    <w:p>
      <w:pPr>
        <w:pStyle w:val="Heading1"/>
      </w:pPr>
      <w:r>
        <w:t>Record identity and source</w:t>
      </w:r>
    </w:p>
    <w:tbl>
      <w:tblPr>
        <w:tblStyle w:val="TableGrid"/>
        <w:tblW w:type="auto" w:w="0"/>
        <w:jc w:val="center"/>
        <w:tblLayout w:type="fixed"/>
        <w:tblLook w:firstColumn="1" w:firstRow="1" w:lastColumn="0" w:lastRow="0" w:noHBand="0" w:noVBand="1" w:val="04A0"/>
      </w:tblPr>
      <w:tblGrid>
        <w:gridCol w:w="2160"/>
        <w:gridCol w:w="2880"/>
        <w:gridCol w:w="4997"/>
      </w:tblGrid>
      <w:tr>
        <w:trPr>
          <w:tblHeader/>
        </w:trPr>
        <w:tc>
          <w:tcPr>
            <w:tcW w:type="dxa" w:w="2160"/>
            <w:vAlign w:val="top"/>
            <w:tcMar>
              <w:top w:w="70" w:type="dxa"/>
              <w:left w:w="70" w:type="dxa"/>
              <w:bottom w:w="70" w:type="dxa"/>
              <w:right w:w="70" w:type="dxa"/>
            </w:tcMar>
            <w:shd w:fill="E8F1F3"/>
          </w:tcPr>
          <w:p>
            <w:pPr>
              <w:keepNext/>
              <w:spacing w:after="60" w:line="240" w:lineRule="auto"/>
            </w:pPr>
            <w:r>
              <w:rPr>
                <w:rFonts w:ascii="Calibri" w:hAnsi="Calibri"/>
                <w:b/>
                <w:sz w:val="18"/>
              </w:rPr>
              <w:t>Field</w:t>
            </w:r>
          </w:p>
        </w:tc>
        <w:tc>
          <w:tcPr>
            <w:tcW w:type="dxa" w:w="2880"/>
            <w:vAlign w:val="top"/>
            <w:tcMar>
              <w:top w:w="70" w:type="dxa"/>
              <w:left w:w="70" w:type="dxa"/>
              <w:bottom w:w="70" w:type="dxa"/>
              <w:right w:w="70" w:type="dxa"/>
            </w:tcMar>
            <w:shd w:fill="E8F1F3"/>
          </w:tcPr>
          <w:p>
            <w:pPr>
              <w:keepNext/>
              <w:spacing w:after="60" w:line="240" w:lineRule="auto"/>
            </w:pPr>
            <w:r>
              <w:rPr>
                <w:rFonts w:ascii="Calibri" w:hAnsi="Calibri"/>
                <w:b/>
                <w:sz w:val="18"/>
              </w:rPr>
              <w:t>Entry</w:t>
            </w:r>
          </w:p>
        </w:tc>
        <w:tc>
          <w:tcPr>
            <w:tcW w:type="dxa" w:w="4997"/>
            <w:vAlign w:val="top"/>
            <w:tcMar>
              <w:top w:w="70" w:type="dxa"/>
              <w:left w:w="70" w:type="dxa"/>
              <w:bottom w:w="70" w:type="dxa"/>
              <w:right w:w="70" w:type="dxa"/>
            </w:tcMar>
            <w:shd w:fill="E8F1F3"/>
          </w:tcPr>
          <w:p>
            <w:pPr>
              <w:keepNext/>
              <w:spacing w:after="60" w:line="240" w:lineRule="auto"/>
            </w:pPr>
            <w:r>
              <w:rPr>
                <w:rFonts w:ascii="Calibri" w:hAnsi="Calibri"/>
                <w:b/>
                <w:sz w:val="18"/>
              </w:rPr>
              <w:t>Required evidence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Coded patient ID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Stable across both eyes and visits</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Eye record ID and index episode ID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Unique eye and treatment episode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Laterality</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OD / OS / UNK</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Right or left from source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Age at index treatment</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 completed years</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Date of birth and index date checked locally; no birth date in analytic export</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Sex as documented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Male / Female / Other recorded / UNK</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Do not infer from name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Source reference and extraction date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File hash, source row or coded record and YYYY-MM-DD</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Extractor and reviewer codes</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Coded staff identifiers</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Index treatment date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YYYY-MM-DD 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Operative record</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Final eligibility status and reason</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Eligible / Excluded / Pending</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Record each reason and supporting source</w:t>
            </w:r>
          </w:p>
        </w:tc>
      </w:tr>
    </w:tbl>
    <w:p>
      <w:pPr>
        <w:spacing w:after="0"/>
      </w:pPr>
    </w:p>
    <w:p>
      <w:pPr>
        <w:pStyle w:val="Heading1"/>
      </w:pPr>
      <w:r>
        <w:t>Eligibility screening</w:t>
      </w:r>
    </w:p>
    <w:p>
      <w:r>
        <w:t>Complete every criterion from dated source records. Do not infer progression or a contraindication from a single topographic measurement. The clinical lead must confirm the operational progression definition and procedure-specific thickness safety criterion before cohort selection. A missing criterion remains pending.</w:t>
      </w:r>
    </w:p>
    <w:tbl>
      <w:tblPr>
        <w:tblStyle w:val="TableGrid"/>
        <w:tblW w:type="auto" w:w="0"/>
        <w:jc w:val="center"/>
        <w:tblLayout w:type="fixed"/>
        <w:tblLook w:firstColumn="1" w:firstRow="1" w:lastColumn="0" w:lastRow="0" w:noHBand="0" w:noVBand="1" w:val="04A0"/>
      </w:tblPr>
      <w:tblGrid>
        <w:gridCol w:w="2160"/>
        <w:gridCol w:w="2880"/>
        <w:gridCol w:w="4997"/>
      </w:tblGrid>
      <w:tr>
        <w:trPr>
          <w:tblHeader/>
        </w:trPr>
        <w:tc>
          <w:tcPr>
            <w:tcW w:type="dxa" w:w="2160"/>
            <w:vAlign w:val="top"/>
            <w:tcMar>
              <w:top w:w="70" w:type="dxa"/>
              <w:left w:w="70" w:type="dxa"/>
              <w:bottom w:w="70" w:type="dxa"/>
              <w:right w:w="70" w:type="dxa"/>
            </w:tcMar>
            <w:shd w:fill="E8F1F3"/>
          </w:tcPr>
          <w:p>
            <w:pPr>
              <w:keepNext/>
              <w:spacing w:after="60" w:line="240" w:lineRule="auto"/>
            </w:pPr>
            <w:r>
              <w:rPr>
                <w:rFonts w:ascii="Calibri" w:hAnsi="Calibri"/>
                <w:b/>
                <w:sz w:val="18"/>
              </w:rPr>
              <w:t>Criterion</w:t>
            </w:r>
          </w:p>
        </w:tc>
        <w:tc>
          <w:tcPr>
            <w:tcW w:type="dxa" w:w="2880"/>
            <w:vAlign w:val="top"/>
            <w:tcMar>
              <w:top w:w="70" w:type="dxa"/>
              <w:left w:w="70" w:type="dxa"/>
              <w:bottom w:w="70" w:type="dxa"/>
              <w:right w:w="70" w:type="dxa"/>
            </w:tcMar>
            <w:shd w:fill="E8F1F3"/>
          </w:tcPr>
          <w:p>
            <w:pPr>
              <w:keepNext/>
              <w:spacing w:after="60" w:line="240" w:lineRule="auto"/>
            </w:pPr>
            <w:r>
              <w:rPr>
                <w:rFonts w:ascii="Calibri" w:hAnsi="Calibri"/>
                <w:b/>
                <w:sz w:val="18"/>
              </w:rPr>
              <w:t>Assessment</w:t>
            </w:r>
          </w:p>
        </w:tc>
        <w:tc>
          <w:tcPr>
            <w:tcW w:type="dxa" w:w="4997"/>
            <w:vAlign w:val="top"/>
            <w:tcMar>
              <w:top w:w="70" w:type="dxa"/>
              <w:left w:w="70" w:type="dxa"/>
              <w:bottom w:w="70" w:type="dxa"/>
              <w:right w:w="70" w:type="dxa"/>
            </w:tcMar>
            <w:shd w:fill="E8F1F3"/>
          </w:tcPr>
          <w:p>
            <w:pPr>
              <w:keepNext/>
              <w:spacing w:after="60" w:line="240" w:lineRule="auto"/>
            </w:pPr>
            <w:r>
              <w:rPr>
                <w:rFonts w:ascii="Calibri" w:hAnsi="Calibri"/>
                <w:b/>
                <w:sz w:val="18"/>
              </w:rPr>
              <w:t>Evidence to record</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Age at treatment at least 18 years</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Yes / No / UNK</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Verified age at index procedure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Progressive keratoconus documented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Yes / No / UNK</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Progression definition, dates and findings: __________</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Adequate corneal thickness for received procedure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Yes / No / UNK</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Metric, measured thickness, criterion and clinical review: __________</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No prior corneal surgery, including keratoplasty or laser vision correction</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Yes / No / UNK</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History and dated procedure records; apply approved parent eligibility criteria</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No CXL contraindication</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Yes / No / UNK</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Clinical assessment and relevant history</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No other ocular disease affecting the outcome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Yes / No / UNK</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Source diagnosis and clinical adjudication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No relevant uncontrolled systemic disease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Yes / No / UNK</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Parent criteria include diabetes with HbA1c &gt;8.0% or recent ketoacidosis, and active autoimmune connective-tissue disease associated with corneal melting</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Pregnancy or lactation exclusion satisfied when required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Yes / No / NA / UNK</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Apply the actual IRB determination to historical treatment records; clarify inconsistent parent wording</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Index treatment within approved study period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Yes / No / UNK</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Parent protocol January 2020 to January 2025; verify exact approved boundary dates</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Procedure matches a study cohort</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Yes / No / UNK</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TG-PRK plus accelerated CXL or accelerated CXL alone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Baseline and twelve-month outcome available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Yes / No / UNK</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Record separately from core clinical eligibility; missing label excludes prediction analysis</w:t>
            </w:r>
          </w:p>
        </w:tc>
      </w:tr>
    </w:tbl>
    <w:p>
      <w:pPr>
        <w:spacing w:after="0"/>
      </w:pPr>
    </w:p>
    <w:p>
      <w:pPr>
        <w:pStyle w:val="Heading1"/>
      </w:pPr>
      <w:r>
        <w:t>Baseline clinical measurements</w:t>
      </w:r>
    </w:p>
    <w:p>
      <w:r>
        <w:t>Use the nearest valid preoperative measurement for the index eye and preserve each measurement date. A same-day value is baseline only if the source establishes that it was measured before treatment. Record how far each measure precedes the operation and clinically review distant baseline values. Any sensitivity analysis restricting this interval must be prespecified before analysis.</w:t>
      </w:r>
    </w:p>
    <w:tbl>
      <w:tblPr>
        <w:tblStyle w:val="TableGrid"/>
        <w:tblW w:type="auto" w:w="0"/>
        <w:jc w:val="center"/>
        <w:tblLayout w:type="fixed"/>
        <w:tblLook w:firstColumn="1" w:firstRow="1" w:lastColumn="0" w:lastRow="0" w:noHBand="0" w:noVBand="1" w:val="04A0"/>
      </w:tblPr>
      <w:tblGrid>
        <w:gridCol w:w="2160"/>
        <w:gridCol w:w="2880"/>
        <w:gridCol w:w="4997"/>
      </w:tblGrid>
      <w:tr>
        <w:trPr>
          <w:tblHeader/>
        </w:trPr>
        <w:tc>
          <w:tcPr>
            <w:tcW w:type="dxa" w:w="2160"/>
            <w:vAlign w:val="top"/>
            <w:tcMar>
              <w:top w:w="70" w:type="dxa"/>
              <w:left w:w="70" w:type="dxa"/>
              <w:bottom w:w="70" w:type="dxa"/>
              <w:right w:w="70" w:type="dxa"/>
            </w:tcMar>
            <w:shd w:fill="E8F1F3"/>
          </w:tcPr>
          <w:p>
            <w:pPr>
              <w:keepNext/>
              <w:spacing w:after="60" w:line="240" w:lineRule="auto"/>
            </w:pPr>
            <w:r>
              <w:rPr>
                <w:rFonts w:ascii="Calibri" w:hAnsi="Calibri"/>
                <w:b/>
                <w:sz w:val="18"/>
              </w:rPr>
              <w:t>Measurement</w:t>
            </w:r>
          </w:p>
        </w:tc>
        <w:tc>
          <w:tcPr>
            <w:tcW w:type="dxa" w:w="2880"/>
            <w:vAlign w:val="top"/>
            <w:tcMar>
              <w:top w:w="70" w:type="dxa"/>
              <w:left w:w="70" w:type="dxa"/>
              <w:bottom w:w="70" w:type="dxa"/>
              <w:right w:w="70" w:type="dxa"/>
            </w:tcMar>
            <w:shd w:fill="E8F1F3"/>
          </w:tcPr>
          <w:p>
            <w:pPr>
              <w:keepNext/>
              <w:spacing w:after="60" w:line="240" w:lineRule="auto"/>
            </w:pPr>
            <w:r>
              <w:rPr>
                <w:rFonts w:ascii="Calibri" w:hAnsi="Calibri"/>
                <w:b/>
                <w:sz w:val="18"/>
              </w:rPr>
              <w:t>Entry</w:t>
            </w:r>
          </w:p>
        </w:tc>
        <w:tc>
          <w:tcPr>
            <w:tcW w:type="dxa" w:w="4997"/>
            <w:vAlign w:val="top"/>
            <w:tcMar>
              <w:top w:w="70" w:type="dxa"/>
              <w:left w:w="70" w:type="dxa"/>
              <w:bottom w:w="70" w:type="dxa"/>
              <w:right w:w="70" w:type="dxa"/>
            </w:tcMar>
            <w:shd w:fill="E8F1F3"/>
          </w:tcPr>
          <w:p>
            <w:pPr>
              <w:keepNext/>
              <w:spacing w:after="60" w:line="240" w:lineRule="auto"/>
            </w:pPr>
            <w:r>
              <w:rPr>
                <w:rFonts w:ascii="Calibri" w:hAnsi="Calibri"/>
                <w:b/>
                <w:sz w:val="18"/>
              </w:rPr>
              <w:t>Method and quality</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Visit date and time if available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YYYY-MM-DD 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Preoperative chronology verified Yes / No / UNK</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CDVA original notation</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Chart type, testing distance and correction method: __________</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CDVA standardized value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 logMAR / missing code</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Conversion method and reviewer: __________</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UDVA original and logMAR</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Uncorrected distance vision kept separate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Manifest sphere and cylinder</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 D and ____ D</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Minus or plus cylinder convention: __________</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Cylinder axis and MRSE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 degrees; ____ D</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MRSE original and calculated separately</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K1 and K2</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 D; ____ D</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Dated device report and scan quality</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Kmax</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 D</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Primary candidate predictor</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Thinnest corneal thickness TCT</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 micrometres</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Prespecified pachymetry candidate; distinguish from central or apical thickness</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BAD-D and Amsler Krumeich stage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Only verified device score and documented stage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Prior surgery, scar and other ocular disease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Presence, laterality and dated clinical description</w:t>
            </w:r>
          </w:p>
        </w:tc>
      </w:tr>
    </w:tbl>
    <w:p>
      <w:pPr>
        <w:spacing w:after="0"/>
      </w:pPr>
    </w:p>
    <w:p>
      <w:pPr>
        <w:pStyle w:val="Heading1"/>
      </w:pPr>
      <w:r>
        <w:t>Index treatment details</w:t>
      </w:r>
    </w:p>
    <w:tbl>
      <w:tblPr>
        <w:tblStyle w:val="TableGrid"/>
        <w:tblW w:type="auto" w:w="0"/>
        <w:jc w:val="center"/>
        <w:tblLayout w:type="fixed"/>
        <w:tblLook w:firstColumn="1" w:firstRow="1" w:lastColumn="0" w:lastRow="0" w:noHBand="0" w:noVBand="1" w:val="04A0"/>
      </w:tblPr>
      <w:tblGrid>
        <w:gridCol w:w="2160"/>
        <w:gridCol w:w="2880"/>
        <w:gridCol w:w="4997"/>
      </w:tblGrid>
      <w:tr>
        <w:trPr>
          <w:tblHeader/>
        </w:trPr>
        <w:tc>
          <w:tcPr>
            <w:tcW w:type="dxa" w:w="2160"/>
            <w:vAlign w:val="top"/>
            <w:tcMar>
              <w:top w:w="70" w:type="dxa"/>
              <w:left w:w="70" w:type="dxa"/>
              <w:bottom w:w="70" w:type="dxa"/>
              <w:right w:w="70" w:type="dxa"/>
            </w:tcMar>
            <w:shd w:fill="E8F1F3"/>
          </w:tcPr>
          <w:p>
            <w:pPr>
              <w:keepNext/>
              <w:spacing w:after="60" w:line="240" w:lineRule="auto"/>
            </w:pPr>
            <w:r>
              <w:rPr>
                <w:rFonts w:ascii="Calibri" w:hAnsi="Calibri"/>
                <w:b/>
                <w:sz w:val="18"/>
              </w:rPr>
              <w:t>Field</w:t>
            </w:r>
          </w:p>
        </w:tc>
        <w:tc>
          <w:tcPr>
            <w:tcW w:type="dxa" w:w="2880"/>
            <w:vAlign w:val="top"/>
            <w:tcMar>
              <w:top w:w="70" w:type="dxa"/>
              <w:left w:w="70" w:type="dxa"/>
              <w:bottom w:w="70" w:type="dxa"/>
              <w:right w:w="70" w:type="dxa"/>
            </w:tcMar>
            <w:shd w:fill="E8F1F3"/>
          </w:tcPr>
          <w:p>
            <w:pPr>
              <w:keepNext/>
              <w:spacing w:after="60" w:line="240" w:lineRule="auto"/>
            </w:pPr>
            <w:r>
              <w:rPr>
                <w:rFonts w:ascii="Calibri" w:hAnsi="Calibri"/>
                <w:b/>
                <w:sz w:val="18"/>
              </w:rPr>
              <w:t>Entry</w:t>
            </w:r>
          </w:p>
        </w:tc>
        <w:tc>
          <w:tcPr>
            <w:tcW w:type="dxa" w:w="4997"/>
            <w:vAlign w:val="top"/>
            <w:tcMar>
              <w:top w:w="70" w:type="dxa"/>
              <w:left w:w="70" w:type="dxa"/>
              <w:bottom w:w="70" w:type="dxa"/>
              <w:right w:w="70" w:type="dxa"/>
            </w:tcMar>
            <w:shd w:fill="E8F1F3"/>
          </w:tcPr>
          <w:p>
            <w:pPr>
              <w:keepNext/>
              <w:spacing w:after="60" w:line="240" w:lineRule="auto"/>
            </w:pPr>
            <w:r>
              <w:rPr>
                <w:rFonts w:ascii="Calibri" w:hAnsi="Calibri"/>
                <w:b/>
                <w:sz w:val="18"/>
              </w:rPr>
              <w:t>Source requirement</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Procedure as written in record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Keep exact source phrase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Topography guided PRK verified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Yes / No / UNK</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Operative or laser treatment report</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Accelerated CXL verified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Yes / No / UNK</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Operative report and irradiation protocol</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Final study group</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TG-PRK plus accelerated CXL / accelerated CXL alone / Other / Pending</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Clinical reviewer code: __________</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CXL protocol</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Irradiance, duration, fluence, epithelial status and riboflavin if recorded</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PRK protocol</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Ablation depth, optical zone and relevant adjuncts if recorded</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Additional procedure or deviation</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PTK and other procedures cannot silently enter either primary group</w:t>
            </w:r>
          </w:p>
        </w:tc>
      </w:tr>
    </w:tbl>
    <w:p>
      <w:pPr>
        <w:spacing w:after="0"/>
      </w:pPr>
    </w:p>
    <w:p>
      <w:pPr>
        <w:pStyle w:val="Heading1"/>
      </w:pPr>
      <w:r>
        <w:t>Repeatable follow up visit form</w:t>
      </w:r>
    </w:p>
    <w:p>
      <w:r>
        <w:t>Capture all relevant visits with actual dates. One- and six-month source labels are interim descriptive information until dates are verified. The primary endpoint is the valid CDVA visit closest to the twelve-month anniversary between the tenth- and fourteenth-month anniversaries, inclusive. Break equal date-distance ties by choosing the earlier visit. Never select a visit because it has better vision.</w:t>
      </w:r>
    </w:p>
    <w:tbl>
      <w:tblPr>
        <w:tblStyle w:val="TableGrid"/>
        <w:tblW w:type="auto" w:w="0"/>
        <w:jc w:val="center"/>
        <w:tblLayout w:type="fixed"/>
        <w:tblLook w:firstColumn="1" w:firstRow="1" w:lastColumn="0" w:lastRow="0" w:noHBand="0" w:noVBand="1" w:val="04A0"/>
      </w:tblPr>
      <w:tblGrid>
        <w:gridCol w:w="2160"/>
        <w:gridCol w:w="2880"/>
        <w:gridCol w:w="4997"/>
      </w:tblGrid>
      <w:tr>
        <w:trPr>
          <w:tblHeader/>
        </w:trPr>
        <w:tc>
          <w:tcPr>
            <w:tcW w:type="dxa" w:w="2160"/>
            <w:vAlign w:val="top"/>
            <w:tcMar>
              <w:top w:w="70" w:type="dxa"/>
              <w:left w:w="70" w:type="dxa"/>
              <w:bottom w:w="70" w:type="dxa"/>
              <w:right w:w="70" w:type="dxa"/>
            </w:tcMar>
            <w:shd w:fill="E8F1F3"/>
          </w:tcPr>
          <w:p>
            <w:pPr>
              <w:keepNext/>
              <w:spacing w:after="60" w:line="240" w:lineRule="auto"/>
            </w:pPr>
            <w:r>
              <w:rPr>
                <w:rFonts w:ascii="Calibri" w:hAnsi="Calibri"/>
                <w:b/>
                <w:sz w:val="18"/>
              </w:rPr>
              <w:t>Field</w:t>
            </w:r>
          </w:p>
        </w:tc>
        <w:tc>
          <w:tcPr>
            <w:tcW w:type="dxa" w:w="2880"/>
            <w:vAlign w:val="top"/>
            <w:tcMar>
              <w:top w:w="70" w:type="dxa"/>
              <w:left w:w="70" w:type="dxa"/>
              <w:bottom w:w="70" w:type="dxa"/>
              <w:right w:w="70" w:type="dxa"/>
            </w:tcMar>
            <w:shd w:fill="E8F1F3"/>
          </w:tcPr>
          <w:p>
            <w:pPr>
              <w:keepNext/>
              <w:spacing w:after="60" w:line="240" w:lineRule="auto"/>
            </w:pPr>
            <w:r>
              <w:rPr>
                <w:rFonts w:ascii="Calibri" w:hAnsi="Calibri"/>
                <w:b/>
                <w:sz w:val="18"/>
              </w:rPr>
              <w:t>Entry</w:t>
            </w:r>
          </w:p>
        </w:tc>
        <w:tc>
          <w:tcPr>
            <w:tcW w:type="dxa" w:w="4997"/>
            <w:vAlign w:val="top"/>
            <w:tcMar>
              <w:top w:w="70" w:type="dxa"/>
              <w:left w:w="70" w:type="dxa"/>
              <w:bottom w:w="70" w:type="dxa"/>
              <w:right w:w="70" w:type="dxa"/>
            </w:tcMar>
            <w:shd w:fill="E8F1F3"/>
          </w:tcPr>
          <w:p>
            <w:pPr>
              <w:keepNext/>
              <w:spacing w:after="60" w:line="240" w:lineRule="auto"/>
            </w:pPr>
            <w:r>
              <w:rPr>
                <w:rFonts w:ascii="Calibri" w:hAnsi="Calibri"/>
                <w:b/>
                <w:sz w:val="18"/>
              </w:rPr>
              <w:t>Required context</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Visit ID and actual date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YYYY-MM-DD and source reference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Source interval label and elapsed days</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Retain label separately from date-based selection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CDVA original and standardized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Chart, correction, modifiers and logMAR</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UDVA original and standardized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Separate measurement and method</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Sphere, cylinder, axis, MRSE</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D, D, degrees, D; same encounter</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K1, K2, Kmax and TCT</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D, D, D, micrometres; dated scan</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Haze and other complications</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Yes / No / UNK; description 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Grade scale, presence, location, onset and interventions</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Repeat procedure or new ocular event</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________________</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Type, date and relation to index eye</w:t>
            </w:r>
          </w:p>
        </w:tc>
      </w:tr>
      <w:tr>
        <w:trPr>
          <w:cantSplit/>
        </w:trPr>
        <w:tc>
          <w:tcPr>
            <w:tcW w:type="dxa" w:w="2160"/>
            <w:vAlign w:val="top"/>
            <w:tcMar>
              <w:top w:w="70" w:type="dxa"/>
              <w:left w:w="70" w:type="dxa"/>
              <w:bottom w:w="70" w:type="dxa"/>
              <w:right w:w="70" w:type="dxa"/>
            </w:tcMar>
          </w:tcPr>
          <w:p>
            <w:pPr>
              <w:spacing w:after="60" w:line="240" w:lineRule="auto"/>
            </w:pPr>
            <w:r>
              <w:rPr>
                <w:rFonts w:ascii="Calibri" w:hAnsi="Calibri"/>
                <w:b w:val="0"/>
                <w:sz w:val="18"/>
              </w:rPr>
              <w:t>Endpoint selected</w:t>
            </w:r>
          </w:p>
        </w:tc>
        <w:tc>
          <w:tcPr>
            <w:tcW w:type="dxa" w:w="2880"/>
            <w:vAlign w:val="top"/>
            <w:tcMar>
              <w:top w:w="70" w:type="dxa"/>
              <w:left w:w="70" w:type="dxa"/>
              <w:bottom w:w="70" w:type="dxa"/>
              <w:right w:w="70" w:type="dxa"/>
            </w:tcMar>
          </w:tcPr>
          <w:p>
            <w:pPr>
              <w:spacing w:after="60" w:line="240" w:lineRule="auto"/>
            </w:pPr>
            <w:r>
              <w:rPr>
                <w:rFonts w:ascii="Calibri" w:hAnsi="Calibri"/>
                <w:b w:val="0"/>
                <w:sz w:val="18"/>
              </w:rPr>
              <w:t>Yes / No / Pending</w:t>
            </w:r>
          </w:p>
        </w:tc>
        <w:tc>
          <w:tcPr>
            <w:tcW w:type="dxa" w:w="4997"/>
            <w:vAlign w:val="top"/>
            <w:tcMar>
              <w:top w:w="70" w:type="dxa"/>
              <w:left w:w="70" w:type="dxa"/>
              <w:bottom w:w="70" w:type="dxa"/>
              <w:right w:w="70" w:type="dxa"/>
            </w:tcMar>
          </w:tcPr>
          <w:p>
            <w:pPr>
              <w:spacing w:after="60" w:line="240" w:lineRule="auto"/>
            </w:pPr>
            <w:r>
              <w:rPr>
                <w:rFonts w:ascii="Calibri" w:hAnsi="Calibri"/>
                <w:b w:val="0"/>
                <w:sz w:val="18"/>
              </w:rPr>
              <w:t>Reason, anniversary distance, quality and missing code</w:t>
            </w:r>
          </w:p>
        </w:tc>
      </w:tr>
    </w:tbl>
    <w:p>
      <w:pPr>
        <w:spacing w:after="0"/>
      </w:pPr>
    </w:p>
    <w:p>
      <w:pPr>
        <w:pStyle w:val="Heading1"/>
      </w:pPr>
      <w:r>
        <w:t>Optional imaging and extended Pentacam data</w:t>
      </w:r>
    </w:p>
    <w:p>
      <w:r>
        <w:t>Images are an optional linked research resource. Record a coded image ID, patient ID, laterality, scan date, preoperative or postoperative status, modality, device and software version, map type, scale, units, scan-quality flag and permitted use. Remove identifiers in metadata and burned-in pixels before an authorized export. Keep original scan metadata locally and preserve a transformation log.</w:t>
      </w:r>
    </w:p>
    <w:p>
      <w:r>
        <w:t>The supplied CSV contains no images or imaging references. Public images cannot supply this cohort's missing postoperative CDVA. Image-based experiments require a separate objective, compatible labels and patient-level splitting; they must not be presented as validation of the twelve-month prediction model.</w:t>
      </w:r>
    </w:p>
    <w:p>
      <w:r>
        <w:t>The header-only research workbook proposes extended fields such as corneal indices, aberrometry and densitometry. Collect these when available and verified, but they are not additional predictors in the primary prespecified model.</w:t>
      </w:r>
    </w:p>
    <w:p>
      <w:pPr>
        <w:pStyle w:val="Heading1"/>
      </w:pPr>
      <w:r>
        <w:t>Review and release</w:t>
      </w:r>
    </w:p>
    <w:p>
      <w:pPr>
        <w:pStyle w:val="ListBullet"/>
      </w:pPr>
      <w:r>
        <w:t>Check every treatment assignment, clinical eligibility decision and primary CDVA label against the source with a second reviewer.</w:t>
      </w:r>
    </w:p>
    <w:p>
      <w:pPr>
        <w:pStyle w:val="ListBullet"/>
      </w:pPr>
      <w:r>
        <w:t>Record each unresolved issue, requested source, reviewer decision and date. Freeze cohort and dictionary versions before statistical modeling.</w:t>
      </w:r>
    </w:p>
    <w:p>
      <w:pPr>
        <w:pStyle w:val="ListBullet"/>
      </w:pPr>
      <w:r>
        <w:t>Reconcile screened eye records, unique patients, exclusions, pending records and analysis denominators. Signatures: extractor __________ clinical reviewer __________ data custodian __________ date __________.</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KeraNova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Keratoconus cohort and explainable outcome prediction</dc:subject>
  <dc:creator>KeraNova Research Team</dc:creator>
  <cp:keywords>KeraNova, keratoconus, research protocol</cp:keywords>
  <dc:description>generated by python-docx</dc:description>
  <cp:lastModifiedBy/>
  <cp:revision>1</cp:revision>
  <dcterms:created xsi:type="dcterms:W3CDTF">2013-12-23T23:15:00Z</dcterms:created>
  <dcterms:modified xsi:type="dcterms:W3CDTF">2013-12-23T23:15:00Z</dcterms:modified>
  <cp:category/>
</cp:coreProperties>
</file>