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KeraNova Planned Tables and Figures</w:t>
      </w:r>
    </w:p>
    <w:p>
      <w:r>
        <w:t>Committee output shells</w:t>
      </w:r>
    </w:p>
    <w:p>
      <w:r>
        <w:t>KeraNova Research Team  |  Version 1.0  |  1 October 2026</w:t>
      </w:r>
    </w:p>
    <w:p>
      <w:pPr>
        <w:pStyle w:val="Heading1"/>
      </w:pPr>
      <w:r>
        <w:t>1 How to use these shells</w:t>
      </w:r>
    </w:p>
    <w:p>
      <w:r>
        <w:t>Replace each [pending] field only with a verified output from the locked analysis and its saved denominator. A shell is not a results table. Current endpoint/identifier deficiencies prevent the primary model: display not run — data readiness unmet in the submission rather than fabricated metrics. Raw extract counts must never be labelled the final eligible cohort.</w:t>
      </w:r>
    </w:p>
    <w:p>
      <w:r>
        <w:t>Report eye counts and unique patient counts together. Continuous values use n, mean (SD) and median [IQR]; categories use n/N (%). Specify outcome availability, units and paired-change n. Unknown is separate from no/zero. The templates below correspond to the methodology and statistical plan.</w:t>
      </w:r>
    </w:p>
    <w:p>
      <w:r>
        <w:t>Abbreviations: CDVA, corrected distance visual acuity; UDVA, uncorrected distance visual acuity; ACXL, accelerated corneal cross-linking; TG-PRK, topography-guided photorefractive keratectomy; TCT, thinnest corneal thickness; D, dioptres; MAE, mean absolute error; RMSE, root mean squared error; CI, confidence interval.</w:t>
      </w:r>
    </w:p>
    <w:p>
      <w:r>
        <w:br w:type="page"/>
      </w:r>
    </w:p>
    <w:p>
      <w:pPr>
        <w:pStyle w:val="Heading1"/>
      </w:pPr>
      <w:r>
        <w:t>Table 1 Screening, cohort formation and endpoint availability</w:t>
      </w:r>
    </w:p>
    <w:p>
      <w:r>
        <w:t>Footnote: use one principal exclusion reason per eye for a reconcilable flow, and retain all reasons in the screening log. Planned 30 eyes per group must not appear as achieved numbers. The same patient may contribute to both treatment columns if fellow eyes received different procedures.</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trPr>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Stage / reason</w:t>
            </w:r>
          </w:p>
        </w:tc>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Eyes</w:t>
            </w:r>
          </w:p>
        </w:tc>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Patients</w:t>
            </w:r>
          </w:p>
        </w:tc>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Evidence / denominator</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Raw extract</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79 eye-record rows</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Unverified</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Current CSV after four administrative headings; eligibility not established.</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Verified eligible TG-PRK + ACXL</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[pending]</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[pending]</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Operative record + eligibility adjudication.</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Verified eligible ACXL alone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[pending]</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[pending]</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Operative record + eligibility adjudication.</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Excluded: age under 18</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[pending]</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[pending]</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Verified age at index treatment.</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Excluded: other procedure / prior surgery / contraindication</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[pending]</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[pending]</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Break out individual reasons in screening log.</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Pending eligibility / procedure verification</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[pending]</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[pending]</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No inference from blank source fields.</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Eligible, primary endpoint unavailable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[pending]</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[pending]</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Missing CDVA / no valid visit / missing dates, shown separately.</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Observed dated CDVA endpoint</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[pending]</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[pending]</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Nearest valid visit in 10–14-month window.</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Main complete-case prediction sample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[pending]</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[pending]</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Observed outcome plus all six predictors and patient linkage.</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Model executed</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Not run until ready</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Feasibility and governance gate documented.</w:t>
            </w:r>
          </w:p>
        </w:tc>
      </w:tr>
    </w:tbl>
    <w:p>
      <w:pPr>
        <w:spacing w:after="0"/>
      </w:pPr>
    </w:p>
    <w:p>
      <w:r>
        <w:br w:type="page"/>
      </w:r>
    </w:p>
    <w:p>
      <w:pPr>
        <w:pStyle w:val="Heading1"/>
      </w:pPr>
      <w:r>
        <w:t>Table 2 Baseline characteristics of the verified eligible cohorts</w:t>
      </w:r>
    </w:p>
    <w:p>
      <w:r>
        <w:t>Footnote: baseline is the nearest valid preoperative examination. Show standardized differences in a supplementary column if useful; do not use baseline p-values to choose model predictors. Sex/laterality percentages use known documented categories and explicitly state the denominator.</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trPr>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Characteristic</w:t>
            </w:r>
          </w:p>
        </w:tc>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TG-PRK + ACXL</w:t>
            </w:r>
          </w:p>
        </w:tc>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ACXL alone</w:t>
            </w:r>
          </w:p>
        </w:tc>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Missing / note</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Eyes / unique patients</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 N]</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 N]</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Report overall unique patients separately.</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Age at index treatment, years</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mean(SD); median(IQR)]</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mean(SD); median(IQR)]</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[missing n per cohort]</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Recorded sex, categories</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[n/N (%)]</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[n/N (%)]</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[unknown n]</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OD / OS</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[n/N (%)]</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[n/N (%)]</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[unknown n]</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Baseline CDVA, logMAR</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mean(SD); median(IQR)]</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mean(SD); median(IQR)]</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[missing n]</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Baseline UDVA, logMAR</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mean(SD); median(IQR)]</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mean(SD); median(IQR)]</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[missing n]</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Sphere / cylinder / spherical equivalent, D</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[separate rows in results]</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[separate rows in results]</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[missing n per measure]</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K1 / K2 / Kmax, D</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[separate rows in results]</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[separate rows in results]</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[missing n per measure]</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TCT, micrometres</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mean(SD); median(IQR)]</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mean(SD); median(IQR)]</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[missing n]</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Amsler–Krumeich stage, if verified</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[n/N (%) per stage]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[n/N (%) per stage]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[unknown n]</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Baseline-to-surgery interval, days</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median(IQR)]</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median(IQR)]</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[missing date n]</w:t>
            </w:r>
          </w:p>
        </w:tc>
      </w:tr>
    </w:tbl>
    <w:p>
      <w:pPr>
        <w:spacing w:after="0"/>
      </w:pPr>
    </w:p>
    <w:p>
      <w:r>
        <w:br w:type="page"/>
      </w:r>
    </w:p>
    <w:p>
      <w:pPr>
        <w:pStyle w:val="Heading1"/>
      </w:pPr>
      <w:r>
        <w:t>Table 3 Primary outcome availability and one-year vision</w:t>
      </w:r>
    </w:p>
    <w:p>
      <w:r>
        <w:t>Footnote: negative logMAR change means improved vision. Primary secondary-comparison difference is combined minus ACXL, adjusted for baseline CDVA using CDVA12 ~ treatment + CDVA0. CIs use patient-cluster bootstrap where feasible; all cohort comparisons are observational and exploratory. A missing estimate is labelled not estimable with its reason.</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trPr>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Measure</w:t>
            </w:r>
          </w:p>
        </w:tc>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TG-PRK + ACXL</w:t>
            </w:r>
          </w:p>
        </w:tc>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ACXL alone</w:t>
            </w:r>
          </w:p>
        </w:tc>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Comparison / explanation</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Endpoint available / eligible eyes</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[n/N (%)]</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[n/N (%)]</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Dated CDVA in the selected window.</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Actual follow-up interval, days</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median(IQR)]</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median(IQR)]</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Use dates, not column labels.</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12-month CDVA, logMAR</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mean(SD); median(IQR)]</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mean(SD); median(IQR)]</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[adjusted difference; 95% CI]</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CDVA change, logMAR</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[paired n; mean(SD)]</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[paired n; mean(SD)]</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Follow-up minus baseline.</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12-month UDVA, logMAR</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mean(SD); median(IQR)]</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mean(SD); median(IQR)]</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[exploratory difference; 95% CI]</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UDVA change, logMAR</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[paired n; mean(SD)]</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[paired n; mean(SD)]</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[difference in mean change; 95% CI]</w:t>
            </w:r>
          </w:p>
        </w:tc>
      </w:tr>
    </w:tbl>
    <w:p>
      <w:pPr>
        <w:spacing w:after="0"/>
      </w:pPr>
    </w:p>
    <w:p>
      <w:r>
        <w:br w:type="page"/>
      </w:r>
    </w:p>
    <w:p>
      <w:pPr>
        <w:pStyle w:val="Heading1"/>
      </w:pPr>
      <w:r>
        <w:t>Table 4 Refraction and corneal measurements at one year</w:t>
      </w:r>
    </w:p>
    <w:p>
      <w:r>
        <w:t>Footnote: each endpoint uses the prespecified one-year visit and its own valid measurement availability. Summary means mean(SD) and median[IQR]; change is follow-up minus baseline for paired eyes. Expand rows/columns in final results for readability. Do not call a change beneficial or a proof of stability without clinical interpretation and longitudinal evidence.</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trPr>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Measure (unit)</w:t>
            </w:r>
          </w:p>
        </w:tc>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Combined: endpoint / change</w:t>
            </w:r>
          </w:p>
        </w:tc>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ACXL: endpoint / change</w:t>
            </w:r>
          </w:p>
        </w:tc>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Difference in mean change</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Sphere (D)</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summary / paired n; change]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summary / paired n; change]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[estimate; 95% CI]</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Cylinder (D)</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summary / paired n; change]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summary / paired n; change]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[estimate; 95% CI]</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Spherical equivalent (D)</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summary / paired n; change]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summary / paired n; change]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[estimate; 95% CI]</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K1 (D)</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summary / paired n; change]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summary / paired n; change]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[estimate; 95% CI]</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K2 (D)</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summary / paired n; change]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summary / paired n; change]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[estimate; 95% CI]</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Kmax (D)</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summary / paired n; change]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summary / paired n; change]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[estimate; 95% CI]</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TCT (micrometres)</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summary / paired n; change]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summary / paired n; change]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[estimate; 95% CI]</w:t>
            </w:r>
          </w:p>
        </w:tc>
      </w:tr>
    </w:tbl>
    <w:p>
      <w:pPr>
        <w:spacing w:after="0"/>
      </w:pPr>
    </w:p>
    <w:p>
      <w:r>
        <w:br w:type="page"/>
      </w:r>
    </w:p>
    <w:p>
      <w:pPr>
        <w:pStyle w:val="Heading1"/>
      </w:pPr>
      <w:r>
        <w:t>Table 5 Recorded complications and additional procedures</w:t>
      </w:r>
    </w:p>
    <w:p>
      <w:r>
        <w:t>Footnote: no event requires explicit negative assessment or source-adjudicated documentation; an empty haze field is not no haze. Present descriptive events and assessment completeness. No haze-resolution curve is planned without dated onset/resolution and censoring evidence.</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trPr>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Recorded outcome</w:t>
            </w:r>
          </w:p>
        </w:tc>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TG-PRK + ACXL</w:t>
            </w:r>
          </w:p>
        </w:tc>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ACXL alone</w:t>
            </w:r>
          </w:p>
        </w:tc>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Unknown / not assessed</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Any documented haze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[events / assessed (%)]</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[events / assessed (%)]</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per group]</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Haze grade at selected endpoint</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[n/N (%) per grade]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[n/N (%) per grade]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[unknown grade n]</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Delayed epithelial healing</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[events / assessed (%)]</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[events / assessed (%)]</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per group]</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Corneal infection</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[events / assessed (%)]</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[events / assessed (%)]</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 per group]</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Retreatment / additional corneal procedure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[n/N (%); procedure]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[n/N (%); procedure]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[unknown n]</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Other complication</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[event; n/N (%)]</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[event; n/N (%)]</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[unknown n]</w:t>
            </w:r>
          </w:p>
        </w:tc>
      </w:tr>
    </w:tbl>
    <w:p>
      <w:pPr>
        <w:spacing w:after="0"/>
      </w:pPr>
    </w:p>
    <w:p>
      <w:r>
        <w:br w:type="page"/>
      </w:r>
    </w:p>
    <w:p>
      <w:pPr>
        <w:pStyle w:val="Heading1"/>
      </w:pPr>
      <w:r>
        <w:t>Table 6 Internally validated prediction performance</w:t>
      </w:r>
    </w:p>
    <w:p>
      <w:r>
        <w:t>Required footnotes: model-population eyes and unique patients; 20 repeats of grouped five-fold outer/four-fold inner validation; training-only preprocessing; penalty grid/objective; mean repeat-level metrics; 1,000 patient-cluster bootstrap attempts, successful number and failed reasons. Calibration ideal values are intercept 0 and slope 1. Fold scores are not independent observations. Label confidence intervals approximate and exploratory. Current data readiness is unmet, so no actual performance values are supplied.</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trPr>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Model / comparison</w:t>
            </w:r>
          </w:p>
        </w:tc>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MAE, logMAR (95% CI)</w:t>
            </w:r>
          </w:p>
        </w:tc>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RMSE, logMAR (95% CI)</w:t>
            </w:r>
          </w:p>
        </w:tc>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Calibration intercept / slope</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Training mean reference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[not run / estimate]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[not run / estimate]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[intercept; slope not applicable if constant]</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Clinical benchmark: baseline CDVA + cohort</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[not run / estimate]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[not run / estimate]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[a; b; 95% CIs]</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Ridge: six baseline predictors</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[not run / estimate]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[not run / estimate]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[a; b; 95% CIs]</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Ridge minus benchmark</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[paired difference; 95% CI]</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[paired difference; 95% CI]</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[descriptive comparison]</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Sensitivity: one eye per patient</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[not run / estimate]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[not run / estimate]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[a; b; 95% CIs]</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Sensitivity: Kmax/TCT imputation</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[not run / estimate]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[not run / estimate]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[a; b; 95% CIs]</w:t>
            </w:r>
          </w:p>
        </w:tc>
      </w:tr>
    </w:tbl>
    <w:p>
      <w:pPr>
        <w:spacing w:after="0"/>
      </w:pPr>
    </w:p>
    <w:p>
      <w:r>
        <w:br w:type="page"/>
      </w:r>
    </w:p>
    <w:p>
      <w:pPr>
        <w:pStyle w:val="Heading1"/>
      </w:pPr>
      <w:r>
        <w:t>Table 7 Final model transparency and missingness</w:t>
      </w:r>
    </w:p>
    <w:p>
      <w:r>
        <w:t>Footnote: record final penalty/objective, scaling means/SDs and preprocessing with the model artefact. Ridge coefficients describe conditional predictive associations; no conventional unpenalized coefficient p-values or causal interpretation. Provide a supplementary missingness table for every variable, baseline/follow-up slot and cohort, and baseline characteristics of endpoint-observed versus endpoint-missing eyes.</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trPr>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Predictor</w:t>
            </w:r>
          </w:p>
        </w:tc>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Unit / coding</w:t>
            </w:r>
          </w:p>
        </w:tc>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Final coefficient</w:t>
            </w:r>
          </w:p>
        </w:tc>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Resampling stability / missing n</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Intercept</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Original logMAR scale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[not run]</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[bootstrap distribution]</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Baseline CDVA</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Per 1 logMAR</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[not run]</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[direction / distribution; missing n]</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Age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Per 1 year</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[not run]</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[direction / distribution; missing n]</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Recorded sex</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Male=1, female=0</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[not run]</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[direction / distribution; missing n]</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Treatment</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Combined=1, ACXL alone=0</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[not run]</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[direction / distribution; missing n]</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Kmax</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Per 1 D</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[not run]</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[direction / distribution; missing n]</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TCT</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Per 1 micrometre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[not run]</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[direction / distribution; missing n]</w:t>
            </w:r>
          </w:p>
        </w:tc>
      </w:tr>
    </w:tbl>
    <w:p>
      <w:pPr>
        <w:spacing w:after="0"/>
      </w:pPr>
    </w:p>
    <w:p>
      <w:r>
        <w:br w:type="page"/>
      </w:r>
    </w:p>
    <w:p>
      <w:pPr>
        <w:pStyle w:val="Heading1"/>
      </w:pPr>
      <w:r>
        <w:t>2 Figure specifications</w:t>
      </w:r>
    </w:p>
    <w:tbl>
      <w:tblPr>
        <w:tblStyle w:val="TableGrid"/>
        <w:tblW w:type="auto" w:w="0"/>
        <w:jc w:val="center"/>
        <w:tblLayout w:type="fixed"/>
        <w:tblLook w:firstColumn="1" w:firstRow="1" w:lastColumn="0" w:lastRow="0" w:noHBand="0" w:noVBand="1" w:val="04A0"/>
      </w:tblPr>
      <w:tblGrid>
        <w:gridCol w:w="2160"/>
        <w:gridCol w:w="2880"/>
        <w:gridCol w:w="4997"/>
      </w:tblGrid>
      <w:tr>
        <w:trPr>
          <w:tblHeader/>
        </w:trPr>
        <w:tc>
          <w:tcPr>
            <w:tcW w:type="dxa" w:w="2160"/>
            <w:vAlign w:val="top"/>
            <w:tcMar>
              <w:top w:w="70" w:type="dxa"/>
              <w:left w:w="70" w:type="dxa"/>
              <w:bottom w:w="70" w:type="dxa"/>
              <w:right w:w="70" w:type="dxa"/>
            </w:tcMar>
            <w:shd w:fill="E8F1F3"/>
          </w:tcPr>
          <w:p>
            <w:pPr>
              <w:keepNext/>
              <w:spacing w:after="60" w:line="240" w:lineRule="auto"/>
            </w:pPr>
            <w:r>
              <w:rPr>
                <w:rFonts w:ascii="Calibri" w:hAnsi="Calibri"/>
                <w:b/>
                <w:sz w:val="18"/>
              </w:rPr>
              <w:t>Figure</w:t>
            </w:r>
          </w:p>
        </w:tc>
        <w:tc>
          <w:tcPr>
            <w:tcW w:type="dxa" w:w="2880"/>
            <w:vAlign w:val="top"/>
            <w:tcMar>
              <w:top w:w="70" w:type="dxa"/>
              <w:left w:w="70" w:type="dxa"/>
              <w:bottom w:w="70" w:type="dxa"/>
              <w:right w:w="70" w:type="dxa"/>
            </w:tcMar>
            <w:shd w:fill="E8F1F3"/>
          </w:tcPr>
          <w:p>
            <w:pPr>
              <w:keepNext/>
              <w:spacing w:after="60" w:line="240" w:lineRule="auto"/>
            </w:pPr>
            <w:r>
              <w:rPr>
                <w:rFonts w:ascii="Calibri" w:hAnsi="Calibri"/>
                <w:b/>
                <w:sz w:val="18"/>
              </w:rPr>
              <w:t>Specification</w:t>
            </w:r>
          </w:p>
        </w:tc>
        <w:tc>
          <w:tcPr>
            <w:tcW w:type="dxa" w:w="4997"/>
            <w:vAlign w:val="top"/>
            <w:tcMar>
              <w:top w:w="70" w:type="dxa"/>
              <w:left w:w="70" w:type="dxa"/>
              <w:bottom w:w="70" w:type="dxa"/>
              <w:right w:w="70" w:type="dxa"/>
            </w:tcMar>
            <w:shd w:fill="E8F1F3"/>
          </w:tcPr>
          <w:p>
            <w:pPr>
              <w:keepNext/>
              <w:spacing w:after="60" w:line="240" w:lineRule="auto"/>
            </w:pPr>
            <w:r>
              <w:rPr>
                <w:rFonts w:ascii="Calibri" w:hAnsi="Calibri"/>
                <w:b/>
                <w:sz w:val="18"/>
              </w:rPr>
              <w:t>Readiness / interpretation</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1. Cohort flow</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Source records → verified cohorts → exclusions/pending → endpoint availability → prediction sample; eyes and patients at each stage.</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Counts must reconcile; planned sample is a note, not a result.</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2. Missingness map</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Variables × record rows, with missing/observed/unverified distinctions; companion per-cohort percentage chart.</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Can be produced from the current audit without claiming model readiness; no identifiers displayed.</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3. Baseline-to-one-year CDVA</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Paired eye trajectories or distribution plots by treatment; show paired n and actual window.</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Only dated verified outcomes; do not connect unavailable observations.</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4. Observed versus predicted CDVA</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Held-out predictions versus observed logMAR; identity line, treatment colours and population n.</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Requires valid grouped evaluation. Each eye's mean held-out prediction is a display summary, not extra data.</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5. Calibration and residuals</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Held-out calibration fit with identity line; residual-versus-prediction panel; show uncertainty and sparse-data limitations.</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Continuous-outcome calibration; no arbitrary risk groups.</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6. Predictor associations</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Original-unit/standardized ridge coefficient plot with resampling variability and units.</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Predictive associations; correlated features and shrinkage affect magnitude.</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7. Error comparison</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MAE/RMSE and paired ridge-minus-benchmark differences with approximate patient-cluster CIs.</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No plot if model was not run; no clinical superiority or deployment claim.</w:t>
            </w:r>
          </w:p>
        </w:tc>
      </w:tr>
    </w:tbl>
    <w:p>
      <w:pPr>
        <w:spacing w:after="0"/>
      </w:pPr>
    </w:p>
    <w:p>
      <w:r>
        <w:br w:type="page"/>
      </w:r>
    </w:p>
    <w:p>
      <w:pPr>
        <w:pStyle w:val="Heading1"/>
      </w:pPr>
      <w:r>
        <w:t>Supplementary public-feasibility outputs</w:t>
      </w:r>
    </w:p>
    <w:p>
      <w:r>
        <w:t>If the separately registered public CXL-only experiment is executed, supply its own screening/missingness table, five-predictor model performance table, calibration plot and coefficient table. Use the label public CXL-only, nominal one-year CDVA throughout. Report source patient-ID counts, adult/quality exclusions, CXL protocol mix and unresolved date/laterality limitations. These results do not populate the KKESH treatment-comparison tables or establish external validation of its model.</w:t>
      </w:r>
    </w:p>
    <w:p>
      <w:pPr>
        <w:pStyle w:val="Heading1"/>
      </w:pPr>
      <w:r>
        <w:t>3 Output verification and references</w:t>
      </w:r>
    </w:p>
    <w:p>
      <w:r>
        <w:t>Reporting basis: Collins GS et al. TRIPOD+AI. BMJ. 2024;385:e078378. https://doi.org/10.1136/bmj-2023-078378</w:t>
      </w:r>
    </w:p>
    <w:p>
      <w:r>
        <w:t>Development/evaluation appraisal: Moons KGM et al. PROBAST+AI. BMJ. 2025;388:e082505. https://doi.org/10.1136/bmj-2024-082505</w:t>
      </w:r>
    </w:p>
    <w:p>
      <w:r>
        <w:t>Analysis definitions and denominator rules are governed by the accompanying Statistical Analysis Plan, version 1.0.</w:t>
      </w:r>
    </w:p>
    <w:p>
      <w:pPr>
        <w:pStyle w:val="ListBullet"/>
      </w:pPr>
      <w:r>
        <w:t>Reconcile screening and analysis counts to the saved population and unique coded patients.</w:t>
      </w:r>
    </w:p>
    <w:p>
      <w:pPr>
        <w:pStyle w:val="ListBullet"/>
      </w:pPr>
      <w:r>
        <w:t>Check every unit, visual-acuity conversion and paired-change sign against the transformation specification.</w:t>
      </w:r>
    </w:p>
    <w:p>
      <w:pPr>
        <w:pStyle w:val="ListBullet"/>
      </w:pPr>
      <w:r>
        <w:t>Recalculate representative summary cells and model metrics independently from saved analytical data/predictions.</w:t>
      </w:r>
    </w:p>
    <w:p>
      <w:pPr>
        <w:pStyle w:val="ListBullet"/>
      </w:pPr>
      <w:r>
        <w:t>Confirm no patient appears in both training and test partitions, including bootstrap duplicates.</w:t>
      </w:r>
    </w:p>
    <w:p>
      <w:pPr>
        <w:pStyle w:val="ListBullet"/>
      </w:pPr>
      <w:r>
        <w:t>Show missingness, dates, failed resamples and analysis limitations; all unavailable results say not run or not estimable.</w:t>
      </w:r>
    </w:p>
    <w:p>
      <w:pPr>
        <w:pStyle w:val="ListBullet"/>
      </w:pPr>
      <w:r>
        <w:t>Inspect rendered tables and figures for clipped text, unreadable labels, fabricated precision and accidental identifiers.</w:t>
      </w:r>
    </w:p>
    <w:sectPr w:rsidR="00FC693F" w:rsidRPr="0006063C" w:rsidSect="00034616">
      <w:footerReference w:type="default" r:id="rId9"/>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KeraNova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Calibri" w:hAnsi="Calibr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Keratoconus cohort and explainable outcome prediction</dc:subject>
  <dc:creator>KeraNova Research Team</dc:creator>
  <cp:keywords>KeraNova, keratoconus, research protocol</cp:keywords>
  <dc:description>generated by python-docx</dc:description>
  <cp:lastModifiedBy/>
  <cp:revision>1</cp:revision>
  <dcterms:created xsi:type="dcterms:W3CDTF">2013-12-23T23:15:00Z</dcterms:created>
  <dcterms:modified xsi:type="dcterms:W3CDTF">2013-12-23T23:15:00Z</dcterms:modified>
  <cp:category/>
</cp:coreProperties>
</file>