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BDD7" w14:textId="0792B400" w:rsidR="0075502E" w:rsidRPr="0075502E" w:rsidRDefault="0075502E" w:rsidP="0075502E">
      <w:pPr>
        <w:jc w:val="both"/>
        <w:rPr>
          <w:rFonts w:asciiTheme="majorHAnsi" w:hAnsiTheme="majorHAnsi" w:cstheme="majorBidi"/>
        </w:rPr>
      </w:pPr>
    </w:p>
    <w:p w14:paraId="025EA8D1" w14:textId="2B3DD9D7" w:rsidR="0075502E" w:rsidRPr="0075502E" w:rsidRDefault="0075502E" w:rsidP="0075502E">
      <w:pPr>
        <w:jc w:val="both"/>
        <w:rPr>
          <w:rFonts w:asciiTheme="majorHAnsi" w:hAnsiTheme="majorHAnsi" w:cstheme="majorBidi"/>
          <w:b/>
          <w:bCs/>
        </w:rPr>
      </w:pPr>
      <w:r w:rsidRPr="0075502E">
        <w:rPr>
          <w:rFonts w:asciiTheme="majorHAnsi" w:hAnsiTheme="majorHAnsi" w:cstheme="majorBidi"/>
          <w:b/>
          <w:bCs/>
        </w:rPr>
        <w:t>1. AI-Enhanced Predictive Modeling for Personalized Treatment Selection</w:t>
      </w:r>
      <w:r w:rsidRPr="0075502E">
        <w:rPr>
          <w:rFonts w:asciiTheme="majorHAnsi" w:hAnsiTheme="majorHAnsi" w:cstheme="majorBidi"/>
          <w:b/>
          <w:bCs/>
        </w:rPr>
        <w:t xml:space="preserve">                                              </w:t>
      </w:r>
    </w:p>
    <w:p w14:paraId="047F06E3" w14:textId="0F6371C1" w:rsidR="0075502E" w:rsidRPr="0075502E" w:rsidRDefault="0075502E" w:rsidP="0075502E">
      <w:pPr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Beyond the planned comparative statistical analyses, we propose developing an exploratory predictive model to identify patients who are most likely to achieve superior outcomes following Topography-Guided Photorefractive Keratectomy combined with Accelerated Corneal Collagen Cross-Linking (TG-PRK + ACXL) compared with Accelerated Corneal Cross-Linking (ACXL) alone.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1837E559" w14:textId="16DE8BC2" w:rsidR="0075502E" w:rsidRPr="0075502E" w:rsidRDefault="0075502E" w:rsidP="0075502E">
      <w:pPr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 xml:space="preserve">The model would utilize routinely collected preoperative variables, including demographic, tomographic, and topographic parameters such as age, baseline visual acuity, </w:t>
      </w:r>
      <w:proofErr w:type="spellStart"/>
      <w:r w:rsidRPr="0075502E">
        <w:rPr>
          <w:rFonts w:asciiTheme="majorHAnsi" w:hAnsiTheme="majorHAnsi" w:cstheme="majorBidi"/>
        </w:rPr>
        <w:t>Kmax</w:t>
      </w:r>
      <w:proofErr w:type="spellEnd"/>
      <w:r w:rsidRPr="0075502E">
        <w:rPr>
          <w:rFonts w:asciiTheme="majorHAnsi" w:hAnsiTheme="majorHAnsi" w:cstheme="majorBidi"/>
        </w:rPr>
        <w:t>, BAD-D, ISV, IVA, pachymetry, corneal aberrations, and other baseline corneal indices, to estimate postoperative improvements in uncorrected distance visual acuity (UDVA), corrected distance visual acuity (CDVA), and refractive outcomes.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</w:t>
      </w:r>
    </w:p>
    <w:p w14:paraId="33663840" w14:textId="14869760" w:rsidR="0075502E" w:rsidRPr="0075502E" w:rsidRDefault="0075502E" w:rsidP="0075502E">
      <w:pPr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Initially, interpretable predictive approaches (e.g., logistic regression, decision trees, or random forest models) would be evaluated, with model interpretation supported using explainable AI techniques where appropriate.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</w:t>
      </w:r>
    </w:p>
    <w:p w14:paraId="7388D14A" w14:textId="0449BC33" w:rsidR="0075502E" w:rsidRPr="0075502E" w:rsidRDefault="0075502E" w:rsidP="0075502E">
      <w:pPr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This analysis would extend the study beyond conventional group comparisons by addressing the clinically relevant question: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</w:t>
      </w:r>
    </w:p>
    <w:p w14:paraId="62D20ADD" w14:textId="6969A927" w:rsidR="0075502E" w:rsidRPr="0075502E" w:rsidRDefault="0075502E" w:rsidP="0075502E">
      <w:pPr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Which preoperative patient characteristics are associated with the greatest likelihood of achieving superior visual and refractive outcomes following TG-PRK + ACXL compared with ACXL alone?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2EF7B600" w14:textId="497F2160" w:rsidR="0075502E" w:rsidRPr="0075502E" w:rsidRDefault="0075502E" w:rsidP="0075502E">
      <w:pPr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Such findings could contribute toward more individualized treatment selection while demonstrating a practical application of artificial intelligence in retrospective ophthalmic research.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700DDF2F" w14:textId="221020EB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227A2BE3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48538FCB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111106A0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5B1B92AD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0D3B88A7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6201462B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7134D8E2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7BC6FA26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52BCB64C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21321D8B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24FABD4F" w14:textId="77777777" w:rsidR="0075502E" w:rsidRDefault="0075502E" w:rsidP="0075502E">
      <w:pPr>
        <w:jc w:val="right"/>
        <w:rPr>
          <w:rFonts w:ascii="Abadi" w:hAnsi="Abadi" w:cstheme="majorBidi"/>
          <w:rtl/>
        </w:rPr>
      </w:pPr>
    </w:p>
    <w:p w14:paraId="4C6E0B3B" w14:textId="6E658EC3" w:rsidR="0075502E" w:rsidRDefault="0075502E" w:rsidP="0075502E">
      <w:pPr>
        <w:jc w:val="both"/>
        <w:rPr>
          <w:rFonts w:ascii="Abadi" w:hAnsi="Abadi" w:cstheme="majorBidi"/>
          <w:rtl/>
        </w:rPr>
      </w:pPr>
      <w:r>
        <w:rPr>
          <w:rFonts w:ascii="Abadi" w:hAnsi="Abadi" w:cstheme="majorBidi" w:hint="cs"/>
          <w:rtl/>
        </w:rPr>
        <w:t>\</w:t>
      </w:r>
    </w:p>
    <w:p w14:paraId="57792A39" w14:textId="77777777" w:rsidR="0075502E" w:rsidRPr="0075502E" w:rsidRDefault="0075502E" w:rsidP="0075502E">
      <w:pPr>
        <w:jc w:val="both"/>
        <w:rPr>
          <w:rFonts w:asciiTheme="majorHAnsi" w:hAnsiTheme="majorHAnsi" w:cstheme="majorBidi" w:hint="cs"/>
        </w:rPr>
      </w:pPr>
    </w:p>
    <w:p w14:paraId="5F380F53" w14:textId="6BA5D3B3" w:rsidR="0075502E" w:rsidRPr="0075502E" w:rsidRDefault="0075502E" w:rsidP="0075502E">
      <w:pPr>
        <w:jc w:val="both"/>
        <w:rPr>
          <w:rFonts w:asciiTheme="majorHAnsi" w:hAnsiTheme="majorHAnsi" w:cstheme="majorBidi"/>
          <w:b/>
          <w:bCs/>
        </w:rPr>
      </w:pPr>
      <w:r w:rsidRPr="0075502E">
        <w:rPr>
          <w:rFonts w:asciiTheme="majorHAnsi" w:hAnsiTheme="majorHAnsi" w:cstheme="majorBidi"/>
          <w:b/>
          <w:bCs/>
        </w:rPr>
        <w:lastRenderedPageBreak/>
        <w:t>2. AI-Assisted Prediction of Postoperative Corneal Haze</w:t>
      </w:r>
      <w:r w:rsidRPr="0075502E">
        <w:rPr>
          <w:rFonts w:asciiTheme="majorHAnsi" w:hAnsiTheme="majorHAnsi" w:cstheme="majorBidi"/>
          <w:b/>
          <w:bCs/>
        </w:rPr>
        <w:t xml:space="preserve">                                                                           </w:t>
      </w:r>
    </w:p>
    <w:p w14:paraId="04B0C9BC" w14:textId="680459C7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As a secondary exploratory analysis, we propose evaluating whether artificial intelligence-assisted predictive modeling can identify patients at increased risk of developing postoperative corneal haze.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 </w:t>
      </w:r>
    </w:p>
    <w:p w14:paraId="0D37D7F7" w14:textId="77777777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 xml:space="preserve">Using baseline demographic and clinical variables—including central corneal thickness (CCT), thinnest corneal thickness (TCT), </w:t>
      </w:r>
      <w:proofErr w:type="spellStart"/>
      <w:r w:rsidRPr="0075502E">
        <w:rPr>
          <w:rFonts w:asciiTheme="majorHAnsi" w:hAnsiTheme="majorHAnsi" w:cstheme="majorBidi"/>
        </w:rPr>
        <w:t>Kmax</w:t>
      </w:r>
      <w:proofErr w:type="spellEnd"/>
      <w:r w:rsidRPr="0075502E">
        <w:rPr>
          <w:rFonts w:asciiTheme="majorHAnsi" w:hAnsiTheme="majorHAnsi" w:cstheme="majorBidi"/>
        </w:rPr>
        <w:t>, BAD-D, age, treatment modality, and other relevant preoperative characteristics—predictive models could be developed to estimate:</w:t>
      </w:r>
    </w:p>
    <w:p w14:paraId="088EBE1D" w14:textId="7404D415" w:rsidR="0075502E" w:rsidRDefault="0075502E" w:rsidP="0075502E">
      <w:pPr>
        <w:ind w:left="360"/>
        <w:jc w:val="both"/>
        <w:rPr>
          <w:rFonts w:asciiTheme="majorHAnsi" w:hAnsiTheme="majorHAnsi" w:cstheme="majorBidi" w:hint="cs"/>
          <w:rtl/>
        </w:rPr>
      </w:pPr>
      <w:r>
        <w:rPr>
          <w:rFonts w:asciiTheme="majorHAnsi" w:hAnsiTheme="majorHAnsi" w:cstheme="majorBidi"/>
        </w:rPr>
        <w:t>-T</w:t>
      </w:r>
      <w:r w:rsidRPr="0075502E">
        <w:rPr>
          <w:rFonts w:asciiTheme="majorHAnsi" w:hAnsiTheme="majorHAnsi" w:cstheme="majorBidi"/>
        </w:rPr>
        <w:t>he probability of postoperative corneal haze</w:t>
      </w:r>
      <w:r>
        <w:rPr>
          <w:rFonts w:asciiTheme="majorHAnsi" w:hAnsiTheme="majorHAnsi" w:cstheme="majorBidi"/>
        </w:rPr>
        <w:t xml:space="preserve">.                                                                                            </w:t>
      </w:r>
    </w:p>
    <w:p w14:paraId="5F4E9F08" w14:textId="4B432BE0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-F</w:t>
      </w:r>
      <w:r w:rsidRPr="0075502E">
        <w:rPr>
          <w:rFonts w:asciiTheme="majorHAnsi" w:hAnsiTheme="majorHAnsi" w:cstheme="majorBidi"/>
        </w:rPr>
        <w:t>actors independently associated with haze development</w:t>
      </w:r>
      <w:r>
        <w:rPr>
          <w:rFonts w:asciiTheme="majorHAnsi" w:hAnsiTheme="majorHAnsi" w:cstheme="majorBidi"/>
        </w:rPr>
        <w:t xml:space="preserve">.                                                                 </w:t>
      </w:r>
    </w:p>
    <w:p w14:paraId="6637D0CB" w14:textId="188FA9FC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>
        <w:rPr>
          <w:rFonts w:asciiTheme="majorHAnsi" w:hAnsiTheme="majorHAnsi" w:cstheme="majorBidi"/>
        </w:rPr>
        <w:t>-P</w:t>
      </w:r>
      <w:r w:rsidRPr="0075502E">
        <w:rPr>
          <w:rFonts w:asciiTheme="majorHAnsi" w:hAnsiTheme="majorHAnsi" w:cstheme="majorBidi"/>
        </w:rPr>
        <w:t>redictors of prolonged haze resolution.</w:t>
      </w:r>
      <w:r>
        <w:rPr>
          <w:rFonts w:asciiTheme="majorHAnsi" w:hAnsiTheme="majorHAnsi" w:cstheme="majorBidi"/>
        </w:rPr>
        <w:t xml:space="preserve">                                                                                                       </w:t>
      </w:r>
      <w:r w:rsidRPr="0075502E">
        <w:rPr>
          <w:rFonts w:asciiTheme="majorHAnsi" w:hAnsiTheme="majorHAnsi" w:cstheme="majorBidi"/>
        </w:rPr>
        <w:t xml:space="preserve"> </w:t>
      </w:r>
    </w:p>
    <w:p w14:paraId="0651E240" w14:textId="2099B102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The primary analytical approach would begin with multivariable logistic regression, followed, where appropriate, by comparison with interpretable machine learning models to assess predictive performance while preserving clinical interpretability.</w:t>
      </w:r>
      <w:r>
        <w:rPr>
          <w:rFonts w:asciiTheme="majorHAnsi" w:hAnsiTheme="majorHAnsi" w:cstheme="majorBidi"/>
        </w:rPr>
        <w:t xml:space="preserve">                                                 </w:t>
      </w:r>
    </w:p>
    <w:p w14:paraId="0E617750" w14:textId="37C4DA13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Rather than simply reporting the incidence of postoperative haze, this approach aims to generate a clinically meaningful risk stratification model capable of supporting preoperative patient counseling and individualized surgical planning.</w:t>
      </w:r>
      <w:r>
        <w:rPr>
          <w:rFonts w:asciiTheme="majorHAnsi" w:hAnsiTheme="majorHAnsi" w:cstheme="majorBidi"/>
        </w:rPr>
        <w:t xml:space="preserve">                                                                                   </w:t>
      </w:r>
    </w:p>
    <w:p w14:paraId="4C2AE52B" w14:textId="1E84E304" w:rsidR="0075502E" w:rsidRPr="0075502E" w:rsidRDefault="0075502E" w:rsidP="0075502E">
      <w:pPr>
        <w:ind w:left="360"/>
        <w:jc w:val="both"/>
        <w:rPr>
          <w:rFonts w:asciiTheme="majorHAnsi" w:hAnsiTheme="majorHAnsi" w:cstheme="majorBidi"/>
        </w:rPr>
      </w:pPr>
      <w:r w:rsidRPr="0075502E">
        <w:rPr>
          <w:rFonts w:asciiTheme="majorHAnsi" w:hAnsiTheme="majorHAnsi" w:cstheme="majorBidi"/>
        </w:rPr>
        <w:t>Furthermore, identifying the variables that contribute most strongly to postoperative haze may provide additional insights into patient selection and perioperative risk assessment.</w:t>
      </w:r>
      <w:r>
        <w:rPr>
          <w:rFonts w:asciiTheme="majorHAnsi" w:hAnsiTheme="majorHAnsi" w:cstheme="majorBidi"/>
        </w:rPr>
        <w:t xml:space="preserve"> </w:t>
      </w:r>
      <w:r w:rsidR="00030286">
        <w:rPr>
          <w:rFonts w:asciiTheme="majorHAnsi" w:hAnsiTheme="majorHAnsi" w:cstheme="majorBidi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Theme="majorHAnsi" w:hAnsiTheme="majorHAnsi" w:cstheme="majorBidi"/>
        </w:rPr>
        <w:t xml:space="preserve">          </w:t>
      </w:r>
    </w:p>
    <w:p w14:paraId="1453A1E5" w14:textId="77777777" w:rsidR="003F587A" w:rsidRPr="0075502E" w:rsidRDefault="003F587A" w:rsidP="0075502E">
      <w:pPr>
        <w:jc w:val="right"/>
        <w:rPr>
          <w:rFonts w:hint="cs"/>
        </w:rPr>
      </w:pPr>
    </w:p>
    <w:sectPr w:rsidR="003F587A" w:rsidRPr="0075502E" w:rsidSect="00274D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A49D5"/>
    <w:multiLevelType w:val="multilevel"/>
    <w:tmpl w:val="5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D737A"/>
    <w:multiLevelType w:val="hybridMultilevel"/>
    <w:tmpl w:val="D790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228322">
    <w:abstractNumId w:val="0"/>
  </w:num>
  <w:num w:numId="2" w16cid:durableId="1298880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775"/>
    <w:rsid w:val="00030286"/>
    <w:rsid w:val="00274D07"/>
    <w:rsid w:val="003F1AEC"/>
    <w:rsid w:val="003F587A"/>
    <w:rsid w:val="00754775"/>
    <w:rsid w:val="0075502E"/>
    <w:rsid w:val="00847CFE"/>
    <w:rsid w:val="00E3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167BA7"/>
  <w15:chartTrackingRefBased/>
  <w15:docId w15:val="{895EC6E2-E47C-49A8-9014-E525981A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754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4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4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4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4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4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4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4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4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54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54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54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75477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5477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5477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5477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5477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547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54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54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4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754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4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547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47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47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4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547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4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Saleh</dc:creator>
  <cp:keywords/>
  <dc:description/>
  <cp:lastModifiedBy>Raghad Saleh</cp:lastModifiedBy>
  <cp:revision>4</cp:revision>
  <cp:lastPrinted>2026-07-31T14:54:00Z</cp:lastPrinted>
  <dcterms:created xsi:type="dcterms:W3CDTF">2026-07-31T14:46:00Z</dcterms:created>
  <dcterms:modified xsi:type="dcterms:W3CDTF">2026-07-31T14:54:00Z</dcterms:modified>
</cp:coreProperties>
</file>