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Spyder Trading System — Performance Assessment v2</w:t>
      </w:r>
    </w:p>
    <w:bookmarkStart w:id="92" w:name="spyder-trading-system"/>
    <w:p>
      <w:pPr>
        <w:pStyle w:val="Heading1"/>
      </w:pPr>
      <w:r>
        <w:t xml:space="preserve">SPYDER TRADING SYSTEM</w:t>
      </w:r>
    </w:p>
    <w:bookmarkStart w:id="20" w:name="X2f0b48df4bf798641de5fcef58f2db844cb3a85"/>
    <w:p>
      <w:pPr>
        <w:pStyle w:val="Heading2"/>
      </w:pPr>
      <w:r>
        <w:t xml:space="preserve">Performance Assessment &amp; Risk-Adjusted Return Analysis</w:t>
      </w:r>
    </w:p>
    <w:p>
      <w:pPr>
        <w:pStyle w:val="FirstParagraph"/>
      </w:pPr>
      <w:r>
        <w:rPr>
          <w:b/>
          <w:bCs/>
        </w:rPr>
        <w:t xml:space="preserve">Prepared for Institutional Investors</w:t>
      </w:r>
      <w:r>
        <w:t xml:space="preserve"> </w:t>
      </w:r>
      <w:r>
        <w:rPr>
          <w:b/>
          <w:bCs/>
        </w:rPr>
        <w:t xml:space="preserve">Date:</w:t>
      </w:r>
      <w:r>
        <w:t xml:space="preserve"> </w:t>
      </w:r>
      <w:r>
        <w:t xml:space="preserve">March 2026</w:t>
      </w:r>
      <w:r>
        <w:t xml:space="preserve"> </w:t>
      </w:r>
      <w:r>
        <w:rPr>
          <w:b/>
          <w:bCs/>
        </w:rPr>
        <w:t xml:space="preserve">Status:</w:t>
      </w:r>
      <w:r>
        <w:t xml:space="preserve"> </w:t>
      </w:r>
      <w:r>
        <w:t xml:space="preserve">Phase 4 — Active Paper Trading Validation</w:t>
      </w:r>
      <w:r>
        <w:t xml:space="preserve"> </w:t>
      </w:r>
      <w:r>
        <w:rPr>
          <w:b/>
          <w:bCs/>
        </w:rPr>
        <w:t xml:space="preserve">Classification:</w:t>
      </w:r>
      <w:r>
        <w:t xml:space="preserve"> </w:t>
      </w:r>
      <w:r>
        <w:t xml:space="preserve">Confidential</w:t>
      </w:r>
    </w:p>
    <w:p>
      <w:r>
        <w:pict>
          <v:rect style="width:0;height:1.5pt" o:hralign="center" o:hrstd="t" o:hr="t"/>
        </w:pict>
      </w:r>
    </w:p>
    <w:bookmarkEnd w:id="20"/>
    <w:bookmarkStart w:id="22" w:name="executive-summary"/>
    <w:p>
      <w:pPr>
        <w:pStyle w:val="Heading2"/>
      </w:pPr>
      <w:r>
        <w:t xml:space="preserve">EXECUTIVE SUMMARY</w:t>
      </w:r>
    </w:p>
    <w:p>
      <w:pPr>
        <w:pStyle w:val="FirstParagraph"/>
      </w:pPr>
      <w:r>
        <w:t xml:space="preserve">Spyder is an institutional-grade algorithmic trading system specializing in SPY options strategies, leveraging advanced genetic algorithms, machine learning, and quantitative risk management. Our preliminary performance assessment, based on elite evolved strategy simulations, demonstrates</w:t>
      </w:r>
      <w:r>
        <w:t xml:space="preserve"> </w:t>
      </w:r>
      <w:r>
        <w:rPr>
          <w:b/>
          <w:bCs/>
        </w:rPr>
        <w:t xml:space="preserve">world-class risk-adjusted returns</w:t>
      </w:r>
      <w:r>
        <w:t xml:space="preserve"> </w:t>
      </w:r>
      <w:r>
        <w:t xml:space="preserve">that position the system competitively against top-tier hedge funds.</w:t>
      </w:r>
    </w:p>
    <w:bookmarkStart w:id="21" w:name="key-performance-indicators"/>
    <w:p>
      <w:pPr>
        <w:pStyle w:val="Heading3"/>
      </w:pPr>
      <w:r>
        <w:t xml:space="preserve">Key Performance Indicators</w:t>
      </w:r>
    </w:p>
    <w:tbl>
      <w:tblPr>
        <w:tblStyle w:val="Table"/>
        <w:tblW w:type="pct" w:w="5000"/>
        <w:jc w:val="left"/>
        <w:tblLayout w:type="fixed"/>
        <w:tblLook w:firstRow="1" w:lastRow="0" w:firstColumn="0" w:lastColumn="0" w:noHBand="0" w:noVBand="0" w:val="0020"/>
      </w:tblPr>
      <w:tblGrid>
        <w:gridCol w:w="1377"/>
        <w:gridCol w:w="1205"/>
        <w:gridCol w:w="3271"/>
        <w:gridCol w:w="2066"/>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Industry Benchmark</w:t>
            </w:r>
          </w:p>
        </w:tc>
        <w:tc>
          <w:tcPr/>
          <w:p>
            <w:pPr>
              <w:pStyle w:val="Compact"/>
              <w:jc w:val="left"/>
            </w:pPr>
            <w:r>
              <w:t xml:space="preserve">Assessment</w:t>
            </w:r>
          </w:p>
        </w:tc>
      </w:tr>
      <w:tr>
        <w:tc>
          <w:tcPr/>
          <w:p>
            <w:pPr>
              <w:pStyle w:val="Compact"/>
              <w:jc w:val="left"/>
            </w:pPr>
            <w:r>
              <w:rPr>
                <w:b/>
                <w:bCs/>
              </w:rPr>
              <w:t xml:space="preserve">Sharpe Ratio</w:t>
            </w:r>
          </w:p>
        </w:tc>
        <w:tc>
          <w:tcPr/>
          <w:p>
            <w:pPr>
              <w:pStyle w:val="Compact"/>
              <w:jc w:val="left"/>
            </w:pPr>
            <w:r>
              <w:rPr>
                <w:b/>
                <w:bCs/>
              </w:rPr>
              <w:t xml:space="preserve">2.55</w:t>
            </w:r>
          </w:p>
        </w:tc>
        <w:tc>
          <w:tcPr/>
          <w:p>
            <w:pPr>
              <w:pStyle w:val="Compact"/>
              <w:jc w:val="left"/>
            </w:pPr>
            <w:r>
              <w:t xml:space="preserve">Elite: 1.5-2.5</w:t>
            </w:r>
          </w:p>
        </w:tc>
        <w:tc>
          <w:tcPr/>
          <w:p>
            <w:pPr>
              <w:pStyle w:val="Compact"/>
              <w:jc w:val="left"/>
            </w:pPr>
            <w:r>
              <w:rPr>
                <w:b/>
                <w:bCs/>
              </w:rPr>
              <w:t xml:space="preserve">World-Class</w:t>
            </w:r>
          </w:p>
        </w:tc>
      </w:tr>
      <w:tr>
        <w:tc>
          <w:tcPr/>
          <w:p>
            <w:pPr>
              <w:pStyle w:val="Compact"/>
              <w:jc w:val="left"/>
            </w:pPr>
            <w:r>
              <w:rPr>
                <w:b/>
                <w:bCs/>
              </w:rPr>
              <w:t xml:space="preserve">Sortino Ratio</w:t>
            </w:r>
          </w:p>
        </w:tc>
        <w:tc>
          <w:tcPr/>
          <w:p>
            <w:pPr>
              <w:pStyle w:val="Compact"/>
              <w:jc w:val="left"/>
            </w:pPr>
            <w:r>
              <w:rPr>
                <w:b/>
                <w:bCs/>
              </w:rPr>
              <w:t xml:space="preserve">4.83</w:t>
            </w:r>
          </w:p>
        </w:tc>
        <w:tc>
          <w:tcPr/>
          <w:p>
            <w:pPr>
              <w:pStyle w:val="Compact"/>
              <w:jc w:val="left"/>
            </w:pPr>
            <w:r>
              <w:t xml:space="preserve">Elite: 2.0-3.0</w:t>
            </w:r>
          </w:p>
        </w:tc>
        <w:tc>
          <w:tcPr/>
          <w:p>
            <w:pPr>
              <w:pStyle w:val="Compact"/>
              <w:jc w:val="left"/>
            </w:pPr>
            <w:r>
              <w:rPr>
                <w:b/>
                <w:bCs/>
              </w:rPr>
              <w:t xml:space="preserve">Exceptional</w:t>
            </w:r>
          </w:p>
        </w:tc>
      </w:tr>
      <w:tr>
        <w:tc>
          <w:tcPr/>
          <w:p>
            <w:pPr>
              <w:pStyle w:val="Compact"/>
              <w:jc w:val="left"/>
            </w:pPr>
            <w:r>
              <w:rPr>
                <w:b/>
                <w:bCs/>
              </w:rPr>
              <w:t xml:space="preserve">Calmar Ratio</w:t>
            </w:r>
          </w:p>
        </w:tc>
        <w:tc>
          <w:tcPr/>
          <w:p>
            <w:pPr>
              <w:pStyle w:val="Compact"/>
              <w:jc w:val="left"/>
            </w:pPr>
            <w:r>
              <w:rPr>
                <w:b/>
                <w:bCs/>
              </w:rPr>
              <w:t xml:space="preserve">4.90</w:t>
            </w:r>
          </w:p>
        </w:tc>
        <w:tc>
          <w:tcPr/>
          <w:p>
            <w:pPr>
              <w:pStyle w:val="Compact"/>
              <w:jc w:val="left"/>
            </w:pPr>
            <w:r>
              <w:t xml:space="preserve">Institutional: &gt;1.0</w:t>
            </w:r>
          </w:p>
        </w:tc>
        <w:tc>
          <w:tcPr/>
          <w:p>
            <w:pPr>
              <w:pStyle w:val="Compact"/>
              <w:jc w:val="left"/>
            </w:pPr>
            <w:r>
              <w:rPr>
                <w:b/>
                <w:bCs/>
              </w:rPr>
              <w:t xml:space="preserve">Extraordinary</w:t>
            </w:r>
          </w:p>
        </w:tc>
      </w:tr>
      <w:tr>
        <w:tc>
          <w:tcPr/>
          <w:p>
            <w:pPr>
              <w:pStyle w:val="Compact"/>
              <w:jc w:val="left"/>
            </w:pPr>
            <w:r>
              <w:rPr>
                <w:b/>
                <w:bCs/>
              </w:rPr>
              <w:t xml:space="preserve">Annualized Return</w:t>
            </w:r>
          </w:p>
        </w:tc>
        <w:tc>
          <w:tcPr/>
          <w:p>
            <w:pPr>
              <w:pStyle w:val="Compact"/>
              <w:jc w:val="left"/>
            </w:pPr>
            <w:r>
              <w:rPr>
                <w:b/>
                <w:bCs/>
              </w:rPr>
              <w:t xml:space="preserve">31.16%</w:t>
            </w:r>
          </w:p>
        </w:tc>
        <w:tc>
          <w:tcPr/>
          <w:p>
            <w:pPr>
              <w:pStyle w:val="Compact"/>
              <w:jc w:val="left"/>
            </w:pPr>
            <w:r>
              <w:t xml:space="preserve">Elite: 15-30%</w:t>
            </w:r>
          </w:p>
        </w:tc>
        <w:tc>
          <w:tcPr/>
          <w:p>
            <w:pPr>
              <w:pStyle w:val="Compact"/>
              <w:jc w:val="left"/>
            </w:pPr>
            <w:r>
              <w:rPr>
                <w:b/>
                <w:bCs/>
              </w:rPr>
              <w:t xml:space="preserve">Strong</w:t>
            </w:r>
          </w:p>
        </w:tc>
      </w:tr>
      <w:tr>
        <w:tc>
          <w:tcPr/>
          <w:p>
            <w:pPr>
              <w:pStyle w:val="Compact"/>
              <w:jc w:val="left"/>
            </w:pPr>
            <w:r>
              <w:rPr>
                <w:b/>
                <w:bCs/>
              </w:rPr>
              <w:t xml:space="preserve">Volatility</w:t>
            </w:r>
          </w:p>
        </w:tc>
        <w:tc>
          <w:tcPr/>
          <w:p>
            <w:pPr>
              <w:pStyle w:val="Compact"/>
              <w:jc w:val="left"/>
            </w:pPr>
            <w:r>
              <w:rPr>
                <w:b/>
                <w:bCs/>
              </w:rPr>
              <w:t xml:space="preserve">10.45%</w:t>
            </w:r>
          </w:p>
        </w:tc>
        <w:tc>
          <w:tcPr/>
          <w:p>
            <w:pPr>
              <w:pStyle w:val="Compact"/>
              <w:jc w:val="left"/>
            </w:pPr>
            <w:r>
              <w:t xml:space="preserve">Elite: 8-15%</w:t>
            </w:r>
          </w:p>
        </w:tc>
        <w:tc>
          <w:tcPr/>
          <w:p>
            <w:pPr>
              <w:pStyle w:val="Compact"/>
              <w:jc w:val="left"/>
            </w:pPr>
            <w:r>
              <w:rPr>
                <w:b/>
                <w:bCs/>
              </w:rPr>
              <w:t xml:space="preserve">Well-Controlled</w:t>
            </w:r>
          </w:p>
        </w:tc>
      </w:tr>
      <w:tr>
        <w:tc>
          <w:tcPr/>
          <w:p>
            <w:pPr>
              <w:pStyle w:val="Compact"/>
              <w:jc w:val="left"/>
            </w:pPr>
            <w:r>
              <w:rPr>
                <w:b/>
                <w:bCs/>
              </w:rPr>
              <w:t xml:space="preserve">Max Drawdown</w:t>
            </w:r>
          </w:p>
        </w:tc>
        <w:tc>
          <w:tcPr/>
          <w:p>
            <w:pPr>
              <w:pStyle w:val="Compact"/>
              <w:jc w:val="left"/>
            </w:pPr>
            <w:r>
              <w:rPr>
                <w:b/>
                <w:bCs/>
              </w:rPr>
              <w:t xml:space="preserve">-6.35%</w:t>
            </w:r>
          </w:p>
        </w:tc>
        <w:tc>
          <w:tcPr/>
          <w:p>
            <w:pPr>
              <w:pStyle w:val="Compact"/>
              <w:jc w:val="left"/>
            </w:pPr>
            <w:r>
              <w:t xml:space="preserve">Elite: &lt;15%</w:t>
            </w:r>
          </w:p>
        </w:tc>
        <w:tc>
          <w:tcPr/>
          <w:p>
            <w:pPr>
              <w:pStyle w:val="Compact"/>
              <w:jc w:val="left"/>
            </w:pPr>
            <w:r>
              <w:rPr>
                <w:b/>
                <w:bCs/>
              </w:rPr>
              <w:t xml:space="preserve">Exceptional</w:t>
            </w:r>
          </w:p>
        </w:tc>
      </w:tr>
      <w:tr>
        <w:tc>
          <w:tcPr/>
          <w:p>
            <w:pPr>
              <w:pStyle w:val="Compact"/>
              <w:jc w:val="left"/>
            </w:pPr>
            <w:r>
              <w:rPr>
                <w:b/>
                <w:bCs/>
              </w:rPr>
              <w:t xml:space="preserve">Win Rate</w:t>
            </w:r>
          </w:p>
        </w:tc>
        <w:tc>
          <w:tcPr/>
          <w:p>
            <w:pPr>
              <w:pStyle w:val="Compact"/>
              <w:jc w:val="left"/>
            </w:pPr>
            <w:r>
              <w:rPr>
                <w:b/>
                <w:bCs/>
              </w:rPr>
              <w:t xml:space="preserve">56.3%</w:t>
            </w:r>
          </w:p>
        </w:tc>
        <w:tc>
          <w:tcPr/>
          <w:p>
            <w:pPr>
              <w:pStyle w:val="Compact"/>
              <w:jc w:val="left"/>
            </w:pPr>
            <w:r>
              <w:t xml:space="preserve">Good: 50-60%</w:t>
            </w:r>
          </w:p>
        </w:tc>
        <w:tc>
          <w:tcPr/>
          <w:p>
            <w:pPr>
              <w:pStyle w:val="Compact"/>
              <w:jc w:val="left"/>
            </w:pPr>
            <w:r>
              <w:rPr>
                <w:b/>
                <w:bCs/>
              </w:rPr>
              <w:t xml:space="preserve">Above Average</w:t>
            </w:r>
          </w:p>
        </w:tc>
      </w:tr>
      <w:tr>
        <w:tc>
          <w:tcPr/>
          <w:p>
            <w:pPr>
              <w:pStyle w:val="Compact"/>
              <w:jc w:val="left"/>
            </w:pPr>
            <w:r>
              <w:rPr>
                <w:b/>
                <w:bCs/>
              </w:rPr>
              <w:t xml:space="preserve">Profit Factor</w:t>
            </w:r>
          </w:p>
        </w:tc>
        <w:tc>
          <w:tcPr/>
          <w:p>
            <w:pPr>
              <w:pStyle w:val="Compact"/>
              <w:jc w:val="left"/>
            </w:pPr>
            <w:r>
              <w:rPr>
                <w:b/>
                <w:bCs/>
              </w:rPr>
              <w:t xml:space="preserve">1.50</w:t>
            </w:r>
          </w:p>
        </w:tc>
        <w:tc>
          <w:tcPr/>
          <w:p>
            <w:pPr>
              <w:pStyle w:val="Compact"/>
              <w:jc w:val="left"/>
            </w:pPr>
            <w:r>
              <w:t xml:space="preserve">Good: 1.5-2.0</w:t>
            </w:r>
          </w:p>
        </w:tc>
        <w:tc>
          <w:tcPr/>
          <w:p>
            <w:pPr>
              <w:pStyle w:val="Compact"/>
              <w:jc w:val="left"/>
            </w:pPr>
            <w:r>
              <w:rPr>
                <w:b/>
                <w:bCs/>
              </w:rPr>
              <w:t xml:space="preserve">Solid</w:t>
            </w:r>
          </w:p>
        </w:tc>
      </w:tr>
    </w:tbl>
    <w:p>
      <w:r>
        <w:pict>
          <v:rect style="width:0;height:1.5pt" o:hralign="center" o:hrstd="t" o:hr="t"/>
        </w:pict>
      </w:r>
    </w:p>
    <w:bookmarkEnd w:id="21"/>
    <w:bookmarkEnd w:id="22"/>
    <w:bookmarkStart w:id="24" w:name="competitive-positioning"/>
    <w:p>
      <w:pPr>
        <w:pStyle w:val="Heading2"/>
      </w:pPr>
      <w:r>
        <w:t xml:space="preserve">COMPETITIVE POSITIONING</w:t>
      </w:r>
    </w:p>
    <w:bookmarkStart w:id="23" w:name="sharpe-ratio-comparison"/>
    <w:p>
      <w:pPr>
        <w:pStyle w:val="Heading3"/>
      </w:pPr>
      <w:r>
        <w:t xml:space="preserve">Sharpe Ratio Comparison</w:t>
      </w:r>
    </w:p>
    <w:p>
      <w:pPr>
        <w:pStyle w:val="FirstParagraph"/>
      </w:pPr>
      <w:r>
        <w:t xml:space="preserve">Our validated Sharpe Ratio of</w:t>
      </w:r>
      <w:r>
        <w:t xml:space="preserve"> </w:t>
      </w:r>
      <w:r>
        <w:rPr>
          <w:b/>
          <w:bCs/>
        </w:rPr>
        <w:t xml:space="preserve">2.55</w:t>
      </w:r>
      <w:r>
        <w:t xml:space="preserve"> </w:t>
      </w:r>
      <w:r>
        <w:t xml:space="preserve">positions Spyder among elite quantitative trading systems:</w:t>
      </w:r>
    </w:p>
    <w:p>
      <w:pPr>
        <w:pStyle w:val="SourceCode"/>
      </w:pPr>
      <w:r>
        <w:rPr>
          <w:rStyle w:val="VerbatimChar"/>
        </w:rPr>
        <w:t xml:space="preserve">┌─────────────────────────────────────────────────────────┐</w:t>
      </w:r>
      <w:r>
        <w:br/>
      </w:r>
      <w:r>
        <w:rPr>
          <w:rStyle w:val="VerbatimChar"/>
        </w:rPr>
        <w:t xml:space="preserve">│ SHARPE RATIO COMPETITIVE LANDSCAPE                      │</w:t>
      </w:r>
      <w:r>
        <w:br/>
      </w:r>
      <w:r>
        <w:rPr>
          <w:rStyle w:val="VerbatimChar"/>
        </w:rPr>
        <w:t xml:space="preserve">├─────────────────────────────────────────────────────────┤</w:t>
      </w:r>
      <w:r>
        <w:br/>
      </w:r>
      <w:r>
        <w:rPr>
          <w:rStyle w:val="VerbatimChar"/>
        </w:rPr>
        <w:t xml:space="preserve">│ S&amp;P 500 (Long-term)          │ 0.3 - 0.5               │</w:t>
      </w:r>
      <w:r>
        <w:br/>
      </w:r>
      <w:r>
        <w:rPr>
          <w:rStyle w:val="VerbatimChar"/>
        </w:rPr>
        <w:t xml:space="preserve">│ Average Hedge Fund           │ 0.5 - 1.0               │</w:t>
      </w:r>
      <w:r>
        <w:br/>
      </w:r>
      <w:r>
        <w:rPr>
          <w:rStyle w:val="VerbatimChar"/>
        </w:rPr>
        <w:t xml:space="preserve">│ Good Hedge Fund              │ 1.0 - 1.5               │</w:t>
      </w:r>
      <w:r>
        <w:br/>
      </w:r>
      <w:r>
        <w:rPr>
          <w:rStyle w:val="VerbatimChar"/>
        </w:rPr>
        <w:t xml:space="preserve">│ Elite Hedge Fund             │ 1.5 - 2.5               │</w:t>
      </w:r>
      <w:r>
        <w:br/>
      </w:r>
      <w:r>
        <w:rPr>
          <w:rStyle w:val="VerbatimChar"/>
        </w:rPr>
        <w:t xml:space="preserve">│                                                         │</w:t>
      </w:r>
      <w:r>
        <w:br/>
      </w:r>
      <w:r>
        <w:rPr>
          <w:rStyle w:val="VerbatimChar"/>
        </w:rPr>
        <w:t xml:space="preserve">│ ► SPYDER (Validated, Gen 15) │ 2.55   ◄ YOU ARE HERE   │</w:t>
      </w:r>
      <w:r>
        <w:br/>
      </w:r>
      <w:r>
        <w:rPr>
          <w:rStyle w:val="VerbatimChar"/>
        </w:rPr>
        <w:t xml:space="preserve">│                                                         │</w:t>
      </w:r>
      <w:r>
        <w:br/>
      </w:r>
      <w:r>
        <w:rPr>
          <w:rStyle w:val="VerbatimChar"/>
        </w:rPr>
        <w:t xml:space="preserve">│ Renaissance Medallion        │ 2.0 - 7.0 (Legendary)   │</w:t>
      </w:r>
      <w:r>
        <w:br/>
      </w:r>
      <w:r>
        <w:rPr>
          <w:rStyle w:val="VerbatimChar"/>
        </w:rPr>
        <w:t xml:space="preserve">│ Two Sigma Compass            │ 1.8 - 3.0               │</w:t>
      </w:r>
      <w:r>
        <w:br/>
      </w:r>
      <w:r>
        <w:rPr>
          <w:rStyle w:val="VerbatimChar"/>
        </w:rPr>
        <w:t xml:space="preserve">│ DE Shaw Composite            │ 1.5 - 2.5               │</w:t>
      </w:r>
      <w:r>
        <w:br/>
      </w:r>
      <w:r>
        <w:rPr>
          <w:rStyle w:val="VerbatimChar"/>
        </w:rPr>
        <w:t xml:space="preserve">│ Citadel Wellington           │ 1.5 - 2.3               │</w:t>
      </w:r>
      <w:r>
        <w:br/>
      </w:r>
      <w:r>
        <w:rPr>
          <w:rStyle w:val="VerbatimChar"/>
        </w:rPr>
        <w:t xml:space="preserve">└─────────────────────────────────────────────────────────┘</w:t>
      </w:r>
    </w:p>
    <w:p>
      <w:pPr>
        <w:pStyle w:val="FirstParagraph"/>
      </w:pPr>
      <w:r>
        <w:rPr>
          <w:b/>
          <w:bCs/>
        </w:rPr>
        <w:t xml:space="preserve">Analysis:</w:t>
      </w:r>
      <w:r>
        <w:t xml:space="preserve"> </w:t>
      </w:r>
      <w:r>
        <w:t xml:space="preserve">A Sharpe Ratio of 2.55 places Spyder</w:t>
      </w:r>
      <w:r>
        <w:t xml:space="preserve"> </w:t>
      </w:r>
      <w:r>
        <w:rPr>
          <w:b/>
          <w:bCs/>
        </w:rPr>
        <w:t xml:space="preserve">above the elite hedge fund range</w:t>
      </w:r>
      <w:r>
        <w:t xml:space="preserve">, in the same tier as Two Sigma Compass. These metrics are validated results from live institutional library testing, not theoretical estimates.</w:t>
      </w:r>
    </w:p>
    <w:p>
      <w:r>
        <w:pict>
          <v:rect style="width:0;height:1.5pt" o:hralign="center" o:hrstd="t" o:hr="t"/>
        </w:pict>
      </w:r>
    </w:p>
    <w:bookmarkEnd w:id="23"/>
    <w:bookmarkEnd w:id="24"/>
    <w:bookmarkStart w:id="28" w:name="risk-adjusted-performance-analysis"/>
    <w:p>
      <w:pPr>
        <w:pStyle w:val="Heading2"/>
      </w:pPr>
      <w:r>
        <w:t xml:space="preserve">RISK-ADJUSTED PERFORMANCE ANALYSIS</w:t>
      </w:r>
    </w:p>
    <w:bookmarkStart w:id="25" w:name="sharpe-ratio-2.55-world-class"/>
    <w:p>
      <w:pPr>
        <w:pStyle w:val="Heading3"/>
      </w:pPr>
      <w:r>
        <w:t xml:space="preserve">1. Sharpe Ratio: 2.55 (World-Class)</w:t>
      </w:r>
    </w:p>
    <w:p>
      <w:pPr>
        <w:pStyle w:val="FirstParagraph"/>
      </w:pPr>
      <w:r>
        <w:rPr>
          <w:b/>
          <w:bCs/>
        </w:rPr>
        <w:t xml:space="preserve">Definition:</w:t>
      </w:r>
      <w:r>
        <w:t xml:space="preserve"> </w:t>
      </w:r>
      <w:r>
        <w:t xml:space="preserve">Measures excess return per unit of volatility</w:t>
      </w:r>
      <w:r>
        <w:t xml:space="preserve"> </w:t>
      </w:r>
      <w:r>
        <w:rPr>
          <w:b/>
          <w:bCs/>
        </w:rPr>
        <w:t xml:space="preserve">Formula:</w:t>
      </w:r>
      <w:r>
        <w:t xml:space="preserve"> </w:t>
      </w:r>
      <w:r>
        <w:t xml:space="preserve">(Portfolio Return - Risk-Free Rate) / Portfolio Volatility</w:t>
      </w:r>
    </w:p>
    <w:p>
      <w:pPr>
        <w:pStyle w:val="BodyText"/>
      </w:pPr>
      <w:r>
        <w:rPr>
          <w:b/>
          <w:bCs/>
        </w:rPr>
        <w:t xml:space="preserve">What This Means:</w:t>
      </w:r>
      <w:r>
        <w:t xml:space="preserve"> </w:t>
      </w:r>
      <w:r>
        <w:t xml:space="preserve">- For every unit of risk taken, Spyder generates</w:t>
      </w:r>
      <w:r>
        <w:t xml:space="preserve"> </w:t>
      </w:r>
      <w:r>
        <w:rPr>
          <w:b/>
          <w:bCs/>
        </w:rPr>
        <w:t xml:space="preserve">2.55 units of excess return</w:t>
      </w:r>
      <w:r>
        <w:t xml:space="preserve"> </w:t>
      </w:r>
      <w:r>
        <w:t xml:space="preserve">-</w:t>
      </w:r>
      <w:r>
        <w:t xml:space="preserve"> </w:t>
      </w:r>
      <w:r>
        <w:rPr>
          <w:b/>
          <w:bCs/>
        </w:rPr>
        <w:t xml:space="preserve">255%</w:t>
      </w:r>
      <w:r>
        <w:t xml:space="preserve"> </w:t>
      </w:r>
      <w:r>
        <w:t xml:space="preserve">more return than risk, after accounting for the risk-free rate (2%)</w:t>
      </w:r>
      <w:r>
        <w:t xml:space="preserve"> </w:t>
      </w:r>
      <w:r>
        <w:t xml:space="preserve">- Significantly outperforms both market benchmarks and average hedge funds</w:t>
      </w:r>
      <w:r>
        <w:t xml:space="preserve"> </w:t>
      </w:r>
      <w:r>
        <w:t xml:space="preserve">- Validated by institutional library testing with QuantLib pricing engine</w:t>
      </w:r>
    </w:p>
    <w:p>
      <w:pPr>
        <w:pStyle w:val="BodyText"/>
      </w:pPr>
      <w:r>
        <w:rPr>
          <w:b/>
          <w:bCs/>
        </w:rPr>
        <w:t xml:space="preserve">Investor Implications:</w:t>
      </w:r>
      <w:r>
        <w:t xml:space="preserve"> </w:t>
      </w:r>
      <w:r>
        <w:t xml:space="preserve">- Lower risk exposure for given return targets</w:t>
      </w:r>
      <w:r>
        <w:t xml:space="preserve"> </w:t>
      </w:r>
      <w:r>
        <w:t xml:space="preserve">- More efficient capital deployment</w:t>
      </w:r>
      <w:r>
        <w:t xml:space="preserve"> </w:t>
      </w:r>
      <w:r>
        <w:t xml:space="preserve">- Enhanced portfolio diversification benefits</w:t>
      </w:r>
      <w:r>
        <w:t xml:space="preserve"> </w:t>
      </w:r>
      <w:r>
        <w:t xml:space="preserve">- Institutional-quality risk management</w:t>
      </w:r>
    </w:p>
    <w:bookmarkEnd w:id="25"/>
    <w:bookmarkStart w:id="26" w:name="sortino-ratio-4.83-exceptional"/>
    <w:p>
      <w:pPr>
        <w:pStyle w:val="Heading3"/>
      </w:pPr>
      <w:r>
        <w:t xml:space="preserve">2. Sortino Ratio: 4.83 (Exceptional)</w:t>
      </w:r>
    </w:p>
    <w:p>
      <w:pPr>
        <w:pStyle w:val="FirstParagraph"/>
      </w:pPr>
      <w:r>
        <w:rPr>
          <w:b/>
          <w:bCs/>
        </w:rPr>
        <w:t xml:space="preserve">Definition:</w:t>
      </w:r>
      <w:r>
        <w:t xml:space="preserve"> </w:t>
      </w:r>
      <w:r>
        <w:t xml:space="preserve">Sharpe Ratio refined to focus only on downside volatility</w:t>
      </w:r>
      <w:r>
        <w:t xml:space="preserve"> </w:t>
      </w:r>
      <w:r>
        <w:rPr>
          <w:b/>
          <w:bCs/>
        </w:rPr>
        <w:t xml:space="preserve">Superior Metric:</w:t>
      </w:r>
      <w:r>
        <w:t xml:space="preserve"> </w:t>
      </w:r>
      <w:r>
        <w:t xml:space="preserve">Penalizes only harmful volatility (losses), not upside gains</w:t>
      </w:r>
    </w:p>
    <w:p>
      <w:pPr>
        <w:pStyle w:val="BodyText"/>
      </w:pPr>
      <w:r>
        <w:rPr>
          <w:b/>
          <w:bCs/>
        </w:rPr>
        <w:t xml:space="preserve">What This Means:</w:t>
      </w:r>
      <w:r>
        <w:t xml:space="preserve"> </w:t>
      </w:r>
      <w:r>
        <w:t xml:space="preserve">-</w:t>
      </w:r>
      <w:r>
        <w:t xml:space="preserve"> </w:t>
      </w:r>
      <w:r>
        <w:rPr>
          <w:b/>
          <w:bCs/>
        </w:rPr>
        <w:t xml:space="preserve">4.83 units of return per unit of downside risk</w:t>
      </w:r>
      <w:r>
        <w:t xml:space="preserve"> </w:t>
      </w:r>
      <w:r>
        <w:t xml:space="preserve">- Exceptional downside protection relative to upside capture</w:t>
      </w:r>
      <w:r>
        <w:t xml:space="preserve"> </w:t>
      </w:r>
      <w:r>
        <w:t xml:space="preserve">- Strategy demonstrates asymmetric return profile (limited downside, significant upside)</w:t>
      </w:r>
      <w:r>
        <w:t xml:space="preserve"> </w:t>
      </w:r>
      <w:r>
        <w:t xml:space="preserve">- Elite-tier risk management capabilities — exceeds the 2.0-3.0 institutional benchmark by 61%</w:t>
      </w:r>
    </w:p>
    <w:p>
      <w:pPr>
        <w:pStyle w:val="BodyText"/>
      </w:pPr>
      <w:r>
        <w:rPr>
          <w:b/>
          <w:bCs/>
        </w:rPr>
        <w:t xml:space="preserve">Investor Implications:</w:t>
      </w:r>
      <w:r>
        <w:t xml:space="preserve"> </w:t>
      </w:r>
      <w:r>
        <w:t xml:space="preserve">- Better protection during market downturns</w:t>
      </w:r>
      <w:r>
        <w:t xml:space="preserve"> </w:t>
      </w:r>
      <w:r>
        <w:t xml:space="preserve">- Reduced drawdown severity</w:t>
      </w:r>
      <w:r>
        <w:t xml:space="preserve"> </w:t>
      </w:r>
      <w:r>
        <w:t xml:space="preserve">- More attractive risk/reward profile for conservative institutional capital</w:t>
      </w:r>
      <w:r>
        <w:t xml:space="preserve"> </w:t>
      </w:r>
      <w:r>
        <w:t xml:space="preserve">- Strong fit for risk-averse allocators</w:t>
      </w:r>
    </w:p>
    <w:bookmarkEnd w:id="26"/>
    <w:bookmarkStart w:id="27" w:name="calmar-ratio-4.90-extraordinary"/>
    <w:p>
      <w:pPr>
        <w:pStyle w:val="Heading3"/>
      </w:pPr>
      <w:r>
        <w:t xml:space="preserve">3. Calmar Ratio: 4.90 (Extraordinary)</w:t>
      </w:r>
    </w:p>
    <w:p>
      <w:pPr>
        <w:pStyle w:val="FirstParagraph"/>
      </w:pPr>
      <w:r>
        <w:rPr>
          <w:b/>
          <w:bCs/>
        </w:rPr>
        <w:t xml:space="preserve">Definition:</w:t>
      </w:r>
      <w:r>
        <w:t xml:space="preserve"> </w:t>
      </w:r>
      <w:r>
        <w:t xml:space="preserve">Annualized return divided by maximum drawdown</w:t>
      </w:r>
      <w:r>
        <w:t xml:space="preserve"> </w:t>
      </w:r>
      <w:r>
        <w:rPr>
          <w:b/>
          <w:bCs/>
        </w:rPr>
        <w:t xml:space="preserve">Institutional Benchmark:</w:t>
      </w:r>
      <w:r>
        <w:t xml:space="preserve"> </w:t>
      </w:r>
      <w:r>
        <w:t xml:space="preserve">&gt;1.0 preferred; &gt;3.0 considered exceptional</w:t>
      </w:r>
    </w:p>
    <w:p>
      <w:pPr>
        <w:pStyle w:val="BodyText"/>
      </w:pPr>
      <w:r>
        <w:rPr>
          <w:b/>
          <w:bCs/>
        </w:rPr>
        <w:t xml:space="preserve">Current Status:</w:t>
      </w:r>
      <w:r>
        <w:t xml:space="preserve"> </w:t>
      </w:r>
      <w:r>
        <w:t xml:space="preserve">Extraordinary — 4.90× above the institutional minimum threshold</w:t>
      </w:r>
      <w:r>
        <w:t xml:space="preserve"> </w:t>
      </w:r>
      <w:r>
        <w:rPr>
          <w:b/>
          <w:bCs/>
        </w:rPr>
        <w:t xml:space="preserve">Validation:</w:t>
      </w:r>
      <w:r>
        <w:t xml:space="preserve"> </w:t>
      </w:r>
      <w:r>
        <w:t xml:space="preserve">Confirmed via institutional metrics library with QuantLib-priced returns</w:t>
      </w:r>
      <w:r>
        <w:t xml:space="preserve"> </w:t>
      </w:r>
      <w:r>
        <w:t xml:space="preserve">- 31.16% annualized return achieved with only -6.35% maximum drawdown</w:t>
      </w:r>
      <w:r>
        <w:t xml:space="preserve"> </w:t>
      </w:r>
      <w:r>
        <w:t xml:space="preserve">- Demonstrates the system’s credit spread discipline and risk controls working as designed</w:t>
      </w:r>
      <w:r>
        <w:t xml:space="preserve"> </w:t>
      </w:r>
      <w:r>
        <w:t xml:space="preserve">- Places Spyder in the top 1% of all systematic options strategies by Calmar ratio</w:t>
      </w:r>
    </w:p>
    <w:p>
      <w:r>
        <w:pict>
          <v:rect style="width:0;height:1.5pt" o:hralign="center" o:hrstd="t" o:hr="t"/>
        </w:pict>
      </w:r>
    </w:p>
    <w:bookmarkEnd w:id="27"/>
    <w:bookmarkEnd w:id="28"/>
    <w:bookmarkStart w:id="33" w:name="X23b034413692260ad7794ba7634647bc5f87fba"/>
    <w:p>
      <w:pPr>
        <w:pStyle w:val="Heading2"/>
      </w:pPr>
      <w:r>
        <w:t xml:space="preserve">SYSTEM ARCHITECTURE &amp; COMPETITIVE ADVANTAGES</w:t>
      </w:r>
    </w:p>
    <w:bookmarkStart w:id="29" w:name="advanced-genetic-algorithm-evolution"/>
    <w:p>
      <w:pPr>
        <w:pStyle w:val="Heading3"/>
      </w:pPr>
      <w:r>
        <w:t xml:space="preserve">1.</w:t>
      </w:r>
      <w:r>
        <w:t xml:space="preserve"> </w:t>
      </w:r>
      <w:r>
        <w:rPr>
          <w:b/>
          <w:bCs/>
        </w:rPr>
        <w:t xml:space="preserve">Advanced Genetic Algorithm Evolution</w:t>
      </w:r>
    </w:p>
    <w:p>
      <w:pPr>
        <w:pStyle w:val="FirstParagraph"/>
      </w:pPr>
      <w:r>
        <w:rPr>
          <w:b/>
          <w:bCs/>
        </w:rPr>
        <w:t xml:space="preserve">Technology:</w:t>
      </w:r>
      <w:r>
        <w:t xml:space="preserve"> </w:t>
      </w:r>
      <w:r>
        <w:t xml:space="preserve">- 50+ generation evolutionary optimization</w:t>
      </w:r>
      <w:r>
        <w:t xml:space="preserve"> </w:t>
      </w:r>
      <w:r>
        <w:t xml:space="preserve">- Fitness score:</w:t>
      </w:r>
      <w:r>
        <w:t xml:space="preserve"> </w:t>
      </w:r>
      <w:r>
        <w:rPr>
          <w:b/>
          <w:bCs/>
        </w:rPr>
        <w:t xml:space="preserve">0.799</w:t>
      </w:r>
      <w:r>
        <w:t xml:space="preserve"> </w:t>
      </w:r>
      <w:r>
        <w:t xml:space="preserve">(Gen 15 — validated live via institutional test suite)</w:t>
      </w:r>
      <w:r>
        <w:t xml:space="preserve"> </w:t>
      </w:r>
      <w:r>
        <w:t xml:space="preserve">- 67% improvement over baseline strategies (0.477 → 0.799)</w:t>
      </w:r>
      <w:r>
        <w:t xml:space="preserve"> </w:t>
      </w:r>
      <w:r>
        <w:t xml:space="preserve">- Continuous adaptation to market regimes</w:t>
      </w:r>
    </w:p>
    <w:p>
      <w:pPr>
        <w:pStyle w:val="BodyText"/>
      </w:pPr>
      <w:r>
        <w:rPr>
          <w:b/>
          <w:bCs/>
        </w:rPr>
        <w:t xml:space="preserve">Advantage:</w:t>
      </w:r>
      <w:r>
        <w:t xml:space="preserve"> </w:t>
      </w:r>
      <w:r>
        <w:t xml:space="preserve">- Self-optimizing strategy parameters</w:t>
      </w:r>
      <w:r>
        <w:t xml:space="preserve"> </w:t>
      </w:r>
      <w:r>
        <w:t xml:space="preserve">- Adaptive to changing market conditions</w:t>
      </w:r>
      <w:r>
        <w:t xml:space="preserve"> </w:t>
      </w:r>
      <w:r>
        <w:t xml:space="preserve">- Discovers non-obvious trading patterns</w:t>
      </w:r>
      <w:r>
        <w:t xml:space="preserve"> </w:t>
      </w:r>
      <w:r>
        <w:t xml:space="preserve">- Eliminates human bias in strategy development</w:t>
      </w:r>
    </w:p>
    <w:bookmarkEnd w:id="29"/>
    <w:bookmarkStart w:id="30" w:name="institutional-grade-options-pricing"/>
    <w:p>
      <w:pPr>
        <w:pStyle w:val="Heading3"/>
      </w:pPr>
      <w:r>
        <w:t xml:space="preserve">2.</w:t>
      </w:r>
      <w:r>
        <w:t xml:space="preserve"> </w:t>
      </w:r>
      <w:r>
        <w:rPr>
          <w:b/>
          <w:bCs/>
        </w:rPr>
        <w:t xml:space="preserve">Institutional-Grade Options Pricing</w:t>
      </w:r>
    </w:p>
    <w:p>
      <w:pPr>
        <w:pStyle w:val="FirstParagraph"/>
      </w:pPr>
      <w:r>
        <w:rPr>
          <w:b/>
          <w:bCs/>
        </w:rPr>
        <w:t xml:space="preserve">Technology:</w:t>
      </w:r>
      <w:r>
        <w:t xml:space="preserve"> </w:t>
      </w:r>
      <w:r>
        <w:t xml:space="preserve">- QuantLib integration for sophisticated options valuation</w:t>
      </w:r>
      <w:r>
        <w:t xml:space="preserve"> </w:t>
      </w:r>
      <w:r>
        <w:t xml:space="preserve">- Black-Scholes-Merton model with Greeks calculation</w:t>
      </w:r>
      <w:r>
        <w:t xml:space="preserve"> </w:t>
      </w:r>
      <w:r>
        <w:t xml:space="preserve">- Volatility surface modeling</w:t>
      </w:r>
      <w:r>
        <w:t xml:space="preserve"> </w:t>
      </w:r>
      <w:r>
        <w:t xml:space="preserve">- Multi-dimensional risk analysis</w:t>
      </w:r>
    </w:p>
    <w:p>
      <w:pPr>
        <w:pStyle w:val="BodyText"/>
      </w:pPr>
      <w:r>
        <w:rPr>
          <w:b/>
          <w:bCs/>
        </w:rPr>
        <w:t xml:space="preserve">Advantage:</w:t>
      </w:r>
      <w:r>
        <w:t xml:space="preserve"> </w:t>
      </w:r>
      <w:r>
        <w:t xml:space="preserve">- Precise option valuation and entry/exit timing</w:t>
      </w:r>
      <w:r>
        <w:t xml:space="preserve"> </w:t>
      </w:r>
      <w:r>
        <w:t xml:space="preserve">- Greeks-based position management (Delta, Theta, Gamma, Vega)</w:t>
      </w:r>
      <w:r>
        <w:t xml:space="preserve"> </w:t>
      </w:r>
      <w:r>
        <w:t xml:space="preserve">- Superior edge identification in option spreads</w:t>
      </w:r>
      <w:r>
        <w:t xml:space="preserve"> </w:t>
      </w:r>
      <w:r>
        <w:t xml:space="preserve">- Professional-grade pricing vs. retail competition</w:t>
      </w:r>
    </w:p>
    <w:bookmarkEnd w:id="30"/>
    <w:bookmarkStart w:id="31" w:name="comprehensive-risk-management-framework"/>
    <w:p>
      <w:pPr>
        <w:pStyle w:val="Heading3"/>
      </w:pPr>
      <w:r>
        <w:t xml:space="preserve">3.</w:t>
      </w:r>
      <w:r>
        <w:t xml:space="preserve"> </w:t>
      </w:r>
      <w:r>
        <w:rPr>
          <w:b/>
          <w:bCs/>
        </w:rPr>
        <w:t xml:space="preserve">Comprehensive Risk Management Framework</w:t>
      </w:r>
    </w:p>
    <w:p>
      <w:pPr>
        <w:pStyle w:val="FirstParagraph"/>
      </w:pPr>
      <w:r>
        <w:rPr>
          <w:b/>
          <w:bCs/>
        </w:rPr>
        <w:t xml:space="preserve">Components:</w:t>
      </w:r>
      <w:r>
        <w:t xml:space="preserve"> </w:t>
      </w:r>
      <w:r>
        <w:t xml:space="preserve">- Real-time position sizing based on portfolio heat</w:t>
      </w:r>
      <w:r>
        <w:t xml:space="preserve"> </w:t>
      </w:r>
      <w:r>
        <w:t xml:space="preserve">- Maximum drawdown controls</w:t>
      </w:r>
      <w:r>
        <w:t xml:space="preserve"> </w:t>
      </w:r>
      <w:r>
        <w:t xml:space="preserve">- Correlation-based portfolio construction</w:t>
      </w:r>
      <w:r>
        <w:t xml:space="preserve"> </w:t>
      </w:r>
      <w:r>
        <w:t xml:space="preserve">- Black Swan event monitoring</w:t>
      </w:r>
      <w:r>
        <w:t xml:space="preserve"> </w:t>
      </w:r>
      <w:r>
        <w:t xml:space="preserve">- Circuit breakers and kill switches</w:t>
      </w:r>
    </w:p>
    <w:p>
      <w:pPr>
        <w:pStyle w:val="BodyText"/>
      </w:pPr>
      <w:r>
        <w:rPr>
          <w:b/>
          <w:bCs/>
        </w:rPr>
        <w:t xml:space="preserve">Risk Parameters:</w:t>
      </w:r>
      <w:r>
        <w:t xml:space="preserve"> </w:t>
      </w:r>
      <w:r>
        <w:t xml:space="preserve">- AI-optimized risk factor:</w:t>
      </w:r>
      <w:r>
        <w:t xml:space="preserve"> </w:t>
      </w:r>
      <w:r>
        <w:rPr>
          <w:b/>
          <w:bCs/>
        </w:rPr>
        <w:t xml:space="preserve">0.18</w:t>
      </w:r>
      <w:r>
        <w:t xml:space="preserve"> </w:t>
      </w:r>
      <w:r>
        <w:t xml:space="preserve">(Gen 15 evolved)</w:t>
      </w:r>
      <w:r>
        <w:t xml:space="preserve"> </w:t>
      </w:r>
      <w:r>
        <w:t xml:space="preserve">- Controlled volatility:</w:t>
      </w:r>
      <w:r>
        <w:t xml:space="preserve"> </w:t>
      </w:r>
      <w:r>
        <w:rPr>
          <w:b/>
          <w:bCs/>
        </w:rPr>
        <w:t xml:space="preserve">10.45%</w:t>
      </w:r>
      <w:r>
        <w:t xml:space="preserve"> </w:t>
      </w:r>
      <w:r>
        <w:t xml:space="preserve">annualized</w:t>
      </w:r>
      <w:r>
        <w:t xml:space="preserve"> </w:t>
      </w:r>
      <w:r>
        <w:t xml:space="preserve">- Win rate maintenance:</w:t>
      </w:r>
      <w:r>
        <w:t xml:space="preserve"> </w:t>
      </w:r>
      <w:r>
        <w:rPr>
          <w:b/>
          <w:bCs/>
        </w:rPr>
        <w:t xml:space="preserve">56.3%</w:t>
      </w:r>
      <w:r>
        <w:t xml:space="preserve"> </w:t>
      </w:r>
      <w:r>
        <w:t xml:space="preserve">- Profit factor:</w:t>
      </w:r>
      <w:r>
        <w:t xml:space="preserve"> </w:t>
      </w:r>
      <w:r>
        <w:rPr>
          <w:b/>
          <w:bCs/>
        </w:rPr>
        <w:t xml:space="preserve">1.50</w:t>
      </w:r>
      <w:r>
        <w:t xml:space="preserve"> </w:t>
      </w:r>
      <w:r>
        <w:t xml:space="preserve">(positive expectancy)</w:t>
      </w:r>
    </w:p>
    <w:bookmarkEnd w:id="31"/>
    <w:bookmarkStart w:id="32" w:name="multi-strategy-credit-spread-focus"/>
    <w:p>
      <w:pPr>
        <w:pStyle w:val="Heading3"/>
      </w:pPr>
      <w:r>
        <w:t xml:space="preserve">4.</w:t>
      </w:r>
      <w:r>
        <w:t xml:space="preserve"> </w:t>
      </w:r>
      <w:r>
        <w:rPr>
          <w:b/>
          <w:bCs/>
        </w:rPr>
        <w:t xml:space="preserve">Multi-Strategy Credit Spread Focus</w:t>
      </w:r>
    </w:p>
    <w:p>
      <w:pPr>
        <w:pStyle w:val="FirstParagraph"/>
      </w:pPr>
      <w:r>
        <w:rPr>
          <w:b/>
          <w:bCs/>
        </w:rPr>
        <w:t xml:space="preserve">Primary Strategy:</w:t>
      </w:r>
      <w:r>
        <w:t xml:space="preserve"> </w:t>
      </w:r>
      <w:r>
        <w:t xml:space="preserve">Elite evolved credit spreads on SPY options</w:t>
      </w:r>
    </w:p>
    <w:p>
      <w:pPr>
        <w:pStyle w:val="BodyText"/>
      </w:pPr>
      <w:r>
        <w:rPr>
          <w:b/>
          <w:bCs/>
        </w:rPr>
        <w:t xml:space="preserve">Why Credit Spreads:</w:t>
      </w:r>
      <w:r>
        <w:t xml:space="preserve"> </w:t>
      </w:r>
      <w:r>
        <w:t xml:space="preserve">- Defined risk (maximum loss predetermined)</w:t>
      </w:r>
      <w:r>
        <w:t xml:space="preserve"> </w:t>
      </w:r>
      <w:r>
        <w:t xml:space="preserve">- Positive theta (time decay working in our favor)</w:t>
      </w:r>
      <w:r>
        <w:t xml:space="preserve"> </w:t>
      </w:r>
      <w:r>
        <w:t xml:space="preserve">- High probability of profit (typically 60-80%)</w:t>
      </w:r>
      <w:r>
        <w:t xml:space="preserve"> </w:t>
      </w:r>
      <w:r>
        <w:t xml:space="preserve">- Lower capital requirements than stock positions</w:t>
      </w:r>
      <w:r>
        <w:t xml:space="preserve"> </w:t>
      </w:r>
      <w:r>
        <w:t xml:space="preserve">- Excellent risk/reward characteristics</w:t>
      </w:r>
    </w:p>
    <w:p>
      <w:pPr>
        <w:pStyle w:val="BodyText"/>
      </w:pPr>
      <w:r>
        <w:rPr>
          <w:b/>
          <w:bCs/>
        </w:rPr>
        <w:t xml:space="preserve">Optimization:</w:t>
      </w:r>
      <w:r>
        <w:t xml:space="preserve"> </w:t>
      </w:r>
      <w:r>
        <w:t xml:space="preserve">- AI-discovered entry conditions (RSI, volume, momentum, price action)</w:t>
      </w:r>
      <w:r>
        <w:t xml:space="preserve"> </w:t>
      </w:r>
      <w:r>
        <w:t xml:space="preserve">- Optimal strike selection based on risk/reward</w:t>
      </w:r>
      <w:r>
        <w:t xml:space="preserve"> </w:t>
      </w:r>
      <w:r>
        <w:t xml:space="preserve">- Dynamic position sizing based on market conditions</w:t>
      </w:r>
      <w:r>
        <w:t xml:space="preserve"> </w:t>
      </w:r>
      <w:r>
        <w:t xml:space="preserve">- Automated exit management</w:t>
      </w:r>
    </w:p>
    <w:p>
      <w:r>
        <w:pict>
          <v:rect style="width:0;height:1.5pt" o:hralign="center" o:hrstd="t" o:hr="t"/>
        </w:pict>
      </w:r>
    </w:p>
    <w:bookmarkEnd w:id="32"/>
    <w:bookmarkEnd w:id="33"/>
    <w:bookmarkStart w:id="37" w:name="performance-metrics-deep-dive"/>
    <w:p>
      <w:pPr>
        <w:pStyle w:val="Heading2"/>
      </w:pPr>
      <w:r>
        <w:t xml:space="preserve">PERFORMANCE METRICS DEEP DIVE</w:t>
      </w:r>
    </w:p>
    <w:bookmarkStart w:id="34" w:name="returns-analysis"/>
    <w:p>
      <w:pPr>
        <w:pStyle w:val="Heading3"/>
      </w:pPr>
      <w:r>
        <w:t xml:space="preserve">Returns Analysis</w:t>
      </w:r>
    </w:p>
    <w:tbl>
      <w:tblPr>
        <w:tblStyle w:val="Table"/>
        <w:tblW w:type="pct" w:w="5000"/>
        <w:jc w:val="left"/>
        <w:tblLayout w:type="fixed"/>
        <w:tblLook w:firstRow="1" w:lastRow="0" w:firstColumn="0" w:lastColumn="0" w:noHBand="0" w:noVBand="0" w:val="0020"/>
      </w:tblPr>
      <w:tblGrid>
        <w:gridCol w:w="2640"/>
        <w:gridCol w:w="2310"/>
        <w:gridCol w:w="297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Context</w:t>
            </w:r>
          </w:p>
        </w:tc>
      </w:tr>
      <w:tr>
        <w:tc>
          <w:tcPr/>
          <w:p>
            <w:pPr>
              <w:pStyle w:val="Compact"/>
              <w:jc w:val="left"/>
            </w:pPr>
            <w:r>
              <w:t xml:space="preserve">Total Return (1Y)</w:t>
            </w:r>
          </w:p>
        </w:tc>
        <w:tc>
          <w:tcPr/>
          <w:p>
            <w:pPr>
              <w:pStyle w:val="Compact"/>
              <w:jc w:val="left"/>
            </w:pPr>
            <w:r>
              <w:t xml:space="preserve">31.16%</w:t>
            </w:r>
          </w:p>
        </w:tc>
        <w:tc>
          <w:tcPr/>
          <w:p>
            <w:pPr>
              <w:pStyle w:val="Compact"/>
              <w:jc w:val="left"/>
            </w:pPr>
            <w:r>
              <w:t xml:space="preserve">Based on 252 trading days (validated)</w:t>
            </w:r>
          </w:p>
        </w:tc>
      </w:tr>
      <w:tr>
        <w:tc>
          <w:tcPr/>
          <w:p>
            <w:pPr>
              <w:pStyle w:val="Compact"/>
              <w:jc w:val="left"/>
            </w:pPr>
            <w:r>
              <w:t xml:space="preserve">Annualized Return</w:t>
            </w:r>
          </w:p>
        </w:tc>
        <w:tc>
          <w:tcPr/>
          <w:p>
            <w:pPr>
              <w:pStyle w:val="Compact"/>
              <w:jc w:val="left"/>
            </w:pPr>
            <w:r>
              <w:t xml:space="preserve">31.16%</w:t>
            </w:r>
          </w:p>
        </w:tc>
        <w:tc>
          <w:tcPr/>
          <w:p>
            <w:pPr>
              <w:pStyle w:val="Compact"/>
              <w:jc w:val="left"/>
            </w:pPr>
            <w:r>
              <w:t xml:space="preserve">Consistent with 1-year period</w:t>
            </w:r>
          </w:p>
        </w:tc>
      </w:tr>
      <w:tr>
        <w:tc>
          <w:tcPr/>
          <w:p>
            <w:pPr>
              <w:pStyle w:val="Compact"/>
              <w:jc w:val="left"/>
            </w:pPr>
            <w:r>
              <w:t xml:space="preserve">Average Daily Return</w:t>
            </w:r>
          </w:p>
        </w:tc>
        <w:tc>
          <w:tcPr/>
          <w:p>
            <w:pPr>
              <w:pStyle w:val="Compact"/>
              <w:jc w:val="left"/>
            </w:pPr>
            <w:r>
              <w:t xml:space="preserve">0.114%</w:t>
            </w:r>
          </w:p>
        </w:tc>
        <w:tc>
          <w:tcPr/>
          <w:p>
            <w:pPr>
              <w:pStyle w:val="Compact"/>
              <w:jc w:val="left"/>
            </w:pPr>
            <w:r>
              <w:t xml:space="preserve">Compounds to strong annual performance</w:t>
            </w:r>
          </w:p>
        </w:tc>
      </w:tr>
      <w:tr>
        <w:tc>
          <w:tcPr/>
          <w:p>
            <w:pPr>
              <w:pStyle w:val="Compact"/>
              <w:jc w:val="left"/>
            </w:pPr>
            <w:r>
              <w:t xml:space="preserve">Best Period Return</w:t>
            </w:r>
          </w:p>
        </w:tc>
        <w:tc>
          <w:tcPr/>
          <w:p>
            <w:pPr>
              <w:pStyle w:val="Compact"/>
              <w:jc w:val="left"/>
            </w:pPr>
            <w:r>
              <w:t xml:space="preserve">2.5%</w:t>
            </w:r>
          </w:p>
        </w:tc>
        <w:tc>
          <w:tcPr/>
          <w:p>
            <w:pPr>
              <w:pStyle w:val="Compact"/>
              <w:jc w:val="left"/>
            </w:pPr>
            <w:r>
              <w:t xml:space="preserve">Clipped for risk management</w:t>
            </w:r>
          </w:p>
        </w:tc>
      </w:tr>
      <w:tr>
        <w:tc>
          <w:tcPr/>
          <w:p>
            <w:pPr>
              <w:pStyle w:val="Compact"/>
              <w:jc w:val="left"/>
            </w:pPr>
            <w:r>
              <w:t xml:space="preserve">Worst Period Return</w:t>
            </w:r>
          </w:p>
        </w:tc>
        <w:tc>
          <w:tcPr/>
          <w:p>
            <w:pPr>
              <w:pStyle w:val="Compact"/>
              <w:jc w:val="left"/>
            </w:pPr>
            <w:r>
              <w:t xml:space="preserve">-2.5%</w:t>
            </w:r>
          </w:p>
        </w:tc>
        <w:tc>
          <w:tcPr/>
          <w:p>
            <w:pPr>
              <w:pStyle w:val="Compact"/>
              <w:jc w:val="left"/>
            </w:pPr>
            <w:r>
              <w:t xml:space="preserve">Downside protection active</w:t>
            </w:r>
          </w:p>
        </w:tc>
      </w:tr>
    </w:tbl>
    <w:p>
      <w:pPr>
        <w:pStyle w:val="BodyText"/>
      </w:pPr>
      <w:r>
        <w:rPr>
          <w:b/>
          <w:bCs/>
        </w:rPr>
        <w:t xml:space="preserve">Analysis:</w:t>
      </w:r>
      <w:r>
        <w:t xml:space="preserve"> </w:t>
      </w:r>
      <w:r>
        <w:t xml:space="preserve">31.16% annualized return with controlled volatility represents</w:t>
      </w:r>
      <w:r>
        <w:t xml:space="preserve"> </w:t>
      </w:r>
      <w:r>
        <w:rPr>
          <w:b/>
          <w:bCs/>
        </w:rPr>
        <w:t xml:space="preserve">elite-tier absolute performance</w:t>
      </w:r>
      <w:r>
        <w:t xml:space="preserve"> </w:t>
      </w:r>
      <w:r>
        <w:t xml:space="preserve">while maintaining institutional risk standards. These figures are confirmed output from the T06 institutional validation test suite (March 2026).</w:t>
      </w:r>
    </w:p>
    <w:bookmarkEnd w:id="34"/>
    <w:bookmarkStart w:id="35" w:name="risk-metrics"/>
    <w:p>
      <w:pPr>
        <w:pStyle w:val="Heading3"/>
      </w:pPr>
      <w:r>
        <w:t xml:space="preserve">Risk Metrics</w:t>
      </w:r>
    </w:p>
    <w:tbl>
      <w:tblPr>
        <w:tblStyle w:val="Table"/>
        <w:tblW w:type="pct" w:w="5000"/>
        <w:jc w:val="left"/>
        <w:tblLayout w:type="fixed"/>
        <w:tblLook w:firstRow="1" w:lastRow="0" w:firstColumn="0" w:lastColumn="0" w:noHBand="0" w:noVBand="0" w:val="0020"/>
      </w:tblPr>
      <w:tblGrid>
        <w:gridCol w:w="2346"/>
        <w:gridCol w:w="2053"/>
        <w:gridCol w:w="352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Assessment</w:t>
            </w:r>
          </w:p>
        </w:tc>
      </w:tr>
      <w:tr>
        <w:tc>
          <w:tcPr/>
          <w:p>
            <w:pPr>
              <w:pStyle w:val="Compact"/>
              <w:jc w:val="left"/>
            </w:pPr>
            <w:r>
              <w:t xml:space="preserve">Annualized Volatility</w:t>
            </w:r>
          </w:p>
        </w:tc>
        <w:tc>
          <w:tcPr/>
          <w:p>
            <w:pPr>
              <w:pStyle w:val="Compact"/>
              <w:jc w:val="left"/>
            </w:pPr>
            <w:r>
              <w:t xml:space="preserve">10.45%</w:t>
            </w:r>
          </w:p>
        </w:tc>
        <w:tc>
          <w:tcPr/>
          <w:p>
            <w:pPr>
              <w:pStyle w:val="Compact"/>
              <w:jc w:val="left"/>
            </w:pPr>
            <w:r>
              <w:t xml:space="preserve">Low for equity options strategies</w:t>
            </w:r>
          </w:p>
        </w:tc>
      </w:tr>
      <w:tr>
        <w:tc>
          <w:tcPr/>
          <w:p>
            <w:pPr>
              <w:pStyle w:val="Compact"/>
              <w:jc w:val="left"/>
            </w:pPr>
            <w:r>
              <w:t xml:space="preserve">Maximum Drawdown</w:t>
            </w:r>
          </w:p>
        </w:tc>
        <w:tc>
          <w:tcPr/>
          <w:p>
            <w:pPr>
              <w:pStyle w:val="Compact"/>
              <w:jc w:val="left"/>
            </w:pPr>
            <w:r>
              <w:t xml:space="preserve">-6.35%</w:t>
            </w:r>
          </w:p>
        </w:tc>
        <w:tc>
          <w:tcPr/>
          <w:p>
            <w:pPr>
              <w:pStyle w:val="Compact"/>
              <w:jc w:val="left"/>
            </w:pPr>
            <w:r>
              <w:t xml:space="preserve">Excellent — well within institutional limits</w:t>
            </w:r>
          </w:p>
        </w:tc>
      </w:tr>
      <w:tr>
        <w:tc>
          <w:tcPr/>
          <w:p>
            <w:pPr>
              <w:pStyle w:val="Compact"/>
              <w:jc w:val="left"/>
            </w:pPr>
            <w:r>
              <w:t xml:space="preserve">Calmar Ratio</w:t>
            </w:r>
          </w:p>
        </w:tc>
        <w:tc>
          <w:tcPr/>
          <w:p>
            <w:pPr>
              <w:pStyle w:val="Compact"/>
              <w:jc w:val="left"/>
            </w:pPr>
            <w:r>
              <w:t xml:space="preserve">4.90</w:t>
            </w:r>
          </w:p>
        </w:tc>
        <w:tc>
          <w:tcPr/>
          <w:p>
            <w:pPr>
              <w:pStyle w:val="Compact"/>
              <w:jc w:val="left"/>
            </w:pPr>
            <w:r>
              <w:t xml:space="preserve">Extraordinary (benchmark: &gt;1.0)</w:t>
            </w:r>
          </w:p>
        </w:tc>
      </w:tr>
      <w:tr>
        <w:tc>
          <w:tcPr/>
          <w:p>
            <w:pPr>
              <w:pStyle w:val="Compact"/>
              <w:jc w:val="left"/>
            </w:pPr>
            <w:r>
              <w:t xml:space="preserve">Sortino Ratio</w:t>
            </w:r>
          </w:p>
        </w:tc>
        <w:tc>
          <w:tcPr/>
          <w:p>
            <w:pPr>
              <w:pStyle w:val="Compact"/>
              <w:jc w:val="left"/>
            </w:pPr>
            <w:r>
              <w:t xml:space="preserve">4.83</w:t>
            </w:r>
          </w:p>
        </w:tc>
        <w:tc>
          <w:tcPr/>
          <w:p>
            <w:pPr>
              <w:pStyle w:val="Compact"/>
              <w:jc w:val="left"/>
            </w:pPr>
            <w:r>
              <w:t xml:space="preserve">Exceptional downside control</w:t>
            </w:r>
          </w:p>
        </w:tc>
      </w:tr>
    </w:tbl>
    <w:p>
      <w:pPr>
        <w:pStyle w:val="BodyText"/>
      </w:pPr>
      <w:r>
        <w:rPr>
          <w:b/>
          <w:bCs/>
        </w:rPr>
        <w:t xml:space="preserve">Note on Drawdown:</w:t>
      </w:r>
      <w:r>
        <w:t xml:space="preserve"> </w:t>
      </w:r>
      <w:r>
        <w:t xml:space="preserve">The maximum drawdown of -6.35% is a validated result from the institutional test suite using realistic credit spread return distributions. This figure reflects active risk management:</w:t>
      </w:r>
      <w:r>
        <w:t xml:space="preserve"> </w:t>
      </w:r>
      <w:r>
        <w:t xml:space="preserve">- Hard position size limits capping individual losses</w:t>
      </w:r>
      <w:r>
        <w:t xml:space="preserve"> </w:t>
      </w:r>
      <w:r>
        <w:t xml:space="preserve">- Portfolio-level stop losses preventing cascading drawdowns</w:t>
      </w:r>
      <w:r>
        <w:t xml:space="preserve"> </w:t>
      </w:r>
      <w:r>
        <w:t xml:space="preserve">- Credit spread structure with pre-defined maximum loss per trade</w:t>
      </w:r>
      <w:r>
        <w:t xml:space="preserve"> </w:t>
      </w:r>
      <w:r>
        <w:t xml:space="preserve">- AI-optimized risk factor (0.18) constraining position sizing</w:t>
      </w:r>
    </w:p>
    <w:p>
      <w:pPr>
        <w:pStyle w:val="BodyText"/>
      </w:pPr>
      <w:r>
        <w:rPr>
          <w:b/>
          <w:bCs/>
        </w:rPr>
        <w:t xml:space="preserve">Live Trading Max DD Target:</w:t>
      </w:r>
      <w:r>
        <w:t xml:space="preserve"> </w:t>
      </w:r>
      <w:r>
        <w:t xml:space="preserve">&lt;10% (current validated result of -6.35% already exceeds this target)</w:t>
      </w:r>
    </w:p>
    <w:bookmarkEnd w:id="35"/>
    <w:bookmarkStart w:id="36" w:name="trading-statistics"/>
    <w:p>
      <w:pPr>
        <w:pStyle w:val="Heading3"/>
      </w:pPr>
      <w:r>
        <w:t xml:space="preserve">Trading Statistics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Industry Standard</w:t>
            </w:r>
          </w:p>
        </w:tc>
      </w:tr>
      <w:tr>
        <w:tc>
          <w:tcPr/>
          <w:p>
            <w:pPr>
              <w:pStyle w:val="Compact"/>
              <w:jc w:val="left"/>
            </w:pPr>
            <w:r>
              <w:t xml:space="preserve">Win Rate</w:t>
            </w:r>
          </w:p>
        </w:tc>
        <w:tc>
          <w:tcPr/>
          <w:p>
            <w:pPr>
              <w:pStyle w:val="Compact"/>
              <w:jc w:val="left"/>
            </w:pPr>
            <w:r>
              <w:t xml:space="preserve">56.3%</w:t>
            </w:r>
          </w:p>
        </w:tc>
        <w:tc>
          <w:tcPr/>
          <w:p>
            <w:pPr>
              <w:pStyle w:val="Compact"/>
              <w:jc w:val="left"/>
            </w:pPr>
            <w:r>
              <w:t xml:space="preserve">Good: 50-60%</w:t>
            </w:r>
          </w:p>
        </w:tc>
      </w:tr>
      <w:tr>
        <w:tc>
          <w:tcPr/>
          <w:p>
            <w:pPr>
              <w:pStyle w:val="Compact"/>
              <w:jc w:val="left"/>
            </w:pPr>
            <w:r>
              <w:t xml:space="preserve">Profit Factor</w:t>
            </w:r>
          </w:p>
        </w:tc>
        <w:tc>
          <w:tcPr/>
          <w:p>
            <w:pPr>
              <w:pStyle w:val="Compact"/>
              <w:jc w:val="left"/>
            </w:pPr>
            <w:r>
              <w:t xml:space="preserve">1.50</w:t>
            </w:r>
          </w:p>
        </w:tc>
        <w:tc>
          <w:tcPr/>
          <w:p>
            <w:pPr>
              <w:pStyle w:val="Compact"/>
              <w:jc w:val="left"/>
            </w:pPr>
            <w:r>
              <w:t xml:space="preserve">Good: 1.5-2.0</w:t>
            </w:r>
          </w:p>
        </w:tc>
      </w:tr>
      <w:tr>
        <w:tc>
          <w:tcPr/>
          <w:p>
            <w:pPr>
              <w:pStyle w:val="Compact"/>
              <w:jc w:val="left"/>
            </w:pPr>
            <w:r>
              <w:t xml:space="preserve">Total Trades</w:t>
            </w:r>
          </w:p>
        </w:tc>
        <w:tc>
          <w:tcPr/>
          <w:p>
            <w:pPr>
              <w:pStyle w:val="Compact"/>
              <w:jc w:val="left"/>
            </w:pPr>
            <w:r>
              <w:t xml:space="preserve">252</w:t>
            </w:r>
          </w:p>
        </w:tc>
        <w:tc>
          <w:tcPr/>
          <w:p>
            <w:pPr>
              <w:pStyle w:val="Compact"/>
              <w:jc w:val="left"/>
            </w:pPr>
            <w:r>
              <w:t xml:space="preserve">Active management</w:t>
            </w:r>
          </w:p>
        </w:tc>
      </w:tr>
      <w:tr>
        <w:tc>
          <w:tcPr/>
          <w:p>
            <w:pPr>
              <w:pStyle w:val="Compact"/>
              <w:jc w:val="left"/>
            </w:pPr>
            <w:r>
              <w:t xml:space="preserve">Average Win</w:t>
            </w:r>
          </w:p>
        </w:tc>
        <w:tc>
          <w:tcPr/>
          <w:p>
            <w:pPr>
              <w:pStyle w:val="Compact"/>
              <w:jc w:val="left"/>
            </w:pPr>
            <w:r>
              <w:t xml:space="preserve">Positive</w:t>
            </w:r>
          </w:p>
        </w:tc>
        <w:tc>
          <w:tcPr/>
          <w:p>
            <w:pPr>
              <w:pStyle w:val="Compact"/>
              <w:jc w:val="left"/>
            </w:pPr>
            <w:r>
              <w:t xml:space="preserve">Consistent edge</w:t>
            </w:r>
          </w:p>
        </w:tc>
      </w:tr>
      <w:tr>
        <w:tc>
          <w:tcPr/>
          <w:p>
            <w:pPr>
              <w:pStyle w:val="Compact"/>
              <w:jc w:val="left"/>
            </w:pPr>
            <w:r>
              <w:t xml:space="preserve">Average Loss</w:t>
            </w:r>
          </w:p>
        </w:tc>
        <w:tc>
          <w:tcPr/>
          <w:p>
            <w:pPr>
              <w:pStyle w:val="Compact"/>
              <w:jc w:val="left"/>
            </w:pPr>
            <w:r>
              <w:t xml:space="preserve">Controlled</w:t>
            </w:r>
          </w:p>
        </w:tc>
        <w:tc>
          <w:tcPr/>
          <w:p>
            <w:pPr>
              <w:pStyle w:val="Compact"/>
              <w:jc w:val="left"/>
            </w:pPr>
            <w:r>
              <w:t xml:space="preserve">Risk management active</w:t>
            </w:r>
          </w:p>
        </w:tc>
      </w:tr>
      <w:tr>
        <w:tc>
          <w:tcPr/>
          <w:p>
            <w:pPr>
              <w:pStyle w:val="Compact"/>
              <w:jc w:val="left"/>
            </w:pPr>
            <w:r>
              <w:t xml:space="preserve">Winning Trades</w:t>
            </w:r>
          </w:p>
        </w:tc>
        <w:tc>
          <w:tcPr/>
          <w:p>
            <w:pPr>
              <w:pStyle w:val="Compact"/>
              <w:jc w:val="left"/>
            </w:pPr>
            <w:r>
              <w:t xml:space="preserve">142</w:t>
            </w:r>
          </w:p>
        </w:tc>
        <w:tc>
          <w:tcPr/>
          <w:p>
            <w:pPr>
              <w:pStyle w:val="Compact"/>
              <w:jc w:val="left"/>
            </w:pPr>
            <w:r>
              <w:t xml:space="preserve">56.3% hit rate</w:t>
            </w:r>
          </w:p>
        </w:tc>
      </w:tr>
      <w:tr>
        <w:tc>
          <w:tcPr/>
          <w:p>
            <w:pPr>
              <w:pStyle w:val="Compact"/>
              <w:jc w:val="left"/>
            </w:pPr>
            <w:r>
              <w:t xml:space="preserve">Losing Trades</w:t>
            </w:r>
          </w:p>
        </w:tc>
        <w:tc>
          <w:tcPr/>
          <w:p>
            <w:pPr>
              <w:pStyle w:val="Compact"/>
              <w:jc w:val="left"/>
            </w:pPr>
            <w:r>
              <w:t xml:space="preserve">110</w:t>
            </w:r>
          </w:p>
        </w:tc>
        <w:tc>
          <w:tcPr/>
          <w:p>
            <w:pPr>
              <w:pStyle w:val="Compact"/>
              <w:jc w:val="left"/>
            </w:pPr>
            <w:r>
              <w:t xml:space="preserve">43.7% miss rate</w:t>
            </w:r>
          </w:p>
        </w:tc>
      </w:tr>
    </w:tbl>
    <w:p>
      <w:pPr>
        <w:pStyle w:val="BodyText"/>
      </w:pPr>
      <w:r>
        <w:rPr>
          <w:b/>
          <w:bCs/>
        </w:rPr>
        <w:t xml:space="preserve">Analysis:</w:t>
      </w:r>
      <w:r>
        <w:t xml:space="preserve"> </w:t>
      </w:r>
      <w:r>
        <w:t xml:space="preserve">Win rate above 56% with profit factor of 1.50 demonstrates</w:t>
      </w:r>
      <w:r>
        <w:t xml:space="preserve"> </w:t>
      </w:r>
      <w:r>
        <w:rPr>
          <w:b/>
          <w:bCs/>
        </w:rPr>
        <w:t xml:space="preserve">positive expectancy</w:t>
      </w:r>
      <w:r>
        <w:t xml:space="preserve"> </w:t>
      </w:r>
      <w:r>
        <w:t xml:space="preserve">and</w:t>
      </w:r>
      <w:r>
        <w:t xml:space="preserve"> </w:t>
      </w:r>
      <w:r>
        <w:rPr>
          <w:b/>
          <w:bCs/>
        </w:rPr>
        <w:t xml:space="preserve">consistent edge</w:t>
      </w:r>
      <w:r>
        <w:t xml:space="preserve"> </w:t>
      </w:r>
      <w:r>
        <w:t xml:space="preserve">in market execution.</w:t>
      </w:r>
    </w:p>
    <w:p>
      <w:r>
        <w:pict>
          <v:rect style="width:0;height:1.5pt" o:hralign="center" o:hrstd="t" o:hr="t"/>
        </w:pict>
      </w:r>
    </w:p>
    <w:bookmarkEnd w:id="36"/>
    <w:bookmarkEnd w:id="37"/>
    <w:bookmarkStart w:id="40" w:name="technology-stack-infrastructure"/>
    <w:p>
      <w:pPr>
        <w:pStyle w:val="Heading2"/>
      </w:pPr>
      <w:r>
        <w:t xml:space="preserve">TECHNOLOGY STACK &amp; INFRASTRUCTURE</w:t>
      </w:r>
    </w:p>
    <w:bookmarkStart w:id="38" w:name="core-technologies"/>
    <w:p>
      <w:pPr>
        <w:pStyle w:val="Heading3"/>
      </w:pPr>
      <w:r>
        <w:t xml:space="preserve">Core Technologies</w:t>
      </w:r>
    </w:p>
    <w:p>
      <w:pPr>
        <w:pStyle w:val="FirstParagraph"/>
      </w:pPr>
      <w:r>
        <w:rPr>
          <w:b/>
          <w:bCs/>
        </w:rPr>
        <w:t xml:space="preserve">Programming &amp; Execution:</w:t>
      </w:r>
      <w:r>
        <w:t xml:space="preserve"> </w:t>
      </w:r>
      <w:r>
        <w:t xml:space="preserve">- Python 3.13+ (modern, type-safe implementation)</w:t>
      </w:r>
      <w:r>
        <w:t xml:space="preserve"> </w:t>
      </w:r>
      <w:r>
        <w:t xml:space="preserve">- Real-time data processing with pandas/numpy</w:t>
      </w:r>
      <w:r>
        <w:t xml:space="preserve"> </w:t>
      </w:r>
      <w:r>
        <w:t xml:space="preserve">- Asynchronous I/O for low-latency execution</w:t>
      </w:r>
      <w:r>
        <w:t xml:space="preserve"> </w:t>
      </w:r>
      <w:r>
        <w:t xml:space="preserve">- Multi-threaded strategy processing</w:t>
      </w:r>
    </w:p>
    <w:p>
      <w:pPr>
        <w:pStyle w:val="BodyText"/>
      </w:pPr>
      <w:r>
        <w:rPr>
          <w:b/>
          <w:bCs/>
        </w:rPr>
        <w:t xml:space="preserve">Broker Integration:</w:t>
      </w:r>
      <w:r>
        <w:t xml:space="preserve"> </w:t>
      </w:r>
      <w:r>
        <w:t xml:space="preserve">- Tradier REST/WebSocket API (primary execution)</w:t>
      </w:r>
      <w:r>
        <w:t xml:space="preserve"> </w:t>
      </w:r>
      <w:r>
        <w:t xml:space="preserve">- Professional-grade order routing with combo/multi-leg order support</w:t>
      </w:r>
      <w:r>
        <w:t xml:space="preserve"> </w:t>
      </w:r>
      <w:r>
        <w:t xml:space="preserve">- Real-time market data via Databento (L1/L2/MBO streams)</w:t>
      </w:r>
      <w:r>
        <w:t xml:space="preserve"> </w:t>
      </w:r>
      <w:r>
        <w:t xml:space="preserve">- Portfolio margin optimization with per-strategy slippage controls</w:t>
      </w:r>
    </w:p>
    <w:p>
      <w:pPr>
        <w:pStyle w:val="BodyText"/>
      </w:pPr>
      <w:r>
        <w:rPr>
          <w:b/>
          <w:bCs/>
        </w:rPr>
        <w:t xml:space="preserve">Machine Learning &amp; AI:</w:t>
      </w:r>
      <w:r>
        <w:t xml:space="preserve"> </w:t>
      </w:r>
      <w:r>
        <w:t xml:space="preserve">- Genetic algorithms for strategy evolution</w:t>
      </w:r>
      <w:r>
        <w:t xml:space="preserve"> </w:t>
      </w:r>
      <w:r>
        <w:t xml:space="preserve">- Reinforcement learning for position sizing</w:t>
      </w:r>
      <w:r>
        <w:t xml:space="preserve"> </w:t>
      </w:r>
      <w:r>
        <w:t xml:space="preserve">- Neural networks for regime detection</w:t>
      </w:r>
      <w:r>
        <w:t xml:space="preserve"> </w:t>
      </w:r>
      <w:r>
        <w:t xml:space="preserve">- Ensemble methods for signal combination</w:t>
      </w:r>
    </w:p>
    <w:p>
      <w:pPr>
        <w:pStyle w:val="BodyText"/>
      </w:pPr>
      <w:r>
        <w:rPr>
          <w:b/>
          <w:bCs/>
        </w:rPr>
        <w:t xml:space="preserve">Risk Management:</w:t>
      </w:r>
      <w:r>
        <w:t xml:space="preserve"> </w:t>
      </w:r>
      <w:r>
        <w:t xml:space="preserve">- Real-time Greeks calculation</w:t>
      </w:r>
      <w:r>
        <w:t xml:space="preserve"> </w:t>
      </w:r>
      <w:r>
        <w:t xml:space="preserve">- Portfolio heat mapping</w:t>
      </w:r>
      <w:r>
        <w:t xml:space="preserve"> </w:t>
      </w:r>
      <w:r>
        <w:t xml:space="preserve">- Correlation analysis</w:t>
      </w:r>
      <w:r>
        <w:t xml:space="preserve"> </w:t>
      </w:r>
      <w:r>
        <w:t xml:space="preserve">- VaR (Value at Risk) monitoring</w:t>
      </w:r>
      <w:r>
        <w:t xml:space="preserve"> </w:t>
      </w:r>
      <w:r>
        <w:t xml:space="preserve">- Scenario analysis and stress testing</w:t>
      </w:r>
    </w:p>
    <w:bookmarkEnd w:id="38"/>
    <w:bookmarkStart w:id="39" w:name="system-reliability"/>
    <w:p>
      <w:pPr>
        <w:pStyle w:val="Heading3"/>
      </w:pPr>
      <w:r>
        <w:t xml:space="preserve">System Reliability</w:t>
      </w:r>
    </w:p>
    <w:p>
      <w:pPr>
        <w:pStyle w:val="FirstParagraph"/>
      </w:pPr>
      <w:r>
        <w:rPr>
          <w:b/>
          <w:bCs/>
        </w:rPr>
        <w:t xml:space="preserve">Architecture:</w:t>
      </w:r>
      <w:r>
        <w:t xml:space="preserve"> </w:t>
      </w:r>
      <w:r>
        <w:t xml:space="preserve">- Modular design (24+ specialized packages across A–Z series, 200+ modules)</w:t>
      </w:r>
      <w:r>
        <w:t xml:space="preserve"> </w:t>
      </w:r>
      <w:r>
        <w:t xml:space="preserve">- Fault-tolerant execution with circuit breaker protocols</w:t>
      </w:r>
      <w:r>
        <w:t xml:space="preserve"> </w:t>
      </w:r>
      <w:r>
        <w:t xml:space="preserve">- Automatic reconnection logic with exponential backoff</w:t>
      </w:r>
      <w:r>
        <w:t xml:space="preserve"> </w:t>
      </w:r>
      <w:r>
        <w:t xml:space="preserve">- Comprehensive error handling with SpyderErrorHandler</w:t>
      </w:r>
      <w:r>
        <w:t xml:space="preserve"> </w:t>
      </w:r>
      <w:r>
        <w:t xml:space="preserve">- Full audit trail and logging via SpyderLogger</w:t>
      </w:r>
    </w:p>
    <w:p>
      <w:pPr>
        <w:pStyle w:val="BodyText"/>
      </w:pPr>
      <w:r>
        <w:rPr>
          <w:b/>
          <w:bCs/>
        </w:rPr>
        <w:t xml:space="preserve">Monitoring:</w:t>
      </w:r>
      <w:r>
        <w:t xml:space="preserve"> </w:t>
      </w:r>
      <w:r>
        <w:t xml:space="preserve">- Real-time performance dashboards</w:t>
      </w:r>
      <w:r>
        <w:t xml:space="preserve"> </w:t>
      </w:r>
      <w:r>
        <w:t xml:space="preserve">- Automated alert systems</w:t>
      </w:r>
      <w:r>
        <w:t xml:space="preserve"> </w:t>
      </w:r>
      <w:r>
        <w:t xml:space="preserve">- Health check protocols</w:t>
      </w:r>
      <w:r>
        <w:t xml:space="preserve"> </w:t>
      </w:r>
      <w:r>
        <w:t xml:space="preserve">- Position reconciliation</w:t>
      </w:r>
      <w:r>
        <w:t xml:space="preserve"> </w:t>
      </w:r>
      <w:r>
        <w:t xml:space="preserve">- P&amp;L tracking and attribution</w:t>
      </w:r>
    </w:p>
    <w:p>
      <w:pPr>
        <w:pStyle w:val="BodyText"/>
      </w:pPr>
      <w:r>
        <w:rPr>
          <w:b/>
          <w:bCs/>
        </w:rPr>
        <w:t xml:space="preserve">Testing Framework:</w:t>
      </w:r>
      <w:r>
        <w:t xml:space="preserve"> </w:t>
      </w:r>
      <w:r>
        <w:t xml:space="preserve">- Comprehensive unit testing</w:t>
      </w:r>
      <w:r>
        <w:t xml:space="preserve"> </w:t>
      </w:r>
      <w:r>
        <w:t xml:space="preserve">- Integration test suites</w:t>
      </w:r>
      <w:r>
        <w:t xml:space="preserve"> </w:t>
      </w:r>
      <w:r>
        <w:t xml:space="preserve">- Paper trading validation</w:t>
      </w:r>
      <w:r>
        <w:t xml:space="preserve"> </w:t>
      </w:r>
      <w:r>
        <w:t xml:space="preserve">- Backtesting engine</w:t>
      </w:r>
      <w:r>
        <w:t xml:space="preserve"> </w:t>
      </w:r>
      <w:r>
        <w:t xml:space="preserve">- Monte Carlo simulation capabilities</w:t>
      </w:r>
    </w:p>
    <w:p>
      <w:r>
        <w:pict>
          <v:rect style="width:0;height:1.5pt" o:hralign="center" o:hrstd="t" o:hr="t"/>
        </w:pict>
      </w:r>
    </w:p>
    <w:bookmarkEnd w:id="39"/>
    <w:bookmarkEnd w:id="40"/>
    <w:bookmarkStart w:id="45" w:name="validation-roadmap"/>
    <w:p>
      <w:pPr>
        <w:pStyle w:val="Heading2"/>
      </w:pPr>
      <w:r>
        <w:t xml:space="preserve">VALIDATION ROADMAP</w:t>
      </w:r>
    </w:p>
    <w:bookmarkStart w:id="44" w:name="X3822cadcd342ffa54bdafa0c248bc996bb568e1"/>
    <w:p>
      <w:pPr>
        <w:pStyle w:val="Heading3"/>
      </w:pPr>
      <w:r>
        <w:t xml:space="preserve">Current Status:</w:t>
      </w:r>
      <w:r>
        <w:t xml:space="preserve"> </w:t>
      </w:r>
      <w:r>
        <w:rPr>
          <w:b/>
          <w:bCs/>
        </w:rPr>
        <w:t xml:space="preserve">Phase 4 — Active Paper Trading Validation</w:t>
      </w:r>
      <w:r>
        <w:t xml:space="preserve"> </w:t>
      </w:r>
      <w:r>
        <w:rPr>
          <w:i/>
          <w:iCs/>
        </w:rPr>
        <w:t xml:space="preserve">(as of March 2026)</w:t>
      </w:r>
    </w:p>
    <w:p>
      <w:pPr>
        <w:pStyle w:val="FirstParagraph"/>
      </w:pPr>
      <w:r>
        <w:rPr>
          <w:b/>
          <w:bCs/>
        </w:rPr>
        <w:t xml:space="preserve">Completed Phases:</w:t>
      </w:r>
      <w:r>
        <w:t xml:space="preserve"> </w:t>
      </w:r>
      <w:r>
        <w:t xml:space="preserve">1. ✅</w:t>
      </w:r>
      <w:r>
        <w:t xml:space="preserve"> </w:t>
      </w:r>
      <w:r>
        <w:rPr>
          <w:b/>
          <w:bCs/>
        </w:rPr>
        <w:t xml:space="preserve">Phase 1:</w:t>
      </w:r>
      <w:r>
        <w:t xml:space="preserve"> </w:t>
      </w:r>
      <w:r>
        <w:t xml:space="preserve">Core system development and architecture</w:t>
      </w:r>
      <w:r>
        <w:t xml:space="preserve"> </w:t>
      </w:r>
      <w:r>
        <w:t xml:space="preserve">2. ✅</w:t>
      </w:r>
      <w:r>
        <w:t xml:space="preserve"> </w:t>
      </w:r>
      <w:r>
        <w:rPr>
          <w:b/>
          <w:bCs/>
        </w:rPr>
        <w:t xml:space="preserve">Phase 2:</w:t>
      </w:r>
      <w:r>
        <w:t xml:space="preserve"> </w:t>
      </w:r>
      <w:r>
        <w:t xml:space="preserve">Strategy evolution and optimization (Gen 15, fitness 0.799 validated)</w:t>
      </w:r>
      <w:r>
        <w:t xml:space="preserve"> </w:t>
      </w:r>
      <w:r>
        <w:t xml:space="preserve">3. ✅</w:t>
      </w:r>
      <w:r>
        <w:t xml:space="preserve"> </w:t>
      </w:r>
      <w:r>
        <w:rPr>
          <w:b/>
          <w:bCs/>
        </w:rPr>
        <w:t xml:space="preserve">Phase 3:</w:t>
      </w:r>
      <w:r>
        <w:t xml:space="preserve"> </w:t>
      </w:r>
      <w:r>
        <w:t xml:space="preserve">Performance metrics validation and institutional assessment (4/4 criteria met, score 1.00)</w:t>
      </w:r>
      <w:r>
        <w:t xml:space="preserve"> </w:t>
      </w:r>
      <w:r>
        <w:t xml:space="preserve">4. ✅</w:t>
      </w:r>
      <w:r>
        <w:t xml:space="preserve"> </w:t>
      </w:r>
      <w:r>
        <w:rPr>
          <w:b/>
          <w:bCs/>
        </w:rPr>
        <w:t xml:space="preserve">Phase 4 (initiated):</w:t>
      </w:r>
      <w:r>
        <w:t xml:space="preserve"> </w:t>
      </w:r>
      <w:r>
        <w:t xml:space="preserve">Institutional test suite validated live — Sharpe 2.55, Calmar 4.90, MaxDD -6.35%</w:t>
      </w:r>
    </w:p>
    <w:p>
      <w:pPr>
        <w:pStyle w:val="BodyText"/>
      </w:pPr>
      <w:r>
        <w:rPr>
          <w:b/>
          <w:bCs/>
        </w:rPr>
        <w:t xml:space="preserve">Active Validation:</w:t>
      </w:r>
    </w:p>
    <w:bookmarkStart w:id="41" w:name="Xfbffc9f5e8a1265e4bd3fbc95c96ccb2f9281f0"/>
    <w:p>
      <w:pPr>
        <w:pStyle w:val="Heading4"/>
      </w:pPr>
      <w:r>
        <w:t xml:space="preserve">Phase 4: Paper Trading</w:t>
      </w:r>
      <w:r>
        <w:t xml:space="preserve"> </w:t>
      </w:r>
      <w:r>
        <w:rPr>
          <w:i/>
          <w:iCs/>
        </w:rPr>
        <w:t xml:space="preserve">(In Progress — March 2026)</w:t>
      </w:r>
    </w:p>
    <w:p>
      <w:pPr>
        <w:pStyle w:val="Compact"/>
        <w:numPr>
          <w:ilvl w:val="0"/>
          <w:numId w:val="1001"/>
        </w:numPr>
      </w:pPr>
      <w:r>
        <w:t xml:space="preserve">Live market conditions with simulated capital</w:t>
      </w:r>
    </w:p>
    <w:p>
      <w:pPr>
        <w:pStyle w:val="Compact"/>
        <w:numPr>
          <w:ilvl w:val="0"/>
          <w:numId w:val="1001"/>
        </w:numPr>
      </w:pPr>
      <w:r>
        <w:t xml:space="preserve">Real-time strategy execution validation</w:t>
      </w:r>
    </w:p>
    <w:p>
      <w:pPr>
        <w:pStyle w:val="Compact"/>
        <w:numPr>
          <w:ilvl w:val="0"/>
          <w:numId w:val="1001"/>
        </w:numPr>
      </w:pPr>
      <w:r>
        <w:t xml:space="preserve">Performance metrics tracking</w:t>
      </w:r>
    </w:p>
    <w:p>
      <w:pPr>
        <w:pStyle w:val="Compact"/>
        <w:numPr>
          <w:ilvl w:val="0"/>
          <w:numId w:val="1001"/>
        </w:numPr>
      </w:pPr>
      <w:r>
        <w:t xml:space="preserve">Risk management system validation</w:t>
      </w:r>
    </w:p>
    <w:p>
      <w:pPr>
        <w:pStyle w:val="Compact"/>
        <w:numPr>
          <w:ilvl w:val="0"/>
          <w:numId w:val="1001"/>
        </w:numPr>
      </w:pPr>
      <w:r>
        <w:t xml:space="preserve">Edge verification in actual market conditions</w:t>
      </w:r>
    </w:p>
    <w:p>
      <w:pPr>
        <w:pStyle w:val="FirstParagraph"/>
      </w:pPr>
      <w:r>
        <w:rPr>
          <w:b/>
          <w:bCs/>
        </w:rPr>
        <w:t xml:space="preserve">Success Criteria:</w:t>
      </w:r>
      <w:r>
        <w:t xml:space="preserve"> </w:t>
      </w:r>
      <w:r>
        <w:t xml:space="preserve">- Sharpe Ratio &gt;1.5 (target: maintain &gt;2.0)</w:t>
      </w:r>
      <w:r>
        <w:t xml:space="preserve"> </w:t>
      </w:r>
      <w:r>
        <w:t xml:space="preserve">- Maximum drawdown &lt;15%</w:t>
      </w:r>
      <w:r>
        <w:t xml:space="preserve"> </w:t>
      </w:r>
      <w:r>
        <w:t xml:space="preserve">- Win rate &gt;55%</w:t>
      </w:r>
      <w:r>
        <w:t xml:space="preserve"> </w:t>
      </w:r>
      <w:r>
        <w:t xml:space="preserve">- Profit factor &gt;1.4</w:t>
      </w:r>
      <w:r>
        <w:t xml:space="preserve"> </w:t>
      </w:r>
      <w:r>
        <w:t xml:space="preserve">- System uptime &gt;99%</w:t>
      </w:r>
    </w:p>
    <w:bookmarkEnd w:id="41"/>
    <w:bookmarkStart w:id="42" w:name="X8c9e875563cbe1e6d2c81a992bf54942c9da625"/>
    <w:p>
      <w:pPr>
        <w:pStyle w:val="Heading4"/>
      </w:pPr>
      <w:r>
        <w:t xml:space="preserve">Phase 5: Limited Live Trading (Estimated 6-12 months)</w:t>
      </w:r>
    </w:p>
    <w:p>
      <w:pPr>
        <w:pStyle w:val="Compact"/>
        <w:numPr>
          <w:ilvl w:val="0"/>
          <w:numId w:val="1002"/>
        </w:numPr>
      </w:pPr>
      <w:r>
        <w:t xml:space="preserve">Small capital deployment ($25K-$100K)</w:t>
      </w:r>
    </w:p>
    <w:p>
      <w:pPr>
        <w:pStyle w:val="Compact"/>
        <w:numPr>
          <w:ilvl w:val="0"/>
          <w:numId w:val="1002"/>
        </w:numPr>
      </w:pPr>
      <w:r>
        <w:t xml:space="preserve">Single strategy validation</w:t>
      </w:r>
    </w:p>
    <w:p>
      <w:pPr>
        <w:pStyle w:val="Compact"/>
        <w:numPr>
          <w:ilvl w:val="0"/>
          <w:numId w:val="1002"/>
        </w:numPr>
      </w:pPr>
      <w:r>
        <w:t xml:space="preserve">Performance monitoring vs. expectations</w:t>
      </w:r>
    </w:p>
    <w:p>
      <w:pPr>
        <w:pStyle w:val="Compact"/>
        <w:numPr>
          <w:ilvl w:val="0"/>
          <w:numId w:val="1002"/>
        </w:numPr>
      </w:pPr>
      <w:r>
        <w:t xml:space="preserve">Risk system stress testing</w:t>
      </w:r>
    </w:p>
    <w:p>
      <w:pPr>
        <w:pStyle w:val="Compact"/>
        <w:numPr>
          <w:ilvl w:val="0"/>
          <w:numId w:val="1002"/>
        </w:numPr>
      </w:pPr>
      <w:r>
        <w:t xml:space="preserve">Transaction cost analysis</w:t>
      </w:r>
    </w:p>
    <w:p>
      <w:pPr>
        <w:pStyle w:val="FirstParagraph"/>
      </w:pPr>
      <w:r>
        <w:rPr>
          <w:b/>
          <w:bCs/>
        </w:rPr>
        <w:t xml:space="preserve">Success Criteria:</w:t>
      </w:r>
      <w:r>
        <w:t xml:space="preserve"> </w:t>
      </w:r>
      <w:r>
        <w:t xml:space="preserve">- Sharpe Ratio &gt;1.5 sustained over 6+ months</w:t>
      </w:r>
      <w:r>
        <w:t xml:space="preserve"> </w:t>
      </w:r>
      <w:r>
        <w:t xml:space="preserve">- Risk metrics within tolerance</w:t>
      </w:r>
      <w:r>
        <w:t xml:space="preserve"> </w:t>
      </w:r>
      <w:r>
        <w:t xml:space="preserve">- Execution quality &gt;95%</w:t>
      </w:r>
      <w:r>
        <w:t xml:space="preserve"> </w:t>
      </w:r>
      <w:r>
        <w:t xml:space="preserve">- Slippage &lt;5 basis points</w:t>
      </w:r>
      <w:r>
        <w:t xml:space="preserve"> </w:t>
      </w:r>
      <w:r>
        <w:t xml:space="preserve">- No critical system failures</w:t>
      </w:r>
    </w:p>
    <w:bookmarkEnd w:id="42"/>
    <w:bookmarkStart w:id="43" w:name="phase-6-full-production-12-months"/>
    <w:p>
      <w:pPr>
        <w:pStyle w:val="Heading4"/>
      </w:pPr>
      <w:r>
        <w:t xml:space="preserve">Phase 6: Full Production (12+ months)</w:t>
      </w:r>
    </w:p>
    <w:p>
      <w:pPr>
        <w:pStyle w:val="Compact"/>
        <w:numPr>
          <w:ilvl w:val="0"/>
          <w:numId w:val="1003"/>
        </w:numPr>
      </w:pPr>
      <w:r>
        <w:t xml:space="preserve">Scaling capital deployment</w:t>
      </w:r>
    </w:p>
    <w:p>
      <w:pPr>
        <w:pStyle w:val="Compact"/>
        <w:numPr>
          <w:ilvl w:val="0"/>
          <w:numId w:val="1003"/>
        </w:numPr>
      </w:pPr>
      <w:r>
        <w:t xml:space="preserve">Multi-strategy implementation</w:t>
      </w:r>
    </w:p>
    <w:p>
      <w:pPr>
        <w:pStyle w:val="Compact"/>
        <w:numPr>
          <w:ilvl w:val="0"/>
          <w:numId w:val="1003"/>
        </w:numPr>
      </w:pPr>
      <w:r>
        <w:t xml:space="preserve">Institutional capital readiness</w:t>
      </w:r>
    </w:p>
    <w:p>
      <w:pPr>
        <w:pStyle w:val="Compact"/>
        <w:numPr>
          <w:ilvl w:val="0"/>
          <w:numId w:val="1003"/>
        </w:numPr>
      </w:pPr>
      <w:r>
        <w:t xml:space="preserve">Regulatory compliance complete</w:t>
      </w:r>
    </w:p>
    <w:p>
      <w:pPr>
        <w:pStyle w:val="Compact"/>
        <w:numPr>
          <w:ilvl w:val="0"/>
          <w:numId w:val="1003"/>
        </w:numPr>
      </w:pPr>
      <w:r>
        <w:t xml:space="preserve">Full operational infrastructure</w:t>
      </w:r>
    </w:p>
    <w:p>
      <w:r>
        <w:pict>
          <v:rect style="width:0;height:1.5pt" o:hralign="center" o:hrstd="t" o:hr="t"/>
        </w:pict>
      </w:r>
    </w:p>
    <w:bookmarkEnd w:id="43"/>
    <w:bookmarkEnd w:id="44"/>
    <w:bookmarkEnd w:id="45"/>
    <w:bookmarkStart w:id="48" w:name="risk-disclosures-limitations"/>
    <w:p>
      <w:pPr>
        <w:pStyle w:val="Heading2"/>
      </w:pPr>
      <w:r>
        <w:t xml:space="preserve">RISK DISCLOSURES &amp; LIMITATIONS</w:t>
      </w:r>
    </w:p>
    <w:bookmarkStart w:id="46" w:name="current-assessment-limitations"/>
    <w:p>
      <w:pPr>
        <w:pStyle w:val="Heading3"/>
      </w:pPr>
      <w:r>
        <w:t xml:space="preserve">Current Assessment Limitations</w:t>
      </w:r>
    </w:p>
    <w:p>
      <w:pPr>
        <w:pStyle w:val="FirstParagraph"/>
      </w:pPr>
      <w:r>
        <w:rPr>
          <w:b/>
          <w:bCs/>
        </w:rPr>
        <w:t xml:space="preserve">Important Context:</w:t>
      </w:r>
      <w:r>
        <w:t xml:space="preserve"> </w:t>
      </w:r>
      <w:r>
        <w:t xml:space="preserve">The performance metrics presented are based on</w:t>
      </w:r>
      <w:r>
        <w:t xml:space="preserve"> </w:t>
      </w:r>
      <w:r>
        <w:rPr>
          <w:b/>
          <w:bCs/>
        </w:rPr>
        <w:t xml:space="preserve">validated simulation returns</w:t>
      </w:r>
      <w:r>
        <w:t xml:space="preserve"> </w:t>
      </w:r>
      <w:r>
        <w:t xml:space="preserve">using Gen 15 evolved strategy parameters (fitness 0.799), confirmed by the T06 institutional test suite (March 2026). These estimates represent theoretical performance validated against institutional pricing libraries and</w:t>
      </w:r>
      <w:r>
        <w:t xml:space="preserve"> </w:t>
      </w:r>
      <w:r>
        <w:rPr>
          <w:b/>
          <w:bCs/>
        </w:rPr>
        <w:t xml:space="preserve">should not be construed as actual live trading results</w:t>
      </w:r>
      <w:r>
        <w:t xml:space="preserve">.</w:t>
      </w:r>
    </w:p>
    <w:p>
      <w:pPr>
        <w:pStyle w:val="BodyText"/>
      </w:pPr>
      <w:r>
        <w:rPr>
          <w:b/>
          <w:bCs/>
        </w:rPr>
        <w:t xml:space="preserve">Specific Limitations:</w:t>
      </w:r>
    </w:p>
    <w:p>
      <w:pPr>
        <w:pStyle w:val="Compact"/>
        <w:numPr>
          <w:ilvl w:val="0"/>
          <w:numId w:val="1004"/>
        </w:numPr>
      </w:pPr>
      <w:r>
        <w:rPr>
          <w:b/>
          <w:bCs/>
        </w:rPr>
        <w:t xml:space="preserve">Simulation-Based Analysis</w:t>
      </w:r>
    </w:p>
    <w:p>
      <w:pPr>
        <w:pStyle w:val="Compact"/>
        <w:numPr>
          <w:ilvl w:val="1"/>
          <w:numId w:val="1005"/>
        </w:numPr>
      </w:pPr>
      <w:r>
        <w:t xml:space="preserve">Returns generated from statistical modeling</w:t>
      </w:r>
    </w:p>
    <w:p>
      <w:pPr>
        <w:pStyle w:val="Compact"/>
        <w:numPr>
          <w:ilvl w:val="1"/>
          <w:numId w:val="1005"/>
        </w:numPr>
      </w:pPr>
      <w:r>
        <w:t xml:space="preserve">Does not include real market microstructure effects</w:t>
      </w:r>
    </w:p>
    <w:p>
      <w:pPr>
        <w:pStyle w:val="Compact"/>
        <w:numPr>
          <w:ilvl w:val="1"/>
          <w:numId w:val="1005"/>
        </w:numPr>
      </w:pPr>
      <w:r>
        <w:t xml:space="preserve">Assumes perfect execution (no slippage or partial fills)</w:t>
      </w:r>
    </w:p>
    <w:p>
      <w:pPr>
        <w:pStyle w:val="Compact"/>
        <w:numPr>
          <w:ilvl w:val="1"/>
          <w:numId w:val="1005"/>
        </w:numPr>
      </w:pPr>
      <w:r>
        <w:t xml:space="preserve">No real-time liquidity constraints</w:t>
      </w:r>
    </w:p>
    <w:p>
      <w:pPr>
        <w:pStyle w:val="Compact"/>
        <w:numPr>
          <w:ilvl w:val="0"/>
          <w:numId w:val="1004"/>
        </w:numPr>
      </w:pPr>
      <w:r>
        <w:rPr>
          <w:b/>
          <w:bCs/>
        </w:rPr>
        <w:t xml:space="preserve">Transaction Costs Not Fully Incorporated</w:t>
      </w:r>
    </w:p>
    <w:p>
      <w:pPr>
        <w:pStyle w:val="Compact"/>
        <w:numPr>
          <w:ilvl w:val="1"/>
          <w:numId w:val="1006"/>
        </w:numPr>
      </w:pPr>
      <w:r>
        <w:t xml:space="preserve">Commissions ($0.65/contract typical)</w:t>
      </w:r>
    </w:p>
    <w:p>
      <w:pPr>
        <w:pStyle w:val="Compact"/>
        <w:numPr>
          <w:ilvl w:val="1"/>
          <w:numId w:val="1006"/>
        </w:numPr>
      </w:pPr>
      <w:r>
        <w:t xml:space="preserve">Bid-ask spreads</w:t>
      </w:r>
    </w:p>
    <w:p>
      <w:pPr>
        <w:pStyle w:val="Compact"/>
        <w:numPr>
          <w:ilvl w:val="1"/>
          <w:numId w:val="1006"/>
        </w:numPr>
      </w:pPr>
      <w:r>
        <w:t xml:space="preserve">Market impact</w:t>
      </w:r>
    </w:p>
    <w:p>
      <w:pPr>
        <w:pStyle w:val="Compact"/>
        <w:numPr>
          <w:ilvl w:val="1"/>
          <w:numId w:val="1006"/>
        </w:numPr>
      </w:pPr>
      <w:r>
        <w:t xml:space="preserve">Exchange fees</w:t>
      </w:r>
    </w:p>
    <w:p>
      <w:pPr>
        <w:pStyle w:val="Compact"/>
        <w:numPr>
          <w:ilvl w:val="1"/>
          <w:numId w:val="1006"/>
        </w:numPr>
      </w:pPr>
      <w:r>
        <w:t xml:space="preserve">Regulatory fees</w:t>
      </w:r>
    </w:p>
    <w:p>
      <w:pPr>
        <w:pStyle w:val="Compact"/>
        <w:numPr>
          <w:ilvl w:val="0"/>
          <w:numId w:val="1004"/>
        </w:numPr>
      </w:pPr>
      <w:r>
        <w:rPr>
          <w:b/>
          <w:bCs/>
        </w:rPr>
        <w:t xml:space="preserve">Market Regime Dependency</w:t>
      </w:r>
    </w:p>
    <w:p>
      <w:pPr>
        <w:pStyle w:val="Compact"/>
        <w:numPr>
          <w:ilvl w:val="1"/>
          <w:numId w:val="1007"/>
        </w:numPr>
      </w:pPr>
      <w:r>
        <w:t xml:space="preserve">Strategy optimized on recent market conditions</w:t>
      </w:r>
    </w:p>
    <w:p>
      <w:pPr>
        <w:pStyle w:val="Compact"/>
        <w:numPr>
          <w:ilvl w:val="1"/>
          <w:numId w:val="1007"/>
        </w:numPr>
      </w:pPr>
      <w:r>
        <w:t xml:space="preserve">May not perform identically in all market regimes</w:t>
      </w:r>
    </w:p>
    <w:p>
      <w:pPr>
        <w:pStyle w:val="Compact"/>
        <w:numPr>
          <w:ilvl w:val="1"/>
          <w:numId w:val="1007"/>
        </w:numPr>
      </w:pPr>
      <w:r>
        <w:t xml:space="preserve">Bull/bear market sensitivity unknown until live trading</w:t>
      </w:r>
    </w:p>
    <w:p>
      <w:pPr>
        <w:pStyle w:val="Compact"/>
        <w:numPr>
          <w:ilvl w:val="1"/>
          <w:numId w:val="1007"/>
        </w:numPr>
      </w:pPr>
      <w:r>
        <w:t xml:space="preserve">Volatility regime changes may impact performance</w:t>
      </w:r>
    </w:p>
    <w:p>
      <w:pPr>
        <w:pStyle w:val="Compact"/>
        <w:numPr>
          <w:ilvl w:val="0"/>
          <w:numId w:val="1004"/>
        </w:numPr>
      </w:pPr>
      <w:r>
        <w:rPr>
          <w:b/>
          <w:bCs/>
        </w:rPr>
        <w:t xml:space="preserve">Drawdown Metric</w:t>
      </w:r>
    </w:p>
    <w:p>
      <w:pPr>
        <w:pStyle w:val="Compact"/>
        <w:numPr>
          <w:ilvl w:val="1"/>
          <w:numId w:val="1008"/>
        </w:numPr>
      </w:pPr>
      <w:r>
        <w:t xml:space="preserve">Simulation artifact inflates maximum drawdown figure</w:t>
      </w:r>
    </w:p>
    <w:p>
      <w:pPr>
        <w:pStyle w:val="Compact"/>
        <w:numPr>
          <w:ilvl w:val="1"/>
          <w:numId w:val="1008"/>
        </w:numPr>
      </w:pPr>
      <w:r>
        <w:t xml:space="preserve">Live trading includes hard stops and position limits</w:t>
      </w:r>
    </w:p>
    <w:p>
      <w:pPr>
        <w:pStyle w:val="Compact"/>
        <w:numPr>
          <w:ilvl w:val="1"/>
          <w:numId w:val="1008"/>
        </w:numPr>
      </w:pPr>
      <w:r>
        <w:t xml:space="preserve">Expected actual max drawdown: &lt;15% based on risk controls</w:t>
      </w:r>
    </w:p>
    <w:bookmarkEnd w:id="46"/>
    <w:bookmarkStart w:id="47" w:name="forward-looking-performance-expectations"/>
    <w:p>
      <w:pPr>
        <w:pStyle w:val="Heading3"/>
      </w:pPr>
      <w:r>
        <w:t xml:space="preserve">Forward-Looking Performance Expectations</w:t>
      </w:r>
    </w:p>
    <w:p>
      <w:pPr>
        <w:pStyle w:val="FirstParagraph"/>
      </w:pPr>
      <w:r>
        <w:rPr>
          <w:b/>
          <w:bCs/>
        </w:rPr>
        <w:t xml:space="preserve">Realistic Expectations for Live Trading: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Validated (T06)</w:t>
            </w:r>
          </w:p>
        </w:tc>
        <w:tc>
          <w:tcPr/>
          <w:p>
            <w:pPr>
              <w:pStyle w:val="Compact"/>
              <w:jc w:val="left"/>
            </w:pPr>
            <w:r>
              <w:t xml:space="preserve">Conservative Live Estimate</w:t>
            </w:r>
          </w:p>
        </w:tc>
        <w:tc>
          <w:tcPr/>
          <w:p>
            <w:pPr>
              <w:pStyle w:val="Compact"/>
              <w:jc w:val="left"/>
            </w:pPr>
            <w:r>
              <w:t xml:space="preserve">Rationale</w:t>
            </w:r>
          </w:p>
        </w:tc>
      </w:tr>
      <w:tr>
        <w:tc>
          <w:tcPr/>
          <w:p>
            <w:pPr>
              <w:pStyle w:val="Compact"/>
              <w:jc w:val="left"/>
            </w:pPr>
            <w:r>
              <w:t xml:space="preserve">Sharpe Ratio</w:t>
            </w:r>
          </w:p>
        </w:tc>
        <w:tc>
          <w:tcPr/>
          <w:p>
            <w:pPr>
              <w:pStyle w:val="Compact"/>
              <w:jc w:val="left"/>
            </w:pPr>
            <w:r>
              <w:t xml:space="preserve">2.55</w:t>
            </w:r>
          </w:p>
        </w:tc>
        <w:tc>
          <w:tcPr/>
          <w:p>
            <w:pPr>
              <w:pStyle w:val="Compact"/>
              <w:jc w:val="left"/>
            </w:pPr>
            <w:r>
              <w:t xml:space="preserve">1.5 - 2.0</w:t>
            </w:r>
          </w:p>
        </w:tc>
        <w:tc>
          <w:tcPr/>
          <w:p>
            <w:pPr>
              <w:pStyle w:val="Compact"/>
              <w:jc w:val="left"/>
            </w:pPr>
            <w:r>
              <w:t xml:space="preserve">Transaction costs, slippage</w:t>
            </w:r>
          </w:p>
        </w:tc>
      </w:tr>
      <w:tr>
        <w:tc>
          <w:tcPr/>
          <w:p>
            <w:pPr>
              <w:pStyle w:val="Compact"/>
              <w:jc w:val="left"/>
            </w:pPr>
            <w:r>
              <w:t xml:space="preserve">Annual Return</w:t>
            </w:r>
          </w:p>
        </w:tc>
        <w:tc>
          <w:tcPr/>
          <w:p>
            <w:pPr>
              <w:pStyle w:val="Compact"/>
              <w:jc w:val="left"/>
            </w:pPr>
            <w:r>
              <w:t xml:space="preserve">31.16%</w:t>
            </w:r>
          </w:p>
        </w:tc>
        <w:tc>
          <w:tcPr/>
          <w:p>
            <w:pPr>
              <w:pStyle w:val="Compact"/>
              <w:jc w:val="left"/>
            </w:pPr>
            <w:r>
              <w:t xml:space="preserve">20% - 28%</w:t>
            </w:r>
          </w:p>
        </w:tc>
        <w:tc>
          <w:tcPr/>
          <w:p>
            <w:pPr>
              <w:pStyle w:val="Compact"/>
              <w:jc w:val="left"/>
            </w:pPr>
            <w:r>
              <w:t xml:space="preserve">Execution friction</w:t>
            </w:r>
          </w:p>
        </w:tc>
      </w:tr>
      <w:tr>
        <w:tc>
          <w:tcPr/>
          <w:p>
            <w:pPr>
              <w:pStyle w:val="Compact"/>
              <w:jc w:val="left"/>
            </w:pPr>
            <w:r>
              <w:t xml:space="preserve">Volatility</w:t>
            </w:r>
          </w:p>
        </w:tc>
        <w:tc>
          <w:tcPr/>
          <w:p>
            <w:pPr>
              <w:pStyle w:val="Compact"/>
              <w:jc w:val="left"/>
            </w:pPr>
            <w:r>
              <w:t xml:space="preserve">10.45%</w:t>
            </w:r>
          </w:p>
        </w:tc>
        <w:tc>
          <w:tcPr/>
          <w:p>
            <w:pPr>
              <w:pStyle w:val="Compact"/>
              <w:jc w:val="left"/>
            </w:pPr>
            <w:r>
              <w:t xml:space="preserve">11% - 14%</w:t>
            </w:r>
          </w:p>
        </w:tc>
        <w:tc>
          <w:tcPr/>
          <w:p>
            <w:pPr>
              <w:pStyle w:val="Compact"/>
              <w:jc w:val="left"/>
            </w:pPr>
            <w:r>
              <w:t xml:space="preserve">Real market conditions</w:t>
            </w:r>
          </w:p>
        </w:tc>
      </w:tr>
      <w:tr>
        <w:tc>
          <w:tcPr/>
          <w:p>
            <w:pPr>
              <w:pStyle w:val="Compact"/>
              <w:jc w:val="left"/>
            </w:pPr>
            <w:r>
              <w:t xml:space="preserve">Max Drawdown</w:t>
            </w:r>
          </w:p>
        </w:tc>
        <w:tc>
          <w:tcPr/>
          <w:p>
            <w:pPr>
              <w:pStyle w:val="Compact"/>
              <w:jc w:val="left"/>
            </w:pPr>
            <w:r>
              <w:t xml:space="preserve">-6.35%</w:t>
            </w:r>
          </w:p>
        </w:tc>
        <w:tc>
          <w:tcPr/>
          <w:p>
            <w:pPr>
              <w:pStyle w:val="Compact"/>
              <w:jc w:val="left"/>
            </w:pPr>
            <w:r>
              <w:t xml:space="preserve">-10% to -15%</w:t>
            </w:r>
          </w:p>
        </w:tc>
        <w:tc>
          <w:tcPr/>
          <w:p>
            <w:pPr>
              <w:pStyle w:val="Compact"/>
              <w:jc w:val="left"/>
            </w:pPr>
            <w:r>
              <w:t xml:space="preserve">Risk controls active</w:t>
            </w:r>
          </w:p>
        </w:tc>
      </w:tr>
      <w:tr>
        <w:tc>
          <w:tcPr/>
          <w:p>
            <w:pPr>
              <w:pStyle w:val="Compact"/>
              <w:jc w:val="left"/>
            </w:pPr>
            <w:r>
              <w:t xml:space="preserve">Calmar Ratio</w:t>
            </w:r>
          </w:p>
        </w:tc>
        <w:tc>
          <w:tcPr/>
          <w:p>
            <w:pPr>
              <w:pStyle w:val="Compact"/>
              <w:jc w:val="left"/>
            </w:pPr>
            <w:r>
              <w:t xml:space="preserve">4.90</w:t>
            </w:r>
          </w:p>
        </w:tc>
        <w:tc>
          <w:tcPr/>
          <w:p>
            <w:pPr>
              <w:pStyle w:val="Compact"/>
              <w:jc w:val="left"/>
            </w:pPr>
            <w:r>
              <w:t xml:space="preserve">1.5 - 3.0</w:t>
            </w:r>
          </w:p>
        </w:tc>
        <w:tc>
          <w:tcPr/>
          <w:p>
            <w:pPr>
              <w:pStyle w:val="Compact"/>
              <w:jc w:val="left"/>
            </w:pPr>
            <w:r>
              <w:t xml:space="preserve">Execution friction impact</w:t>
            </w:r>
          </w:p>
        </w:tc>
      </w:tr>
      <w:tr>
        <w:tc>
          <w:tcPr/>
          <w:p>
            <w:pPr>
              <w:pStyle w:val="Compact"/>
              <w:jc w:val="left"/>
            </w:pPr>
            <w:r>
              <w:t xml:space="preserve">Win Rate</w:t>
            </w:r>
          </w:p>
        </w:tc>
        <w:tc>
          <w:tcPr/>
          <w:p>
            <w:pPr>
              <w:pStyle w:val="Compact"/>
              <w:jc w:val="left"/>
            </w:pPr>
            <w:r>
              <w:t xml:space="preserve">56.3%</w:t>
            </w:r>
          </w:p>
        </w:tc>
        <w:tc>
          <w:tcPr/>
          <w:p>
            <w:pPr>
              <w:pStyle w:val="Compact"/>
              <w:jc w:val="left"/>
            </w:pPr>
            <w:r>
              <w:t xml:space="preserve">54% - 58%</w:t>
            </w:r>
          </w:p>
        </w:tc>
        <w:tc>
          <w:tcPr/>
          <w:p>
            <w:pPr>
              <w:pStyle w:val="Compact"/>
              <w:jc w:val="left"/>
            </w:pPr>
            <w:r>
              <w:t xml:space="preserve">Market variability</w:t>
            </w:r>
          </w:p>
        </w:tc>
      </w:tr>
    </w:tbl>
    <w:p>
      <w:pPr>
        <w:pStyle w:val="BodyText"/>
      </w:pPr>
      <w:r>
        <w:rPr>
          <w:b/>
          <w:bCs/>
        </w:rPr>
        <w:t xml:space="preserve">Risk Management Safeguards:</w:t>
      </w:r>
      <w:r>
        <w:t xml:space="preserve"> </w:t>
      </w:r>
      <w:r>
        <w:t xml:space="preserve">- Maximum position size: 5% of capital per trade</w:t>
      </w:r>
      <w:r>
        <w:t xml:space="preserve"> </w:t>
      </w:r>
      <w:r>
        <w:t xml:space="preserve">- Portfolio heat limit: 20% total capital at risk</w:t>
      </w:r>
      <w:r>
        <w:t xml:space="preserve"> </w:t>
      </w:r>
      <w:r>
        <w:t xml:space="preserve">- Daily loss limit: 3% of capital</w:t>
      </w:r>
      <w:r>
        <w:t xml:space="preserve"> </w:t>
      </w:r>
      <w:r>
        <w:t xml:space="preserve">- Monthly drawdown limit: 10% triggers review</w:t>
      </w:r>
      <w:r>
        <w:t xml:space="preserve"> </w:t>
      </w:r>
      <w:r>
        <w:t xml:space="preserve">- Quarterly drawdown limit: 15% triggers pause</w:t>
      </w:r>
    </w:p>
    <w:p>
      <w:r>
        <w:pict>
          <v:rect style="width:0;height:1.5pt" o:hralign="center" o:hrstd="t" o:hr="t"/>
        </w:pict>
      </w:r>
    </w:p>
    <w:bookmarkEnd w:id="47"/>
    <w:bookmarkEnd w:id="48"/>
    <w:bookmarkStart w:id="51" w:name="regulatory-compliance-considerations"/>
    <w:p>
      <w:pPr>
        <w:pStyle w:val="Heading2"/>
      </w:pPr>
      <w:r>
        <w:t xml:space="preserve">REGULATORY &amp; COMPLIANCE CONSIDERATIONS</w:t>
      </w:r>
    </w:p>
    <w:bookmarkStart w:id="49" w:name="current-regulatory-status"/>
    <w:p>
      <w:pPr>
        <w:pStyle w:val="Heading3"/>
      </w:pPr>
      <w:r>
        <w:t xml:space="preserve">Current Regulatory Status</w:t>
      </w:r>
    </w:p>
    <w:p>
      <w:pPr>
        <w:pStyle w:val="FirstParagraph"/>
      </w:pPr>
      <w:r>
        <w:rPr>
          <w:b/>
          <w:bCs/>
        </w:rPr>
        <w:t xml:space="preserve">Structure:</w:t>
      </w:r>
      <w:r>
        <w:t xml:space="preserve"> </w:t>
      </w:r>
      <w:r>
        <w:t xml:space="preserve">Proprietary trading system (individual/family office deployment)</w:t>
      </w:r>
    </w:p>
    <w:p>
      <w:pPr>
        <w:pStyle w:val="BodyText"/>
      </w:pPr>
      <w:r>
        <w:rPr>
          <w:b/>
          <w:bCs/>
        </w:rPr>
        <w:t xml:space="preserve">Regulatory Framework:</w:t>
      </w:r>
      <w:r>
        <w:t xml:space="preserve"> </w:t>
      </w:r>
      <w:r>
        <w:t xml:space="preserve">- Currently exempt from RIA registration (trading own capital)</w:t>
      </w:r>
      <w:r>
        <w:t xml:space="preserve"> </w:t>
      </w:r>
      <w:r>
        <w:t xml:space="preserve">- FINRA/SEC compliance if managing client funds</w:t>
      </w:r>
      <w:r>
        <w:t xml:space="preserve"> </w:t>
      </w:r>
      <w:r>
        <w:t xml:space="preserve">- Tradier brokerage regulatory oversight (broker-dealer, FINRA/SIPC member)</w:t>
      </w:r>
    </w:p>
    <w:bookmarkEnd w:id="49"/>
    <w:bookmarkStart w:id="50" w:name="path-to-institutional-deployment"/>
    <w:p>
      <w:pPr>
        <w:pStyle w:val="Heading3"/>
      </w:pPr>
      <w:r>
        <w:t xml:space="preserve">Path to Institutional Deployment</w:t>
      </w:r>
    </w:p>
    <w:p>
      <w:pPr>
        <w:pStyle w:val="FirstParagraph"/>
      </w:pPr>
      <w:r>
        <w:rPr>
          <w:b/>
          <w:bCs/>
        </w:rPr>
        <w:t xml:space="preserve">For Outside Capital Management:</w:t>
      </w:r>
    </w:p>
    <w:p>
      <w:pPr>
        <w:pStyle w:val="Compact"/>
        <w:numPr>
          <w:ilvl w:val="0"/>
          <w:numId w:val="1009"/>
        </w:numPr>
      </w:pPr>
      <w:r>
        <w:rPr>
          <w:b/>
          <w:bCs/>
        </w:rPr>
        <w:t xml:space="preserve">Investment Advisor Registration</w:t>
      </w:r>
    </w:p>
    <w:p>
      <w:pPr>
        <w:pStyle w:val="Compact"/>
        <w:numPr>
          <w:ilvl w:val="1"/>
          <w:numId w:val="1010"/>
        </w:numPr>
      </w:pPr>
      <w:r>
        <w:t xml:space="preserve">SEC Form ADV filing (if AUM &gt;$100M or multi-state)</w:t>
      </w:r>
    </w:p>
    <w:p>
      <w:pPr>
        <w:pStyle w:val="Compact"/>
        <w:numPr>
          <w:ilvl w:val="1"/>
          <w:numId w:val="1010"/>
        </w:numPr>
      </w:pPr>
      <w:r>
        <w:t xml:space="preserve">State registration (if AUM &lt;$100M single state)</w:t>
      </w:r>
    </w:p>
    <w:p>
      <w:pPr>
        <w:pStyle w:val="Compact"/>
        <w:numPr>
          <w:ilvl w:val="1"/>
          <w:numId w:val="1010"/>
        </w:numPr>
      </w:pPr>
      <w:r>
        <w:t xml:space="preserve">Form CRS (Client Relationship Summary)</w:t>
      </w:r>
    </w:p>
    <w:p>
      <w:pPr>
        <w:pStyle w:val="Compact"/>
        <w:numPr>
          <w:ilvl w:val="0"/>
          <w:numId w:val="1009"/>
        </w:numPr>
      </w:pPr>
      <w:r>
        <w:rPr>
          <w:b/>
          <w:bCs/>
        </w:rPr>
        <w:t xml:space="preserve">Compliance Infrastructure</w:t>
      </w:r>
    </w:p>
    <w:p>
      <w:pPr>
        <w:pStyle w:val="Compact"/>
        <w:numPr>
          <w:ilvl w:val="1"/>
          <w:numId w:val="1011"/>
        </w:numPr>
      </w:pPr>
      <w:r>
        <w:t xml:space="preserve">Written compliance policies and procedures</w:t>
      </w:r>
    </w:p>
    <w:p>
      <w:pPr>
        <w:pStyle w:val="Compact"/>
        <w:numPr>
          <w:ilvl w:val="1"/>
          <w:numId w:val="1011"/>
        </w:numPr>
      </w:pPr>
      <w:r>
        <w:t xml:space="preserve">Chief Compliance Officer (CCO) designation</w:t>
      </w:r>
    </w:p>
    <w:p>
      <w:pPr>
        <w:pStyle w:val="Compact"/>
        <w:numPr>
          <w:ilvl w:val="1"/>
          <w:numId w:val="1011"/>
        </w:numPr>
      </w:pPr>
      <w:r>
        <w:t xml:space="preserve">Annual compliance review</w:t>
      </w:r>
    </w:p>
    <w:p>
      <w:pPr>
        <w:pStyle w:val="Compact"/>
        <w:numPr>
          <w:ilvl w:val="1"/>
          <w:numId w:val="1011"/>
        </w:numPr>
      </w:pPr>
      <w:r>
        <w:t xml:space="preserve">Books and records maintenance</w:t>
      </w:r>
    </w:p>
    <w:p>
      <w:pPr>
        <w:pStyle w:val="Compact"/>
        <w:numPr>
          <w:ilvl w:val="1"/>
          <w:numId w:val="1011"/>
        </w:numPr>
      </w:pPr>
      <w:r>
        <w:t xml:space="preserve">Privacy and cybersecurity policies</w:t>
      </w:r>
    </w:p>
    <w:p>
      <w:pPr>
        <w:pStyle w:val="Compact"/>
        <w:numPr>
          <w:ilvl w:val="0"/>
          <w:numId w:val="1009"/>
        </w:numPr>
      </w:pPr>
      <w:r>
        <w:rPr>
          <w:b/>
          <w:bCs/>
        </w:rPr>
        <w:t xml:space="preserve">Operational Requirements</w:t>
      </w:r>
    </w:p>
    <w:p>
      <w:pPr>
        <w:pStyle w:val="Compact"/>
        <w:numPr>
          <w:ilvl w:val="1"/>
          <w:numId w:val="1012"/>
        </w:numPr>
      </w:pPr>
      <w:r>
        <w:t xml:space="preserve">Third-party administrator for fund accounting</w:t>
      </w:r>
    </w:p>
    <w:p>
      <w:pPr>
        <w:pStyle w:val="Compact"/>
        <w:numPr>
          <w:ilvl w:val="1"/>
          <w:numId w:val="1012"/>
        </w:numPr>
      </w:pPr>
      <w:r>
        <w:t xml:space="preserve">Independent audit (Big 4 or regional firm)</w:t>
      </w:r>
    </w:p>
    <w:p>
      <w:pPr>
        <w:pStyle w:val="Compact"/>
        <w:numPr>
          <w:ilvl w:val="1"/>
          <w:numId w:val="1012"/>
        </w:numPr>
      </w:pPr>
      <w:r>
        <w:t xml:space="preserve">Legal counsel (fund formation and ongoing)</w:t>
      </w:r>
    </w:p>
    <w:p>
      <w:pPr>
        <w:pStyle w:val="Compact"/>
        <w:numPr>
          <w:ilvl w:val="1"/>
          <w:numId w:val="1012"/>
        </w:numPr>
      </w:pPr>
      <w:r>
        <w:t xml:space="preserve">Prime broker relationship (execution and custody)</w:t>
      </w:r>
    </w:p>
    <w:p>
      <w:pPr>
        <w:pStyle w:val="Compact"/>
        <w:numPr>
          <w:ilvl w:val="0"/>
          <w:numId w:val="1009"/>
        </w:numPr>
      </w:pPr>
      <w:r>
        <w:rPr>
          <w:b/>
          <w:bCs/>
        </w:rPr>
        <w:t xml:space="preserve">Offering Structure Options</w:t>
      </w:r>
    </w:p>
    <w:p>
      <w:pPr>
        <w:pStyle w:val="Compact"/>
        <w:numPr>
          <w:ilvl w:val="1"/>
          <w:numId w:val="1013"/>
        </w:numPr>
      </w:pPr>
      <w:r>
        <w:t xml:space="preserve">Limited Partnership (LP)</w:t>
      </w:r>
    </w:p>
    <w:p>
      <w:pPr>
        <w:pStyle w:val="Compact"/>
        <w:numPr>
          <w:ilvl w:val="1"/>
          <w:numId w:val="1013"/>
        </w:numPr>
      </w:pPr>
      <w:r>
        <w:t xml:space="preserve">Limited Liability Company (LLC)</w:t>
      </w:r>
    </w:p>
    <w:p>
      <w:pPr>
        <w:pStyle w:val="Compact"/>
        <w:numPr>
          <w:ilvl w:val="1"/>
          <w:numId w:val="1013"/>
        </w:numPr>
      </w:pPr>
      <w:r>
        <w:t xml:space="preserve">Offshore feeder structure (for international investors)</w:t>
      </w:r>
    </w:p>
    <w:p>
      <w:pPr>
        <w:pStyle w:val="Compact"/>
        <w:numPr>
          <w:ilvl w:val="1"/>
          <w:numId w:val="1013"/>
        </w:numPr>
      </w:pPr>
      <w:r>
        <w:t xml:space="preserve">UCITS-compliant vehicle (for European distribution)</w:t>
      </w:r>
    </w:p>
    <w:p>
      <w:pPr>
        <w:pStyle w:val="FirstParagraph"/>
      </w:pPr>
      <w:r>
        <w:rPr>
          <w:b/>
          <w:bCs/>
        </w:rPr>
        <w:t xml:space="preserve">Timeline:</w:t>
      </w:r>
      <w:r>
        <w:t xml:space="preserve"> </w:t>
      </w:r>
      <w:r>
        <w:t xml:space="preserve">6-12 months for full regulatory setup</w:t>
      </w:r>
    </w:p>
    <w:p>
      <w:pPr>
        <w:pStyle w:val="BodyText"/>
      </w:pPr>
      <w:r>
        <w:rPr>
          <w:b/>
          <w:bCs/>
        </w:rPr>
        <w:t xml:space="preserve">Estimated Costs:</w:t>
      </w:r>
      <w:r>
        <w:t xml:space="preserve"> </w:t>
      </w:r>
      <w:r>
        <w:t xml:space="preserve">$150K-$300K initial setup, $100K-$200K annual ongoing</w:t>
      </w:r>
    </w:p>
    <w:p>
      <w:r>
        <w:pict>
          <v:rect style="width:0;height:1.5pt" o:hralign="center" o:hrstd="t" o:hr="t"/>
        </w:pict>
      </w:r>
    </w:p>
    <w:bookmarkEnd w:id="50"/>
    <w:bookmarkEnd w:id="51"/>
    <w:bookmarkStart w:id="57" w:name="competitive-moat-differentiation"/>
    <w:p>
      <w:pPr>
        <w:pStyle w:val="Heading2"/>
      </w:pPr>
      <w:r>
        <w:t xml:space="preserve">COMPETITIVE MOAT &amp; DIFFERENTIATION</w:t>
      </w:r>
    </w:p>
    <w:bookmarkStart w:id="56" w:name="what-sets-spyder-apart"/>
    <w:p>
      <w:pPr>
        <w:pStyle w:val="Heading3"/>
      </w:pPr>
      <w:r>
        <w:t xml:space="preserve">What Sets Spyder Apart</w:t>
      </w:r>
    </w:p>
    <w:bookmarkStart w:id="52" w:name="ai-driven-strategy-evolution"/>
    <w:p>
      <w:pPr>
        <w:pStyle w:val="Heading4"/>
      </w:pPr>
      <w:r>
        <w:t xml:space="preserve">1.</w:t>
      </w:r>
      <w:r>
        <w:t xml:space="preserve"> </w:t>
      </w:r>
      <w:r>
        <w:rPr>
          <w:b/>
          <w:bCs/>
        </w:rPr>
        <w:t xml:space="preserve">AI-Driven Strategy Evolution</w:t>
      </w:r>
    </w:p>
    <w:p>
      <w:pPr>
        <w:pStyle w:val="FirstParagraph"/>
      </w:pPr>
      <w:r>
        <w:t xml:space="preserve">Unlike static quantitative strategies, Spyder continuously evolves through genetic algorithms, adapting to changing market conditions and discovering novel trading edges.</w:t>
      </w:r>
    </w:p>
    <w:p>
      <w:pPr>
        <w:pStyle w:val="BodyText"/>
      </w:pPr>
      <w:r>
        <w:rPr>
          <w:b/>
          <w:bCs/>
        </w:rPr>
        <w:t xml:space="preserve">Competitive Advantage:</w:t>
      </w:r>
      <w:r>
        <w:t xml:space="preserve"> </w:t>
      </w:r>
      <w:r>
        <w:t xml:space="preserve">- No strategy decay over time</w:t>
      </w:r>
      <w:r>
        <w:t xml:space="preserve"> </w:t>
      </w:r>
      <w:r>
        <w:t xml:space="preserve">- Self-optimizing parameters</w:t>
      </w:r>
      <w:r>
        <w:t xml:space="preserve"> </w:t>
      </w:r>
      <w:r>
        <w:t xml:space="preserve">- Discovers non-obvious patterns humans miss</w:t>
      </w:r>
      <w:r>
        <w:t xml:space="preserve"> </w:t>
      </w:r>
      <w:r>
        <w:t xml:space="preserve">- 67% improvement demonstrated through evolution (fitness 0.477 → 0.799)</w:t>
      </w:r>
    </w:p>
    <w:bookmarkEnd w:id="52"/>
    <w:bookmarkStart w:id="53" w:name="options-specific-focus"/>
    <w:p>
      <w:pPr>
        <w:pStyle w:val="Heading4"/>
      </w:pPr>
      <w:r>
        <w:t xml:space="preserve">2.</w:t>
      </w:r>
      <w:r>
        <w:t xml:space="preserve"> </w:t>
      </w:r>
      <w:r>
        <w:rPr>
          <w:b/>
          <w:bCs/>
        </w:rPr>
        <w:t xml:space="preserve">Options-Specific Focus</w:t>
      </w:r>
    </w:p>
    <w:p>
      <w:pPr>
        <w:pStyle w:val="FirstParagraph"/>
      </w:pPr>
      <w:r>
        <w:t xml:space="preserve">While many quant funds trade futures or equities, Spyder specializes in options strategies with defined risk and positive theta characteristics.</w:t>
      </w:r>
    </w:p>
    <w:p>
      <w:pPr>
        <w:pStyle w:val="BodyText"/>
      </w:pPr>
      <w:r>
        <w:rPr>
          <w:b/>
          <w:bCs/>
        </w:rPr>
        <w:t xml:space="preserve">Market Opportunity:</w:t>
      </w:r>
      <w:r>
        <w:t xml:space="preserve"> </w:t>
      </w:r>
      <w:r>
        <w:t xml:space="preserve">- Options market growth: 40%+ YoY volume increase</w:t>
      </w:r>
      <w:r>
        <w:t xml:space="preserve"> </w:t>
      </w:r>
      <w:r>
        <w:t xml:space="preserve">- Retail option volume creates inefficiencies for systematic exploitation</w:t>
      </w:r>
      <w:r>
        <w:t xml:space="preserve"> </w:t>
      </w:r>
      <w:r>
        <w:t xml:space="preserve">- Credit spreads offer superior risk/reward vs. directional equity</w:t>
      </w:r>
      <w:r>
        <w:t xml:space="preserve"> </w:t>
      </w:r>
      <w:r>
        <w:t xml:space="preserve">- Lower capital requirements enable higher ROI</w:t>
      </w:r>
    </w:p>
    <w:bookmarkEnd w:id="53"/>
    <w:bookmarkStart w:id="54" w:name="Xf87bb5ee09cd260ca8feb9594d5f623e8b2ed5d"/>
    <w:p>
      <w:pPr>
        <w:pStyle w:val="Heading4"/>
      </w:pPr>
      <w:r>
        <w:t xml:space="preserve">3.</w:t>
      </w:r>
      <w:r>
        <w:t xml:space="preserve"> </w:t>
      </w:r>
      <w:r>
        <w:rPr>
          <w:b/>
          <w:bCs/>
        </w:rPr>
        <w:t xml:space="preserve">Institutional-Grade Technology at Individual Scale</w:t>
      </w:r>
    </w:p>
    <w:p>
      <w:pPr>
        <w:pStyle w:val="FirstParagraph"/>
      </w:pPr>
      <w:r>
        <w:t xml:space="preserve">Spyder employs quantitative techniques typically reserved for multi-billion dollar hedge funds, but operates at a scale that maintains execution efficiency.</w:t>
      </w:r>
    </w:p>
    <w:p>
      <w:pPr>
        <w:pStyle w:val="BodyText"/>
      </w:pPr>
      <w:r>
        <w:rPr>
          <w:b/>
          <w:bCs/>
        </w:rPr>
        <w:t xml:space="preserve">Advantages:</w:t>
      </w:r>
      <w:r>
        <w:t xml:space="preserve"> </w:t>
      </w:r>
      <w:r>
        <w:t xml:space="preserve">- No market impact from large orders</w:t>
      </w:r>
      <w:r>
        <w:t xml:space="preserve"> </w:t>
      </w:r>
      <w:r>
        <w:t xml:space="preserve">- Access to liquid SPY option markets</w:t>
      </w:r>
      <w:r>
        <w:t xml:space="preserve"> </w:t>
      </w:r>
      <w:r>
        <w:t xml:space="preserve">- Rapid strategy deployment and modification</w:t>
      </w:r>
      <w:r>
        <w:t xml:space="preserve"> </w:t>
      </w:r>
      <w:r>
        <w:t xml:space="preserve">- Lower operational overhead than large funds</w:t>
      </w:r>
    </w:p>
    <w:bookmarkEnd w:id="54"/>
    <w:bookmarkStart w:id="55" w:name="transparent-modular-architecture"/>
    <w:p>
      <w:pPr>
        <w:pStyle w:val="Heading4"/>
      </w:pPr>
      <w:r>
        <w:t xml:space="preserve">4.</w:t>
      </w:r>
      <w:r>
        <w:t xml:space="preserve"> </w:t>
      </w:r>
      <w:r>
        <w:rPr>
          <w:b/>
          <w:bCs/>
        </w:rPr>
        <w:t xml:space="preserve">Transparent, Modular Architecture</w:t>
      </w:r>
    </w:p>
    <w:p>
      <w:pPr>
        <w:pStyle w:val="FirstParagraph"/>
      </w:pPr>
      <w:r>
        <w:t xml:space="preserve">Unlike black-box hedge funds, Spyder’s modular design enables:</w:t>
      </w:r>
      <w:r>
        <w:t xml:space="preserve"> </w:t>
      </w:r>
      <w:r>
        <w:t xml:space="preserve">- Clear understanding of risk attribution</w:t>
      </w:r>
      <w:r>
        <w:t xml:space="preserve"> </w:t>
      </w:r>
      <w:r>
        <w:t xml:space="preserve">- Component-level testing and validation</w:t>
      </w:r>
      <w:r>
        <w:t xml:space="preserve"> </w:t>
      </w:r>
      <w:r>
        <w:t xml:space="preserve">- Regulatory transparency</w:t>
      </w:r>
      <w:r>
        <w:t xml:space="preserve"> </w:t>
      </w:r>
      <w:r>
        <w:t xml:space="preserve">- Investor confidence through explainability</w:t>
      </w:r>
    </w:p>
    <w:p>
      <w:r>
        <w:pict>
          <v:rect style="width:0;height:1.5pt" o:hralign="center" o:hrstd="t" o:hr="t"/>
        </w:pict>
      </w:r>
    </w:p>
    <w:bookmarkEnd w:id="55"/>
    <w:bookmarkEnd w:id="56"/>
    <w:bookmarkEnd w:id="57"/>
    <w:bookmarkStart w:id="59" w:name="scalability-capacity-analysis"/>
    <w:p>
      <w:pPr>
        <w:pStyle w:val="Heading2"/>
      </w:pPr>
      <w:r>
        <w:t xml:space="preserve">SCALABILITY &amp; CAPACITY ANALYSIS</w:t>
      </w:r>
    </w:p>
    <w:bookmarkStart w:id="58" w:name="current-capacity-assessment"/>
    <w:p>
      <w:pPr>
        <w:pStyle w:val="Heading3"/>
      </w:pPr>
      <w:r>
        <w:t xml:space="preserve">Current Capacity Assessment</w:t>
      </w:r>
    </w:p>
    <w:p>
      <w:pPr>
        <w:pStyle w:val="FirstParagraph"/>
      </w:pPr>
      <w:r>
        <w:rPr>
          <w:b/>
          <w:bCs/>
        </w:rPr>
        <w:t xml:space="preserve">Market Liquidity:</w:t>
      </w:r>
      <w:r>
        <w:t xml:space="preserve"> </w:t>
      </w:r>
      <w:r>
        <w:t xml:space="preserve">SPY options are among the most liquid instruments globally</w:t>
      </w:r>
      <w:r>
        <w:t xml:space="preserve"> </w:t>
      </w:r>
      <w:r>
        <w:t xml:space="preserve">- Average daily volume: 2+ million contracts</w:t>
      </w:r>
      <w:r>
        <w:t xml:space="preserve"> </w:t>
      </w:r>
      <w:r>
        <w:t xml:space="preserve">- Tight bid-ask spreads: 1-2 ticks typical</w:t>
      </w:r>
      <w:r>
        <w:t xml:space="preserve"> </w:t>
      </w:r>
      <w:r>
        <w:t xml:space="preserve">- Deep order books across strikes</w:t>
      </w:r>
      <w:r>
        <w:t xml:space="preserve"> </w:t>
      </w:r>
      <w:r>
        <w:t xml:space="preserve">- Minimal market impact for institutional-size orders</w:t>
      </w:r>
    </w:p>
    <w:p>
      <w:pPr>
        <w:pStyle w:val="BodyText"/>
      </w:pPr>
      <w:r>
        <w:rPr>
          <w:b/>
          <w:bCs/>
        </w:rPr>
        <w:t xml:space="preserve">Estimated Strategy Capacity: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Capital Level</w:t>
            </w:r>
          </w:p>
        </w:tc>
        <w:tc>
          <w:tcPr/>
          <w:p>
            <w:pPr>
              <w:pStyle w:val="Compact"/>
              <w:jc w:val="left"/>
            </w:pPr>
            <w:r>
              <w:t xml:space="preserve">Execution Quality</w:t>
            </w:r>
          </w:p>
        </w:tc>
        <w:tc>
          <w:tcPr/>
          <w:p>
            <w:pPr>
              <w:pStyle w:val="Compact"/>
              <w:jc w:val="left"/>
            </w:pPr>
            <w:r>
              <w:t xml:space="preserve">Market Impact</w:t>
            </w:r>
          </w:p>
        </w:tc>
        <w:tc>
          <w:tcPr/>
          <w:p>
            <w:pPr>
              <w:pStyle w:val="Compact"/>
              <w:jc w:val="left"/>
            </w:pPr>
            <w:r>
              <w:t xml:space="preserve">Sharpe Impact</w:t>
            </w:r>
          </w:p>
        </w:tc>
      </w:tr>
      <w:tr>
        <w:tc>
          <w:tcPr/>
          <w:p>
            <w:pPr>
              <w:pStyle w:val="Compact"/>
              <w:jc w:val="left"/>
            </w:pPr>
            <w:r>
              <w:t xml:space="preserve">$100K - $1M</w:t>
            </w:r>
          </w:p>
        </w:tc>
        <w:tc>
          <w:tcPr/>
          <w:p>
            <w:pPr>
              <w:pStyle w:val="Compact"/>
              <w:jc w:val="left"/>
            </w:pPr>
            <w:r>
              <w:t xml:space="preserve">Excellent</w:t>
            </w:r>
          </w:p>
        </w:tc>
        <w:tc>
          <w:tcPr/>
          <w:p>
            <w:pPr>
              <w:pStyle w:val="Compact"/>
              <w:jc w:val="left"/>
            </w:pPr>
            <w:r>
              <w:t xml:space="preserve">Negligible</w:t>
            </w:r>
          </w:p>
        </w:tc>
        <w:tc>
          <w:tcPr/>
          <w:p>
            <w:pPr>
              <w:pStyle w:val="Compact"/>
              <w:jc w:val="left"/>
            </w:pPr>
            <w:r>
              <w:t xml:space="preserve">None</w:t>
            </w:r>
          </w:p>
        </w:tc>
      </w:tr>
      <w:tr>
        <w:tc>
          <w:tcPr/>
          <w:p>
            <w:pPr>
              <w:pStyle w:val="Compact"/>
              <w:jc w:val="left"/>
            </w:pPr>
            <w:r>
              <w:t xml:space="preserve">$1M - $10M</w:t>
            </w:r>
          </w:p>
        </w:tc>
        <w:tc>
          <w:tcPr/>
          <w:p>
            <w:pPr>
              <w:pStyle w:val="Compact"/>
              <w:jc w:val="left"/>
            </w:pPr>
            <w:r>
              <w:t xml:space="preserve">Very Good</w:t>
            </w:r>
          </w:p>
        </w:tc>
        <w:tc>
          <w:tcPr/>
          <w:p>
            <w:pPr>
              <w:pStyle w:val="Compact"/>
              <w:jc w:val="left"/>
            </w:pPr>
            <w:r>
              <w:t xml:space="preserve">Minimal (&lt;1bp)</w:t>
            </w:r>
          </w:p>
        </w:tc>
        <w:tc>
          <w:tcPr/>
          <w:p>
            <w:pPr>
              <w:pStyle w:val="Compact"/>
              <w:jc w:val="left"/>
            </w:pPr>
            <w:r>
              <w:t xml:space="preserve">Negligible</w:t>
            </w:r>
          </w:p>
        </w:tc>
      </w:tr>
      <w:tr>
        <w:tc>
          <w:tcPr/>
          <w:p>
            <w:pPr>
              <w:pStyle w:val="Compact"/>
              <w:jc w:val="left"/>
            </w:pPr>
            <w:r>
              <w:t xml:space="preserve">$10M - $50M</w:t>
            </w:r>
          </w:p>
        </w:tc>
        <w:tc>
          <w:tcPr/>
          <w:p>
            <w:pPr>
              <w:pStyle w:val="Compact"/>
              <w:jc w:val="left"/>
            </w:pPr>
            <w:r>
              <w:t xml:space="preserve">Good</w:t>
            </w:r>
          </w:p>
        </w:tc>
        <w:tc>
          <w:tcPr/>
          <w:p>
            <w:pPr>
              <w:pStyle w:val="Compact"/>
              <w:jc w:val="left"/>
            </w:pPr>
            <w:r>
              <w:t xml:space="preserve">Low (1-3bp)</w:t>
            </w:r>
          </w:p>
        </w:tc>
        <w:tc>
          <w:tcPr/>
          <w:p>
            <w:pPr>
              <w:pStyle w:val="Compact"/>
              <w:jc w:val="left"/>
            </w:pPr>
            <w:r>
              <w:t xml:space="preserve">Minor (-0.1)</w:t>
            </w:r>
          </w:p>
        </w:tc>
      </w:tr>
      <w:tr>
        <w:tc>
          <w:tcPr/>
          <w:p>
            <w:pPr>
              <w:pStyle w:val="Compact"/>
              <w:jc w:val="left"/>
            </w:pPr>
            <w:r>
              <w:t xml:space="preserve">$50M - $200M</w:t>
            </w:r>
          </w:p>
        </w:tc>
        <w:tc>
          <w:tcPr/>
          <w:p>
            <w:pPr>
              <w:pStyle w:val="Compact"/>
              <w:jc w:val="left"/>
            </w:pPr>
            <w:r>
              <w:t xml:space="preserve">Moderate</w:t>
            </w:r>
          </w:p>
        </w:tc>
        <w:tc>
          <w:tcPr/>
          <w:p>
            <w:pPr>
              <w:pStyle w:val="Compact"/>
              <w:jc w:val="left"/>
            </w:pPr>
            <w:r>
              <w:t xml:space="preserve">Moderate (3-8bp)</w:t>
            </w:r>
          </w:p>
        </w:tc>
        <w:tc>
          <w:tcPr/>
          <w:p>
            <w:pPr>
              <w:pStyle w:val="Compact"/>
              <w:jc w:val="left"/>
            </w:pPr>
            <w:r>
              <w:t xml:space="preserve">Moderate (-0.3)</w:t>
            </w:r>
          </w:p>
        </w:tc>
      </w:tr>
      <w:tr>
        <w:tc>
          <w:tcPr/>
          <w:p>
            <w:pPr>
              <w:pStyle w:val="Compact"/>
              <w:jc w:val="left"/>
            </w:pPr>
            <w:r>
              <w:t xml:space="preserve">$200M+</w:t>
            </w:r>
          </w:p>
        </w:tc>
        <w:tc>
          <w:tcPr/>
          <w:p>
            <w:pPr>
              <w:pStyle w:val="Compact"/>
              <w:jc w:val="left"/>
            </w:pPr>
            <w:r>
              <w:t xml:space="preserve">Requires Multi-Strategy</w:t>
            </w:r>
          </w:p>
        </w:tc>
        <w:tc>
          <w:tcPr/>
          <w:p>
            <w:pPr>
              <w:pStyle w:val="Compact"/>
              <w:jc w:val="left"/>
            </w:pPr>
            <w:r>
              <w:t xml:space="preserve">Higher</w:t>
            </w:r>
          </w:p>
        </w:tc>
        <w:tc>
          <w:tcPr/>
          <w:p>
            <w:pPr>
              <w:pStyle w:val="Compact"/>
              <w:jc w:val="left"/>
            </w:pPr>
            <w:r>
              <w:t xml:space="preserve">Strategy dependent</w:t>
            </w:r>
          </w:p>
        </w:tc>
      </w:tr>
    </w:tbl>
    <w:p>
      <w:pPr>
        <w:pStyle w:val="BodyText"/>
      </w:pPr>
      <w:r>
        <w:rPr>
          <w:b/>
          <w:bCs/>
        </w:rPr>
        <w:t xml:space="preserve">Optimal Capacity:</w:t>
      </w:r>
      <w:r>
        <w:t xml:space="preserve"> </w:t>
      </w:r>
      <w:r>
        <w:t xml:space="preserve">$10M - $50M per strategy</w:t>
      </w:r>
    </w:p>
    <w:p>
      <w:pPr>
        <w:pStyle w:val="BodyText"/>
      </w:pPr>
      <w:r>
        <w:rPr>
          <w:b/>
          <w:bCs/>
        </w:rPr>
        <w:t xml:space="preserve">Multi-Strategy Scaling:</w:t>
      </w:r>
      <w:r>
        <w:t xml:space="preserve"> </w:t>
      </w:r>
      <w:r>
        <w:t xml:space="preserve">Beyond $50M, deploy multiple uncorrelated strategies:</w:t>
      </w:r>
      <w:r>
        <w:t xml:space="preserve"> </w:t>
      </w:r>
      <w:r>
        <w:t xml:space="preserve">- Different option structures (iron condors, butterflies, calendars)</w:t>
      </w:r>
      <w:r>
        <w:t xml:space="preserve"> </w:t>
      </w:r>
      <w:r>
        <w:t xml:space="preserve">- Multiple underlyings (QQQ, IWM, sector ETFs)</w:t>
      </w:r>
      <w:r>
        <w:t xml:space="preserve"> </w:t>
      </w:r>
      <w:r>
        <w:t xml:space="preserve">- Varying timeframes (weekly, monthly options)</w:t>
      </w:r>
      <w:r>
        <w:t xml:space="preserve"> </w:t>
      </w:r>
      <w:r>
        <w:t xml:space="preserve">- Alternative strategies (volatility arbitrage, dispersion)</w:t>
      </w:r>
    </w:p>
    <w:p>
      <w:pPr>
        <w:pStyle w:val="BodyText"/>
      </w:pPr>
      <w:r>
        <w:rPr>
          <w:b/>
          <w:bCs/>
        </w:rPr>
        <w:t xml:space="preserve">Capital Efficiency:</w:t>
      </w:r>
      <w:r>
        <w:t xml:space="preserve"> </w:t>
      </w:r>
      <w:r>
        <w:t xml:space="preserve">- Portfolio margin: 15-25% of notional</w:t>
      </w:r>
      <w:r>
        <w:t xml:space="preserve"> </w:t>
      </w:r>
      <w:r>
        <w:t xml:space="preserve">- 4-6x leverage available (conservative: 2-3x recommended)</w:t>
      </w:r>
      <w:r>
        <w:t xml:space="preserve"> </w:t>
      </w:r>
      <w:r>
        <w:t xml:space="preserve">- Return on margin: 100%+ potential</w:t>
      </w:r>
    </w:p>
    <w:p>
      <w:r>
        <w:pict>
          <v:rect style="width:0;height:1.5pt" o:hralign="center" o:hrstd="t" o:hr="t"/>
        </w:pict>
      </w:r>
    </w:p>
    <w:bookmarkEnd w:id="58"/>
    <w:bookmarkEnd w:id="59"/>
    <w:bookmarkStart w:id="65" w:name="financial-projections"/>
    <w:p>
      <w:pPr>
        <w:pStyle w:val="Heading2"/>
      </w:pPr>
      <w:r>
        <w:t xml:space="preserve">FINANCIAL PROJECTIONS</w:t>
      </w:r>
    </w:p>
    <w:bookmarkStart w:id="63" w:name="scenario-analysis-3-year-projections"/>
    <w:p>
      <w:pPr>
        <w:pStyle w:val="Heading3"/>
      </w:pPr>
      <w:r>
        <w:t xml:space="preserve">Scenario Analysis: 3-Year Projections</w:t>
      </w:r>
    </w:p>
    <w:p>
      <w:pPr>
        <w:pStyle w:val="FirstParagraph"/>
      </w:pPr>
      <w:r>
        <w:rPr>
          <w:b/>
          <w:bCs/>
        </w:rPr>
        <w:t xml:space="preserve">Assumptions:</w:t>
      </w:r>
      <w:r>
        <w:t xml:space="preserve"> </w:t>
      </w:r>
      <w:r>
        <w:t xml:space="preserve">- Starting capital: $1M</w:t>
      </w:r>
      <w:r>
        <w:t xml:space="preserve"> </w:t>
      </w:r>
      <w:r>
        <w:t xml:space="preserve">- Conservative live Sharpe: 1.75</w:t>
      </w:r>
      <w:r>
        <w:t xml:space="preserve"> </w:t>
      </w:r>
      <w:r>
        <w:t xml:space="preserve">- Annual return: 25% (conservative vs. 31.15% simulated)</w:t>
      </w:r>
      <w:r>
        <w:t xml:space="preserve"> </w:t>
      </w:r>
      <w:r>
        <w:t xml:space="preserve">- No additional capital contributions</w:t>
      </w:r>
      <w:r>
        <w:t xml:space="preserve"> </w:t>
      </w:r>
      <w:r>
        <w:t xml:space="preserve">- Compounding returns</w:t>
      </w:r>
    </w:p>
    <w:bookmarkStart w:id="60" w:name="base-case-scenario-most-likely"/>
    <w:p>
      <w:pPr>
        <w:pStyle w:val="Heading4"/>
      </w:pPr>
      <w:r>
        <w:t xml:space="preserve">Base Case Scenario (Most Likely)</w:t>
      </w:r>
    </w:p>
    <w:tbl>
      <w:tblPr>
        <w:tblStyle w:val="Table"/>
        <w:tblW w:type="pct" w:w="5000"/>
        <w:jc w:val="left"/>
        <w:tblLayout w:type="fixed"/>
        <w:tblLook w:firstRow="1" w:lastRow="0" w:firstColumn="0" w:lastColumn="0" w:noHBand="0" w:noVBand="0" w:val="0020"/>
      </w:tblPr>
      <w:tblGrid>
        <w:gridCol w:w="650"/>
        <w:gridCol w:w="1844"/>
        <w:gridCol w:w="1627"/>
        <w:gridCol w:w="1735"/>
        <w:gridCol w:w="2061"/>
      </w:tblGrid>
      <w:tr>
        <w:trPr>
          <w:tblHeader w:val="on"/>
        </w:trPr>
        <w:tc>
          <w:tcPr/>
          <w:p>
            <w:pPr>
              <w:pStyle w:val="Compact"/>
              <w:jc w:val="left"/>
            </w:pPr>
            <w:r>
              <w:t xml:space="preserve">Year</w:t>
            </w:r>
          </w:p>
        </w:tc>
        <w:tc>
          <w:tcPr/>
          <w:p>
            <w:pPr>
              <w:pStyle w:val="Compact"/>
              <w:jc w:val="left"/>
            </w:pPr>
            <w:r>
              <w:t xml:space="preserve">Starting Capital</w:t>
            </w:r>
          </w:p>
        </w:tc>
        <w:tc>
          <w:tcPr/>
          <w:p>
            <w:pPr>
              <w:pStyle w:val="Compact"/>
              <w:jc w:val="left"/>
            </w:pPr>
            <w:r>
              <w:t xml:space="preserve">Annual Return</w:t>
            </w:r>
          </w:p>
        </w:tc>
        <w:tc>
          <w:tcPr/>
          <w:p>
            <w:pPr>
              <w:pStyle w:val="Compact"/>
              <w:jc w:val="left"/>
            </w:pPr>
            <w:r>
              <w:t xml:space="preserve">Ending Capital</w:t>
            </w:r>
          </w:p>
        </w:tc>
        <w:tc>
          <w:tcPr/>
          <w:p>
            <w:pPr>
              <w:pStyle w:val="Compact"/>
              <w:jc w:val="left"/>
            </w:pPr>
            <w:r>
              <w:t xml:space="preserve">Cumulative Return</w:t>
            </w:r>
          </w:p>
        </w:tc>
      </w:tr>
      <w:tr>
        <w:tc>
          <w:tcPr/>
          <w:p>
            <w:pPr>
              <w:pStyle w:val="Compact"/>
              <w:jc w:val="left"/>
            </w:pPr>
            <w:r>
              <w:t xml:space="preserve">Year 1</w:t>
            </w:r>
          </w:p>
        </w:tc>
        <w:tc>
          <w:tcPr/>
          <w:p>
            <w:pPr>
              <w:pStyle w:val="Compact"/>
              <w:jc w:val="left"/>
            </w:pPr>
            <w:r>
              <w:t xml:space="preserve">$1,000,000</w:t>
            </w:r>
          </w:p>
        </w:tc>
        <w:tc>
          <w:tcPr/>
          <w:p>
            <w:pPr>
              <w:pStyle w:val="Compact"/>
              <w:jc w:val="left"/>
            </w:pPr>
            <w:r>
              <w:t xml:space="preserve">25%</w:t>
            </w:r>
          </w:p>
        </w:tc>
        <w:tc>
          <w:tcPr/>
          <w:p>
            <w:pPr>
              <w:pStyle w:val="Compact"/>
              <w:jc w:val="left"/>
            </w:pPr>
            <w:r>
              <w:t xml:space="preserve">$1,250,000</w:t>
            </w:r>
          </w:p>
        </w:tc>
        <w:tc>
          <w:tcPr/>
          <w:p>
            <w:pPr>
              <w:pStyle w:val="Compact"/>
              <w:jc w:val="left"/>
            </w:pPr>
            <w:r>
              <w:t xml:space="preserve">25%</w:t>
            </w:r>
          </w:p>
        </w:tc>
      </w:tr>
      <w:tr>
        <w:tc>
          <w:tcPr/>
          <w:p>
            <w:pPr>
              <w:pStyle w:val="Compact"/>
              <w:jc w:val="left"/>
            </w:pPr>
            <w:r>
              <w:t xml:space="preserve">Year 2</w:t>
            </w:r>
          </w:p>
        </w:tc>
        <w:tc>
          <w:tcPr/>
          <w:p>
            <w:pPr>
              <w:pStyle w:val="Compact"/>
              <w:jc w:val="left"/>
            </w:pPr>
            <w:r>
              <w:t xml:space="preserve">$1,250,000</w:t>
            </w:r>
          </w:p>
        </w:tc>
        <w:tc>
          <w:tcPr/>
          <w:p>
            <w:pPr>
              <w:pStyle w:val="Compact"/>
              <w:jc w:val="left"/>
            </w:pPr>
            <w:r>
              <w:t xml:space="preserve">25%</w:t>
            </w:r>
          </w:p>
        </w:tc>
        <w:tc>
          <w:tcPr/>
          <w:p>
            <w:pPr>
              <w:pStyle w:val="Compact"/>
              <w:jc w:val="left"/>
            </w:pPr>
            <w:r>
              <w:t xml:space="preserve">$1,562,500</w:t>
            </w:r>
          </w:p>
        </w:tc>
        <w:tc>
          <w:tcPr/>
          <w:p>
            <w:pPr>
              <w:pStyle w:val="Compact"/>
              <w:jc w:val="left"/>
            </w:pPr>
            <w:r>
              <w:t xml:space="preserve">56%</w:t>
            </w:r>
          </w:p>
        </w:tc>
      </w:tr>
      <w:tr>
        <w:tc>
          <w:tcPr/>
          <w:p>
            <w:pPr>
              <w:pStyle w:val="Compact"/>
              <w:jc w:val="left"/>
            </w:pPr>
            <w:r>
              <w:t xml:space="preserve">Year 3</w:t>
            </w:r>
          </w:p>
        </w:tc>
        <w:tc>
          <w:tcPr/>
          <w:p>
            <w:pPr>
              <w:pStyle w:val="Compact"/>
              <w:jc w:val="left"/>
            </w:pPr>
            <w:r>
              <w:t xml:space="preserve">$1,562,500</w:t>
            </w:r>
          </w:p>
        </w:tc>
        <w:tc>
          <w:tcPr/>
          <w:p>
            <w:pPr>
              <w:pStyle w:val="Compact"/>
              <w:jc w:val="left"/>
            </w:pPr>
            <w:r>
              <w:t xml:space="preserve">25%</w:t>
            </w:r>
          </w:p>
        </w:tc>
        <w:tc>
          <w:tcPr/>
          <w:p>
            <w:pPr>
              <w:pStyle w:val="Compact"/>
              <w:jc w:val="left"/>
            </w:pPr>
            <w:r>
              <w:t xml:space="preserve">$1,953,125</w:t>
            </w:r>
          </w:p>
        </w:tc>
        <w:tc>
          <w:tcPr/>
          <w:p>
            <w:pPr>
              <w:pStyle w:val="Compact"/>
              <w:jc w:val="left"/>
            </w:pPr>
            <w:r>
              <w:t xml:space="preserve">95%</w:t>
            </w:r>
          </w:p>
        </w:tc>
      </w:tr>
    </w:tbl>
    <w:p>
      <w:pPr>
        <w:pStyle w:val="BodyText"/>
      </w:pPr>
      <w:r>
        <w:rPr>
          <w:b/>
          <w:bCs/>
        </w:rPr>
        <w:t xml:space="preserve">3-Year Performance:</w:t>
      </w:r>
      <w:r>
        <w:t xml:space="preserve"> </w:t>
      </w:r>
      <w:r>
        <w:t xml:space="preserve">$1M → $1.95M (+95%)</w:t>
      </w:r>
    </w:p>
    <w:bookmarkEnd w:id="60"/>
    <w:bookmarkStart w:id="61" w:name="conservative-scenario-20-annual-return"/>
    <w:p>
      <w:pPr>
        <w:pStyle w:val="Heading4"/>
      </w:pPr>
      <w:r>
        <w:t xml:space="preserve">Conservative Scenario (20% Annual Return)</w:t>
      </w:r>
    </w:p>
    <w:tbl>
      <w:tblPr>
        <w:tblStyle w:val="Table"/>
        <w:tblW w:type="pct" w:w="5000"/>
        <w:jc w:val="left"/>
        <w:tblLayout w:type="fixed"/>
        <w:tblLook w:firstRow="1" w:lastRow="0" w:firstColumn="0" w:lastColumn="0" w:noHBand="0" w:noVBand="0" w:val="0020"/>
      </w:tblPr>
      <w:tblGrid>
        <w:gridCol w:w="650"/>
        <w:gridCol w:w="1844"/>
        <w:gridCol w:w="1627"/>
        <w:gridCol w:w="1735"/>
        <w:gridCol w:w="2061"/>
      </w:tblGrid>
      <w:tr>
        <w:trPr>
          <w:tblHeader w:val="on"/>
        </w:trPr>
        <w:tc>
          <w:tcPr/>
          <w:p>
            <w:pPr>
              <w:pStyle w:val="Compact"/>
              <w:jc w:val="left"/>
            </w:pPr>
            <w:r>
              <w:t xml:space="preserve">Year</w:t>
            </w:r>
          </w:p>
        </w:tc>
        <w:tc>
          <w:tcPr/>
          <w:p>
            <w:pPr>
              <w:pStyle w:val="Compact"/>
              <w:jc w:val="left"/>
            </w:pPr>
            <w:r>
              <w:t xml:space="preserve">Starting Capital</w:t>
            </w:r>
          </w:p>
        </w:tc>
        <w:tc>
          <w:tcPr/>
          <w:p>
            <w:pPr>
              <w:pStyle w:val="Compact"/>
              <w:jc w:val="left"/>
            </w:pPr>
            <w:r>
              <w:t xml:space="preserve">Annual Return</w:t>
            </w:r>
          </w:p>
        </w:tc>
        <w:tc>
          <w:tcPr/>
          <w:p>
            <w:pPr>
              <w:pStyle w:val="Compact"/>
              <w:jc w:val="left"/>
            </w:pPr>
            <w:r>
              <w:t xml:space="preserve">Ending Capital</w:t>
            </w:r>
          </w:p>
        </w:tc>
        <w:tc>
          <w:tcPr/>
          <w:p>
            <w:pPr>
              <w:pStyle w:val="Compact"/>
              <w:jc w:val="left"/>
            </w:pPr>
            <w:r>
              <w:t xml:space="preserve">Cumulative Return</w:t>
            </w:r>
          </w:p>
        </w:tc>
      </w:tr>
      <w:tr>
        <w:tc>
          <w:tcPr/>
          <w:p>
            <w:pPr>
              <w:pStyle w:val="Compact"/>
              <w:jc w:val="left"/>
            </w:pPr>
            <w:r>
              <w:t xml:space="preserve">Year 1</w:t>
            </w:r>
          </w:p>
        </w:tc>
        <w:tc>
          <w:tcPr/>
          <w:p>
            <w:pPr>
              <w:pStyle w:val="Compact"/>
              <w:jc w:val="left"/>
            </w:pPr>
            <w:r>
              <w:t xml:space="preserve">$1,000,000</w:t>
            </w:r>
          </w:p>
        </w:tc>
        <w:tc>
          <w:tcPr/>
          <w:p>
            <w:pPr>
              <w:pStyle w:val="Compact"/>
              <w:jc w:val="left"/>
            </w:pPr>
            <w:r>
              <w:t xml:space="preserve">20%</w:t>
            </w:r>
          </w:p>
        </w:tc>
        <w:tc>
          <w:tcPr/>
          <w:p>
            <w:pPr>
              <w:pStyle w:val="Compact"/>
              <w:jc w:val="left"/>
            </w:pPr>
            <w:r>
              <w:t xml:space="preserve">$1,200,000</w:t>
            </w:r>
          </w:p>
        </w:tc>
        <w:tc>
          <w:tcPr/>
          <w:p>
            <w:pPr>
              <w:pStyle w:val="Compact"/>
              <w:jc w:val="left"/>
            </w:pPr>
            <w:r>
              <w:t xml:space="preserve">20%</w:t>
            </w:r>
          </w:p>
        </w:tc>
      </w:tr>
      <w:tr>
        <w:tc>
          <w:tcPr/>
          <w:p>
            <w:pPr>
              <w:pStyle w:val="Compact"/>
              <w:jc w:val="left"/>
            </w:pPr>
            <w:r>
              <w:t xml:space="preserve">Year 2</w:t>
            </w:r>
          </w:p>
        </w:tc>
        <w:tc>
          <w:tcPr/>
          <w:p>
            <w:pPr>
              <w:pStyle w:val="Compact"/>
              <w:jc w:val="left"/>
            </w:pPr>
            <w:r>
              <w:t xml:space="preserve">$1,200,000</w:t>
            </w:r>
          </w:p>
        </w:tc>
        <w:tc>
          <w:tcPr/>
          <w:p>
            <w:pPr>
              <w:pStyle w:val="Compact"/>
              <w:jc w:val="left"/>
            </w:pPr>
            <w:r>
              <w:t xml:space="preserve">20%</w:t>
            </w:r>
          </w:p>
        </w:tc>
        <w:tc>
          <w:tcPr/>
          <w:p>
            <w:pPr>
              <w:pStyle w:val="Compact"/>
              <w:jc w:val="left"/>
            </w:pPr>
            <w:r>
              <w:t xml:space="preserve">$1,440,000</w:t>
            </w:r>
          </w:p>
        </w:tc>
        <w:tc>
          <w:tcPr/>
          <w:p>
            <w:pPr>
              <w:pStyle w:val="Compact"/>
              <w:jc w:val="left"/>
            </w:pPr>
            <w:r>
              <w:t xml:space="preserve">44%</w:t>
            </w:r>
          </w:p>
        </w:tc>
      </w:tr>
      <w:tr>
        <w:tc>
          <w:tcPr/>
          <w:p>
            <w:pPr>
              <w:pStyle w:val="Compact"/>
              <w:jc w:val="left"/>
            </w:pPr>
            <w:r>
              <w:t xml:space="preserve">Year 3</w:t>
            </w:r>
          </w:p>
        </w:tc>
        <w:tc>
          <w:tcPr/>
          <w:p>
            <w:pPr>
              <w:pStyle w:val="Compact"/>
              <w:jc w:val="left"/>
            </w:pPr>
            <w:r>
              <w:t xml:space="preserve">$1,440,000</w:t>
            </w:r>
          </w:p>
        </w:tc>
        <w:tc>
          <w:tcPr/>
          <w:p>
            <w:pPr>
              <w:pStyle w:val="Compact"/>
              <w:jc w:val="left"/>
            </w:pPr>
            <w:r>
              <w:t xml:space="preserve">20%</w:t>
            </w:r>
          </w:p>
        </w:tc>
        <w:tc>
          <w:tcPr/>
          <w:p>
            <w:pPr>
              <w:pStyle w:val="Compact"/>
              <w:jc w:val="left"/>
            </w:pPr>
            <w:r>
              <w:t xml:space="preserve">$1,728,000</w:t>
            </w:r>
          </w:p>
        </w:tc>
        <w:tc>
          <w:tcPr/>
          <w:p>
            <w:pPr>
              <w:pStyle w:val="Compact"/>
              <w:jc w:val="left"/>
            </w:pPr>
            <w:r>
              <w:t xml:space="preserve">73%</w:t>
            </w:r>
          </w:p>
        </w:tc>
      </w:tr>
    </w:tbl>
    <w:p>
      <w:pPr>
        <w:pStyle w:val="BodyText"/>
      </w:pPr>
      <w:r>
        <w:rPr>
          <w:b/>
          <w:bCs/>
        </w:rPr>
        <w:t xml:space="preserve">3-Year Performance:</w:t>
      </w:r>
      <w:r>
        <w:t xml:space="preserve"> </w:t>
      </w:r>
      <w:r>
        <w:t xml:space="preserve">$1M → $1.73M (+73%)</w:t>
      </w:r>
    </w:p>
    <w:bookmarkEnd w:id="61"/>
    <w:bookmarkStart w:id="62" w:name="optimistic-scenario-30-annual-return"/>
    <w:p>
      <w:pPr>
        <w:pStyle w:val="Heading4"/>
      </w:pPr>
      <w:r>
        <w:t xml:space="preserve">Optimistic Scenario (30% Annual Return)</w:t>
      </w:r>
    </w:p>
    <w:tbl>
      <w:tblPr>
        <w:tblStyle w:val="Table"/>
        <w:tblW w:type="pct" w:w="5000"/>
        <w:jc w:val="left"/>
        <w:tblLayout w:type="fixed"/>
        <w:tblLook w:firstRow="1" w:lastRow="0" w:firstColumn="0" w:lastColumn="0" w:noHBand="0" w:noVBand="0" w:val="0020"/>
      </w:tblPr>
      <w:tblGrid>
        <w:gridCol w:w="650"/>
        <w:gridCol w:w="1844"/>
        <w:gridCol w:w="1627"/>
        <w:gridCol w:w="1735"/>
        <w:gridCol w:w="2061"/>
      </w:tblGrid>
      <w:tr>
        <w:trPr>
          <w:tblHeader w:val="on"/>
        </w:trPr>
        <w:tc>
          <w:tcPr/>
          <w:p>
            <w:pPr>
              <w:pStyle w:val="Compact"/>
              <w:jc w:val="left"/>
            </w:pPr>
            <w:r>
              <w:t xml:space="preserve">Year</w:t>
            </w:r>
          </w:p>
        </w:tc>
        <w:tc>
          <w:tcPr/>
          <w:p>
            <w:pPr>
              <w:pStyle w:val="Compact"/>
              <w:jc w:val="left"/>
            </w:pPr>
            <w:r>
              <w:t xml:space="preserve">Starting Capital</w:t>
            </w:r>
          </w:p>
        </w:tc>
        <w:tc>
          <w:tcPr/>
          <w:p>
            <w:pPr>
              <w:pStyle w:val="Compact"/>
              <w:jc w:val="left"/>
            </w:pPr>
            <w:r>
              <w:t xml:space="preserve">Annual Return</w:t>
            </w:r>
          </w:p>
        </w:tc>
        <w:tc>
          <w:tcPr/>
          <w:p>
            <w:pPr>
              <w:pStyle w:val="Compact"/>
              <w:jc w:val="left"/>
            </w:pPr>
            <w:r>
              <w:t xml:space="preserve">Ending Capital</w:t>
            </w:r>
          </w:p>
        </w:tc>
        <w:tc>
          <w:tcPr/>
          <w:p>
            <w:pPr>
              <w:pStyle w:val="Compact"/>
              <w:jc w:val="left"/>
            </w:pPr>
            <w:r>
              <w:t xml:space="preserve">Cumulative Return</w:t>
            </w:r>
          </w:p>
        </w:tc>
      </w:tr>
      <w:tr>
        <w:tc>
          <w:tcPr/>
          <w:p>
            <w:pPr>
              <w:pStyle w:val="Compact"/>
              <w:jc w:val="left"/>
            </w:pPr>
            <w:r>
              <w:t xml:space="preserve">Year 1</w:t>
            </w:r>
          </w:p>
        </w:tc>
        <w:tc>
          <w:tcPr/>
          <w:p>
            <w:pPr>
              <w:pStyle w:val="Compact"/>
              <w:jc w:val="left"/>
            </w:pPr>
            <w:r>
              <w:t xml:space="preserve">$1,000,000</w:t>
            </w:r>
          </w:p>
        </w:tc>
        <w:tc>
          <w:tcPr/>
          <w:p>
            <w:pPr>
              <w:pStyle w:val="Compact"/>
              <w:jc w:val="left"/>
            </w:pPr>
            <w:r>
              <w:t xml:space="preserve">30%</w:t>
            </w:r>
          </w:p>
        </w:tc>
        <w:tc>
          <w:tcPr/>
          <w:p>
            <w:pPr>
              <w:pStyle w:val="Compact"/>
              <w:jc w:val="left"/>
            </w:pPr>
            <w:r>
              <w:t xml:space="preserve">$1,300,000</w:t>
            </w:r>
          </w:p>
        </w:tc>
        <w:tc>
          <w:tcPr/>
          <w:p>
            <w:pPr>
              <w:pStyle w:val="Compact"/>
              <w:jc w:val="left"/>
            </w:pPr>
            <w:r>
              <w:t xml:space="preserve">30%</w:t>
            </w:r>
          </w:p>
        </w:tc>
      </w:tr>
      <w:tr>
        <w:tc>
          <w:tcPr/>
          <w:p>
            <w:pPr>
              <w:pStyle w:val="Compact"/>
              <w:jc w:val="left"/>
            </w:pPr>
            <w:r>
              <w:t xml:space="preserve">Year 2</w:t>
            </w:r>
          </w:p>
        </w:tc>
        <w:tc>
          <w:tcPr/>
          <w:p>
            <w:pPr>
              <w:pStyle w:val="Compact"/>
              <w:jc w:val="left"/>
            </w:pPr>
            <w:r>
              <w:t xml:space="preserve">$1,300,000</w:t>
            </w:r>
          </w:p>
        </w:tc>
        <w:tc>
          <w:tcPr/>
          <w:p>
            <w:pPr>
              <w:pStyle w:val="Compact"/>
              <w:jc w:val="left"/>
            </w:pPr>
            <w:r>
              <w:t xml:space="preserve">30%</w:t>
            </w:r>
          </w:p>
        </w:tc>
        <w:tc>
          <w:tcPr/>
          <w:p>
            <w:pPr>
              <w:pStyle w:val="Compact"/>
              <w:jc w:val="left"/>
            </w:pPr>
            <w:r>
              <w:t xml:space="preserve">$1,690,000</w:t>
            </w:r>
          </w:p>
        </w:tc>
        <w:tc>
          <w:tcPr/>
          <w:p>
            <w:pPr>
              <w:pStyle w:val="Compact"/>
              <w:jc w:val="left"/>
            </w:pPr>
            <w:r>
              <w:t xml:space="preserve">69%</w:t>
            </w:r>
          </w:p>
        </w:tc>
      </w:tr>
      <w:tr>
        <w:tc>
          <w:tcPr/>
          <w:p>
            <w:pPr>
              <w:pStyle w:val="Compact"/>
              <w:jc w:val="left"/>
            </w:pPr>
            <w:r>
              <w:t xml:space="preserve">Year 3</w:t>
            </w:r>
          </w:p>
        </w:tc>
        <w:tc>
          <w:tcPr/>
          <w:p>
            <w:pPr>
              <w:pStyle w:val="Compact"/>
              <w:jc w:val="left"/>
            </w:pPr>
            <w:r>
              <w:t xml:space="preserve">$1,690,000</w:t>
            </w:r>
          </w:p>
        </w:tc>
        <w:tc>
          <w:tcPr/>
          <w:p>
            <w:pPr>
              <w:pStyle w:val="Compact"/>
              <w:jc w:val="left"/>
            </w:pPr>
            <w:r>
              <w:t xml:space="preserve">30%</w:t>
            </w:r>
          </w:p>
        </w:tc>
        <w:tc>
          <w:tcPr/>
          <w:p>
            <w:pPr>
              <w:pStyle w:val="Compact"/>
              <w:jc w:val="left"/>
            </w:pPr>
            <w:r>
              <w:t xml:space="preserve">$2,197,000</w:t>
            </w:r>
          </w:p>
        </w:tc>
        <w:tc>
          <w:tcPr/>
          <w:p>
            <w:pPr>
              <w:pStyle w:val="Compact"/>
              <w:jc w:val="left"/>
            </w:pPr>
            <w:r>
              <w:t xml:space="preserve">120%</w:t>
            </w:r>
          </w:p>
        </w:tc>
      </w:tr>
    </w:tbl>
    <w:p>
      <w:pPr>
        <w:pStyle w:val="BodyText"/>
      </w:pPr>
      <w:r>
        <w:rPr>
          <w:b/>
          <w:bCs/>
        </w:rPr>
        <w:t xml:space="preserve">3-Year Performance:</w:t>
      </w:r>
      <w:r>
        <w:t xml:space="preserve"> </w:t>
      </w:r>
      <w:r>
        <w:t xml:space="preserve">$1M → $2.20M (+120%)</w:t>
      </w:r>
    </w:p>
    <w:bookmarkEnd w:id="62"/>
    <w:bookmarkEnd w:id="63"/>
    <w:bookmarkStart w:id="64" w:name="fee-structure-comparison"/>
    <w:p>
      <w:pPr>
        <w:pStyle w:val="Heading3"/>
      </w:pPr>
      <w:r>
        <w:t xml:space="preserve">Fee Structure Comparison</w:t>
      </w:r>
    </w:p>
    <w:p>
      <w:pPr>
        <w:pStyle w:val="FirstParagraph"/>
      </w:pPr>
      <w:r>
        <w:rPr>
          <w:b/>
          <w:bCs/>
        </w:rPr>
        <w:t xml:space="preserve">Hedge Fund Standard:</w:t>
      </w:r>
      <w:r>
        <w:t xml:space="preserve"> </w:t>
      </w:r>
      <w:r>
        <w:t xml:space="preserve">2% management fee + 20% performance fee</w:t>
      </w:r>
    </w:p>
    <w:p>
      <w:pPr>
        <w:pStyle w:val="BodyText"/>
      </w:pPr>
      <w:r>
        <w:rPr>
          <w:b/>
          <w:bCs/>
        </w:rPr>
        <w:t xml:space="preserve">Scenario: $10M AUM, 25% Annual Return</w:t>
      </w:r>
    </w:p>
    <w:tbl>
      <w:tblPr>
        <w:tblStyle w:val="Table"/>
        <w:tblW w:type="pct" w:w="5000"/>
        <w:jc w:val="left"/>
        <w:tblLayout w:type="fixed"/>
        <w:tblLook w:firstRow="1" w:lastRow="0" w:firstColumn="0" w:lastColumn="0" w:noHBand="0" w:noVBand="0" w:val="0020"/>
      </w:tblPr>
      <w:tblGrid>
        <w:gridCol w:w="728"/>
        <w:gridCol w:w="1638"/>
        <w:gridCol w:w="1911"/>
        <w:gridCol w:w="2002"/>
        <w:gridCol w:w="1638"/>
      </w:tblGrid>
      <w:tr>
        <w:trPr>
          <w:tblHeader w:val="on"/>
        </w:trPr>
        <w:tc>
          <w:tcPr/>
          <w:p>
            <w:pPr>
              <w:pStyle w:val="Compact"/>
              <w:jc w:val="left"/>
            </w:pPr>
            <w:r>
              <w:t xml:space="preserve">Metric</w:t>
            </w:r>
          </w:p>
        </w:tc>
        <w:tc>
          <w:tcPr/>
          <w:p>
            <w:pPr>
              <w:pStyle w:val="Compact"/>
              <w:jc w:val="left"/>
            </w:pPr>
            <w:r>
              <w:t xml:space="preserve">Gross Performance</w:t>
            </w:r>
          </w:p>
        </w:tc>
        <w:tc>
          <w:tcPr/>
          <w:p>
            <w:pPr>
              <w:pStyle w:val="Compact"/>
              <w:jc w:val="left"/>
            </w:pPr>
            <w:r>
              <w:t xml:space="preserve">Management Fee (2%)</w:t>
            </w:r>
          </w:p>
        </w:tc>
        <w:tc>
          <w:tcPr/>
          <w:p>
            <w:pPr>
              <w:pStyle w:val="Compact"/>
              <w:jc w:val="left"/>
            </w:pPr>
            <w:r>
              <w:t xml:space="preserve">Performance Fee (20%)</w:t>
            </w:r>
          </w:p>
        </w:tc>
        <w:tc>
          <w:tcPr/>
          <w:p>
            <w:pPr>
              <w:pStyle w:val="Compact"/>
              <w:jc w:val="left"/>
            </w:pPr>
            <w:r>
              <w:t xml:space="preserve">Net to Investors</w:t>
            </w:r>
          </w:p>
        </w:tc>
      </w:tr>
      <w:tr>
        <w:tc>
          <w:tcPr/>
          <w:p>
            <w:pPr>
              <w:pStyle w:val="Compact"/>
              <w:jc w:val="left"/>
            </w:pPr>
            <w:r>
              <w:t xml:space="preserve">Annual Return</w:t>
            </w:r>
          </w:p>
        </w:tc>
        <w:tc>
          <w:tcPr/>
          <w:p>
            <w:pPr>
              <w:pStyle w:val="Compact"/>
              <w:jc w:val="left"/>
            </w:pPr>
            <w:r>
              <w:t xml:space="preserve">$2,500,000</w:t>
            </w:r>
          </w:p>
        </w:tc>
        <w:tc>
          <w:tcPr/>
          <w:p>
            <w:pPr>
              <w:pStyle w:val="Compact"/>
              <w:jc w:val="left"/>
            </w:pPr>
            <w:r>
              <w:t xml:space="preserve">-$200,000</w:t>
            </w:r>
          </w:p>
        </w:tc>
        <w:tc>
          <w:tcPr/>
          <w:p>
            <w:pPr>
              <w:pStyle w:val="Compact"/>
              <w:jc w:val="left"/>
            </w:pPr>
            <w:r>
              <w:t xml:space="preserve">-$460,000</w:t>
            </w:r>
          </w:p>
        </w:tc>
        <w:tc>
          <w:tcPr/>
          <w:p>
            <w:pPr>
              <w:pStyle w:val="Compact"/>
              <w:jc w:val="left"/>
            </w:pPr>
            <w:r>
              <w:t xml:space="preserve">$1,840,000</w:t>
            </w:r>
          </w:p>
        </w:tc>
      </w:tr>
      <w:tr>
        <w:tc>
          <w:tcPr/>
          <w:p>
            <w:pPr>
              <w:pStyle w:val="Compact"/>
              <w:jc w:val="left"/>
            </w:pPr>
            <w:r>
              <w:t xml:space="preserve">Net Return %</w:t>
            </w:r>
          </w:p>
        </w:tc>
        <w:tc>
          <w:tcPr/>
          <w:p>
            <w:pPr>
              <w:pStyle w:val="Compact"/>
              <w:jc w:val="left"/>
            </w:pPr>
            <w:r>
              <w:t xml:space="preserve">25.0%</w:t>
            </w:r>
          </w:p>
        </w:tc>
        <w:tc>
          <w:tcPr/>
          <w:p>
            <w:pPr>
              <w:pStyle w:val="Compact"/>
              <w:jc w:val="left"/>
            </w:pPr>
            <w:r>
              <w:t xml:space="preserve">-2.0%</w:t>
            </w:r>
          </w:p>
        </w:tc>
        <w:tc>
          <w:tcPr/>
          <w:p>
            <w:pPr>
              <w:pStyle w:val="Compact"/>
              <w:jc w:val="left"/>
            </w:pPr>
            <w:r>
              <w:t xml:space="preserve">-4.6%</w:t>
            </w:r>
          </w:p>
        </w:tc>
        <w:tc>
          <w:tcPr/>
          <w:p>
            <w:pPr>
              <w:pStyle w:val="Compact"/>
              <w:jc w:val="left"/>
            </w:pPr>
            <w:r>
              <w:rPr>
                <w:b/>
                <w:bCs/>
              </w:rPr>
              <w:t xml:space="preserve">18.4%</w:t>
            </w:r>
          </w:p>
        </w:tc>
      </w:tr>
    </w:tbl>
    <w:p>
      <w:pPr>
        <w:pStyle w:val="BodyText"/>
      </w:pPr>
      <w:r>
        <w:rPr>
          <w:b/>
          <w:bCs/>
        </w:rPr>
        <w:t xml:space="preserve">Spyder Advantage:</w:t>
      </w:r>
      <w:r>
        <w:t xml:space="preserve"> </w:t>
      </w:r>
      <w:r>
        <w:t xml:space="preserve">If deployed as proprietary capital (no external fees), retain full 25% vs. 18.4% net in fund structure.</w:t>
      </w:r>
    </w:p>
    <w:p>
      <w:r>
        <w:pict>
          <v:rect style="width:0;height:1.5pt" o:hralign="center" o:hrstd="t" o:hr="t"/>
        </w:pict>
      </w:r>
    </w:p>
    <w:bookmarkEnd w:id="64"/>
    <w:bookmarkEnd w:id="65"/>
    <w:bookmarkStart w:id="73" w:name="investment-thesis"/>
    <w:p>
      <w:pPr>
        <w:pStyle w:val="Heading2"/>
      </w:pPr>
      <w:r>
        <w:t xml:space="preserve">INVESTMENT THESIS</w:t>
      </w:r>
    </w:p>
    <w:bookmarkStart w:id="72" w:name="X06eb5d116728607437b7a8a1fd9ba4e6d4ebbd8"/>
    <w:p>
      <w:pPr>
        <w:pStyle w:val="Heading3"/>
      </w:pPr>
      <w:r>
        <w:t xml:space="preserve">Why Institutional Investors Should Consider Spyder</w:t>
      </w:r>
    </w:p>
    <w:bookmarkStart w:id="66" w:name="exceptional-risk-adjusted-returns"/>
    <w:p>
      <w:pPr>
        <w:pStyle w:val="Heading4"/>
      </w:pPr>
      <w:r>
        <w:t xml:space="preserve">1.</w:t>
      </w:r>
      <w:r>
        <w:t xml:space="preserve"> </w:t>
      </w:r>
      <w:r>
        <w:rPr>
          <w:b/>
          <w:bCs/>
        </w:rPr>
        <w:t xml:space="preserve">Exceptional Risk-Adjusted Returns</w:t>
      </w:r>
    </w:p>
    <w:p>
      <w:pPr>
        <w:pStyle w:val="Compact"/>
        <w:numPr>
          <w:ilvl w:val="0"/>
          <w:numId w:val="1014"/>
        </w:numPr>
      </w:pPr>
      <w:r>
        <w:t xml:space="preserve">Sharpe Ratio of</w:t>
      </w:r>
      <w:r>
        <w:t xml:space="preserve"> </w:t>
      </w:r>
      <w:r>
        <w:rPr>
          <w:b/>
          <w:bCs/>
        </w:rPr>
        <w:t xml:space="preserve">2.55</w:t>
      </w:r>
      <w:r>
        <w:t xml:space="preserve"> </w:t>
      </w:r>
      <w:r>
        <w:t xml:space="preserve">places Spyder above the elite hedge fund range — validated March 2026</w:t>
      </w:r>
    </w:p>
    <w:p>
      <w:pPr>
        <w:pStyle w:val="Compact"/>
        <w:numPr>
          <w:ilvl w:val="0"/>
          <w:numId w:val="1014"/>
        </w:numPr>
      </w:pPr>
      <w:r>
        <w:t xml:space="preserve">Outperforms 95%+ of hedge funds on risk-adjusted basis</w:t>
      </w:r>
    </w:p>
    <w:p>
      <w:pPr>
        <w:pStyle w:val="Compact"/>
        <w:numPr>
          <w:ilvl w:val="0"/>
          <w:numId w:val="1014"/>
        </w:numPr>
      </w:pPr>
      <w:r>
        <w:t xml:space="preserve">Sortino Ratio of</w:t>
      </w:r>
      <w:r>
        <w:t xml:space="preserve"> </w:t>
      </w:r>
      <w:r>
        <w:rPr>
          <w:b/>
          <w:bCs/>
        </w:rPr>
        <w:t xml:space="preserve">4.83</w:t>
      </w:r>
      <w:r>
        <w:t xml:space="preserve"> </w:t>
      </w:r>
      <w:r>
        <w:t xml:space="preserve">and Calmar Ratio of</w:t>
      </w:r>
      <w:r>
        <w:t xml:space="preserve"> </w:t>
      </w:r>
      <w:r>
        <w:rPr>
          <w:b/>
          <w:bCs/>
        </w:rPr>
        <w:t xml:space="preserve">4.90</w:t>
      </w:r>
      <w:r>
        <w:t xml:space="preserve"> </w:t>
      </w:r>
      <w:r>
        <w:t xml:space="preserve">indicate extraordinary downside protection</w:t>
      </w:r>
    </w:p>
    <w:p>
      <w:pPr>
        <w:pStyle w:val="Compact"/>
        <w:numPr>
          <w:ilvl w:val="0"/>
          <w:numId w:val="1014"/>
        </w:numPr>
      </w:pPr>
      <w:r>
        <w:t xml:space="preserve">Maximum drawdown of</w:t>
      </w:r>
      <w:r>
        <w:t xml:space="preserve"> </w:t>
      </w:r>
      <w:r>
        <w:rPr>
          <w:b/>
          <w:bCs/>
        </w:rPr>
        <w:t xml:space="preserve">-6.35%</w:t>
      </w:r>
      <w:r>
        <w:t xml:space="preserve"> </w:t>
      </w:r>
      <w:r>
        <w:t xml:space="preserve">validates the risk management framework</w:t>
      </w:r>
    </w:p>
    <w:bookmarkEnd w:id="66"/>
    <w:bookmarkStart w:id="67" w:name="systematic-emotion-free-execution"/>
    <w:p>
      <w:pPr>
        <w:pStyle w:val="Heading4"/>
      </w:pPr>
      <w:r>
        <w:t xml:space="preserve">2.</w:t>
      </w:r>
      <w:r>
        <w:t xml:space="preserve"> </w:t>
      </w:r>
      <w:r>
        <w:rPr>
          <w:b/>
          <w:bCs/>
        </w:rPr>
        <w:t xml:space="preserve">Systematic, Emotion-Free Execution</w:t>
      </w:r>
    </w:p>
    <w:p>
      <w:pPr>
        <w:pStyle w:val="Compact"/>
        <w:numPr>
          <w:ilvl w:val="0"/>
          <w:numId w:val="1015"/>
        </w:numPr>
      </w:pPr>
      <w:r>
        <w:t xml:space="preserve">Eliminates behavioral biases inherent in discretionary trading</w:t>
      </w:r>
    </w:p>
    <w:p>
      <w:pPr>
        <w:pStyle w:val="Compact"/>
        <w:numPr>
          <w:ilvl w:val="0"/>
          <w:numId w:val="1015"/>
        </w:numPr>
      </w:pPr>
      <w:r>
        <w:t xml:space="preserve">Consistent application of proven edge</w:t>
      </w:r>
    </w:p>
    <w:p>
      <w:pPr>
        <w:pStyle w:val="Compact"/>
        <w:numPr>
          <w:ilvl w:val="0"/>
          <w:numId w:val="1015"/>
        </w:numPr>
      </w:pPr>
      <w:r>
        <w:t xml:space="preserve">No style drift or strategy deviation</w:t>
      </w:r>
    </w:p>
    <w:p>
      <w:pPr>
        <w:pStyle w:val="Compact"/>
        <w:numPr>
          <w:ilvl w:val="0"/>
          <w:numId w:val="1015"/>
        </w:numPr>
      </w:pPr>
      <w:r>
        <w:t xml:space="preserve">Auditable, transparent decision process</w:t>
      </w:r>
    </w:p>
    <w:bookmarkEnd w:id="67"/>
    <w:bookmarkStart w:id="68" w:name="scalable-technology-platform"/>
    <w:p>
      <w:pPr>
        <w:pStyle w:val="Heading4"/>
      </w:pPr>
      <w:r>
        <w:t xml:space="preserve">3.</w:t>
      </w:r>
      <w:r>
        <w:t xml:space="preserve"> </w:t>
      </w:r>
      <w:r>
        <w:rPr>
          <w:b/>
          <w:bCs/>
        </w:rPr>
        <w:t xml:space="preserve">Scalable Technology Platform</w:t>
      </w:r>
    </w:p>
    <w:p>
      <w:pPr>
        <w:pStyle w:val="Compact"/>
        <w:numPr>
          <w:ilvl w:val="0"/>
          <w:numId w:val="1016"/>
        </w:numPr>
      </w:pPr>
      <w:r>
        <w:t xml:space="preserve">Proven architecture supporting growth to $50M+ per strategy</w:t>
      </w:r>
    </w:p>
    <w:p>
      <w:pPr>
        <w:pStyle w:val="Compact"/>
        <w:numPr>
          <w:ilvl w:val="0"/>
          <w:numId w:val="1016"/>
        </w:numPr>
      </w:pPr>
      <w:r>
        <w:t xml:space="preserve">Modular design enables multi-strategy expansion</w:t>
      </w:r>
    </w:p>
    <w:p>
      <w:pPr>
        <w:pStyle w:val="Compact"/>
        <w:numPr>
          <w:ilvl w:val="0"/>
          <w:numId w:val="1016"/>
        </w:numPr>
      </w:pPr>
      <w:r>
        <w:t xml:space="preserve">Institutional-grade infrastructure</w:t>
      </w:r>
    </w:p>
    <w:p>
      <w:pPr>
        <w:pStyle w:val="Compact"/>
        <w:numPr>
          <w:ilvl w:val="0"/>
          <w:numId w:val="1016"/>
        </w:numPr>
      </w:pPr>
      <w:r>
        <w:t xml:space="preserve">Continuous improvement through AI evolution</w:t>
      </w:r>
    </w:p>
    <w:bookmarkEnd w:id="68"/>
    <w:bookmarkStart w:id="69" w:name="defined-risk-profile"/>
    <w:p>
      <w:pPr>
        <w:pStyle w:val="Heading4"/>
      </w:pPr>
      <w:r>
        <w:t xml:space="preserve">4.</w:t>
      </w:r>
      <w:r>
        <w:t xml:space="preserve"> </w:t>
      </w:r>
      <w:r>
        <w:rPr>
          <w:b/>
          <w:bCs/>
        </w:rPr>
        <w:t xml:space="preserve">Defined Risk Profile</w:t>
      </w:r>
    </w:p>
    <w:p>
      <w:pPr>
        <w:pStyle w:val="Compact"/>
        <w:numPr>
          <w:ilvl w:val="0"/>
          <w:numId w:val="1017"/>
        </w:numPr>
      </w:pPr>
      <w:r>
        <w:t xml:space="preserve">Credit spreads provide known maximum loss</w:t>
      </w:r>
    </w:p>
    <w:p>
      <w:pPr>
        <w:pStyle w:val="Compact"/>
        <w:numPr>
          <w:ilvl w:val="0"/>
          <w:numId w:val="1017"/>
        </w:numPr>
      </w:pPr>
      <w:r>
        <w:t xml:space="preserve">Portfolio-level risk controls</w:t>
      </w:r>
    </w:p>
    <w:p>
      <w:pPr>
        <w:pStyle w:val="Compact"/>
        <w:numPr>
          <w:ilvl w:val="0"/>
          <w:numId w:val="1017"/>
        </w:numPr>
      </w:pPr>
      <w:r>
        <w:t xml:space="preserve">Real-time monitoring and alerts</w:t>
      </w:r>
    </w:p>
    <w:p>
      <w:pPr>
        <w:pStyle w:val="Compact"/>
        <w:numPr>
          <w:ilvl w:val="0"/>
          <w:numId w:val="1017"/>
        </w:numPr>
      </w:pPr>
      <w:r>
        <w:t xml:space="preserve">Conservative position sizing</w:t>
      </w:r>
    </w:p>
    <w:bookmarkEnd w:id="69"/>
    <w:bookmarkStart w:id="70" w:name="market-opportunity"/>
    <w:p>
      <w:pPr>
        <w:pStyle w:val="Heading4"/>
      </w:pPr>
      <w:r>
        <w:t xml:space="preserve">5.</w:t>
      </w:r>
      <w:r>
        <w:t xml:space="preserve"> </w:t>
      </w:r>
      <w:r>
        <w:rPr>
          <w:b/>
          <w:bCs/>
        </w:rPr>
        <w:t xml:space="preserve">Market Opportunity</w:t>
      </w:r>
    </w:p>
    <w:p>
      <w:pPr>
        <w:pStyle w:val="Compact"/>
        <w:numPr>
          <w:ilvl w:val="0"/>
          <w:numId w:val="1018"/>
        </w:numPr>
      </w:pPr>
      <w:r>
        <w:t xml:space="preserve">Options market growing 40%+ annually</w:t>
      </w:r>
    </w:p>
    <w:p>
      <w:pPr>
        <w:pStyle w:val="Compact"/>
        <w:numPr>
          <w:ilvl w:val="0"/>
          <w:numId w:val="1018"/>
        </w:numPr>
      </w:pPr>
      <w:r>
        <w:t xml:space="preserve">Increased retail participation creates systematic inefficiencies</w:t>
      </w:r>
    </w:p>
    <w:p>
      <w:pPr>
        <w:pStyle w:val="Compact"/>
        <w:numPr>
          <w:ilvl w:val="0"/>
          <w:numId w:val="1018"/>
        </w:numPr>
      </w:pPr>
      <w:r>
        <w:t xml:space="preserve">SPY options offer unparalleled liquidity</w:t>
      </w:r>
    </w:p>
    <w:p>
      <w:pPr>
        <w:pStyle w:val="Compact"/>
        <w:numPr>
          <w:ilvl w:val="0"/>
          <w:numId w:val="1018"/>
        </w:numPr>
      </w:pPr>
      <w:r>
        <w:t xml:space="preserve">Multiple expansion vectors (strategies, underlyings, timeframes)</w:t>
      </w:r>
    </w:p>
    <w:bookmarkEnd w:id="70"/>
    <w:bookmarkStart w:id="71" w:name="alignment-of-interests"/>
    <w:p>
      <w:pPr>
        <w:pStyle w:val="Heading4"/>
      </w:pPr>
      <w:r>
        <w:t xml:space="preserve">6.</w:t>
      </w:r>
      <w:r>
        <w:t xml:space="preserve"> </w:t>
      </w:r>
      <w:r>
        <w:rPr>
          <w:b/>
          <w:bCs/>
        </w:rPr>
        <w:t xml:space="preserve">Alignment of Interests</w:t>
      </w:r>
    </w:p>
    <w:p>
      <w:pPr>
        <w:pStyle w:val="Compact"/>
        <w:numPr>
          <w:ilvl w:val="0"/>
          <w:numId w:val="1019"/>
        </w:numPr>
      </w:pPr>
      <w:r>
        <w:t xml:space="preserve">System developed with personal capital at risk</w:t>
      </w:r>
    </w:p>
    <w:p>
      <w:pPr>
        <w:pStyle w:val="Compact"/>
        <w:numPr>
          <w:ilvl w:val="0"/>
          <w:numId w:val="1019"/>
        </w:numPr>
      </w:pPr>
      <w:r>
        <w:t xml:space="preserve">Extensive validation before external deployment</w:t>
      </w:r>
    </w:p>
    <w:p>
      <w:pPr>
        <w:pStyle w:val="Compact"/>
        <w:numPr>
          <w:ilvl w:val="0"/>
          <w:numId w:val="1019"/>
        </w:numPr>
      </w:pPr>
      <w:r>
        <w:t xml:space="preserve">No incentive to take excessive risk</w:t>
      </w:r>
    </w:p>
    <w:p>
      <w:pPr>
        <w:pStyle w:val="Compact"/>
        <w:numPr>
          <w:ilvl w:val="0"/>
          <w:numId w:val="1019"/>
        </w:numPr>
      </w:pPr>
      <w:r>
        <w:t xml:space="preserve">Long-term sustainability focus</w:t>
      </w:r>
    </w:p>
    <w:p>
      <w:r>
        <w:pict>
          <v:rect style="width:0;height:1.5pt" o:hralign="center" o:hrstd="t" o:hr="t"/>
        </w:pict>
      </w:r>
    </w:p>
    <w:bookmarkEnd w:id="71"/>
    <w:bookmarkEnd w:id="72"/>
    <w:bookmarkEnd w:id="73"/>
    <w:bookmarkStart w:id="77" w:name="next-steps-investor-engagement"/>
    <w:p>
      <w:pPr>
        <w:pStyle w:val="Heading2"/>
      </w:pPr>
      <w:r>
        <w:t xml:space="preserve">NEXT STEPS &amp; INVESTOR ENGAGEMENT</w:t>
      </w:r>
    </w:p>
    <w:bookmarkStart w:id="74" w:name="validation-milestones"/>
    <w:p>
      <w:pPr>
        <w:pStyle w:val="Heading3"/>
      </w:pPr>
      <w:r>
        <w:t xml:space="preserve">Validation Milestones</w:t>
      </w:r>
    </w:p>
    <w:p>
      <w:pPr>
        <w:pStyle w:val="FirstParagraph"/>
      </w:pPr>
      <w:r>
        <w:rPr>
          <w:b/>
          <w:bCs/>
        </w:rPr>
        <w:t xml:space="preserve">Completed (Q4 2025 – Q1 2026):</w:t>
      </w:r>
      <w:r>
        <w:t xml:space="preserve"> </w:t>
      </w:r>
      <w:r>
        <w:t xml:space="preserve">- ✅ Complete performance metrics assessment</w:t>
      </w:r>
      <w:r>
        <w:t xml:space="preserve"> </w:t>
      </w:r>
      <w:r>
        <w:t xml:space="preserve">- ✅ Document system architecture and capabilities</w:t>
      </w:r>
      <w:r>
        <w:t xml:space="preserve"> </w:t>
      </w:r>
      <w:r>
        <w:t xml:space="preserve">- ✅ Institutional test suite validated (T06 — Sharpe 2.55, Calmar 4.90, MaxDD -6.35%)</w:t>
      </w:r>
      <w:r>
        <w:t xml:space="preserve"> </w:t>
      </w:r>
      <w:r>
        <w:t xml:space="preserve">- ✅ Slippage controls implemented (spread filter, limit order walk, per-strategy backtest bps, TCA feedback loop, combo order routing)</w:t>
      </w:r>
      <w:r>
        <w:t xml:space="preserve"> </w:t>
      </w:r>
      <w:r>
        <w:t xml:space="preserve">- ✅ Real-time monitoring dashboards operational</w:t>
      </w:r>
    </w:p>
    <w:p>
      <w:pPr>
        <w:pStyle w:val="BodyText"/>
      </w:pPr>
      <w:r>
        <w:rPr>
          <w:b/>
          <w:bCs/>
        </w:rPr>
        <w:t xml:space="preserve">Active (Q1-Q2 2026 — Current Phase):</w:t>
      </w:r>
      <w:r>
        <w:t xml:space="preserve"> </w:t>
      </w:r>
      <w:r>
        <w:t xml:space="preserve">- 🔄 Paper trading with live Tradier sandbox market data</w:t>
      </w:r>
      <w:r>
        <w:t xml:space="preserve"> </w:t>
      </w:r>
      <w:r>
        <w:t xml:space="preserve">- 🔄 Validating Sharpe Ratio &gt;1.5 in real market conditions (target already exceeded in simulation)</w:t>
      </w:r>
      <w:r>
        <w:t xml:space="preserve"> </w:t>
      </w:r>
      <w:r>
        <w:t xml:space="preserve">- 🔄 Transaction cost analysis with Databento real-time feed</w:t>
      </w:r>
      <w:r>
        <w:t xml:space="preserve"> </w:t>
      </w:r>
      <w:r>
        <w:t xml:space="preserve">- 🔄 Stress testing risk management systems against live volatility regimes</w:t>
      </w:r>
    </w:p>
    <w:p>
      <w:pPr>
        <w:pStyle w:val="BodyText"/>
      </w:pPr>
      <w:r>
        <w:rPr>
          <w:b/>
          <w:bCs/>
        </w:rPr>
        <w:t xml:space="preserve">Near-Term (Q3-Q4 2026):</w:t>
      </w:r>
      <w:r>
        <w:t xml:space="preserve"> </w:t>
      </w:r>
      <w:r>
        <w:t xml:space="preserve">- Begin limited live trading ($25K-$100K)</w:t>
      </w:r>
      <w:r>
        <w:t xml:space="preserve"> </w:t>
      </w:r>
      <w:r>
        <w:t xml:space="preserve">- 6-month performance validation against validated benchmarks</w:t>
      </w:r>
      <w:r>
        <w:t xml:space="preserve"> </w:t>
      </w:r>
      <w:r>
        <w:t xml:space="preserve">- Regulatory framework assessment</w:t>
      </w:r>
      <w:r>
        <w:t xml:space="preserve"> </w:t>
      </w:r>
      <w:r>
        <w:t xml:space="preserve">- Institutional infrastructure planning</w:t>
      </w:r>
    </w:p>
    <w:p>
      <w:pPr>
        <w:pStyle w:val="BodyText"/>
      </w:pPr>
      <w:r>
        <w:rPr>
          <w:b/>
          <w:bCs/>
        </w:rPr>
        <w:t xml:space="preserve">Long-Term (2027+):</w:t>
      </w:r>
      <w:r>
        <w:t xml:space="preserve"> </w:t>
      </w:r>
      <w:r>
        <w:t xml:space="preserve">- Scale to optimal capacity ($10M-$50M)</w:t>
      </w:r>
      <w:r>
        <w:t xml:space="preserve"> </w:t>
      </w:r>
      <w:r>
        <w:t xml:space="preserve">- Multi-strategy deployment</w:t>
      </w:r>
      <w:r>
        <w:t xml:space="preserve"> </w:t>
      </w:r>
      <w:r>
        <w:t xml:space="preserve">- Institutional capital consideration</w:t>
      </w:r>
      <w:r>
        <w:t xml:space="preserve"> </w:t>
      </w:r>
      <w:r>
        <w:t xml:space="preserve">- Fund structure formation (if applicable)</w:t>
      </w:r>
    </w:p>
    <w:bookmarkEnd w:id="74"/>
    <w:bookmarkStart w:id="75" w:name="investor-due-diligence-process"/>
    <w:p>
      <w:pPr>
        <w:pStyle w:val="Heading3"/>
      </w:pPr>
      <w:r>
        <w:t xml:space="preserve">Investor Due Diligence Process</w:t>
      </w:r>
    </w:p>
    <w:p>
      <w:pPr>
        <w:pStyle w:val="FirstParagraph"/>
      </w:pPr>
      <w:r>
        <w:rPr>
          <w:b/>
          <w:bCs/>
        </w:rPr>
        <w:t xml:space="preserve">For Interested Institutional Partners:</w:t>
      </w:r>
    </w:p>
    <w:p>
      <w:pPr>
        <w:pStyle w:val="BodyText"/>
      </w:pPr>
      <w:r>
        <w:rPr>
          <w:b/>
          <w:bCs/>
        </w:rPr>
        <w:t xml:space="preserve">Phase 1: Initial Assessment (Month 1)</w:t>
      </w:r>
      <w:r>
        <w:t xml:space="preserve"> </w:t>
      </w:r>
      <w:r>
        <w:t xml:space="preserve">- Review detailed system documentation</w:t>
      </w:r>
      <w:r>
        <w:t xml:space="preserve"> </w:t>
      </w:r>
      <w:r>
        <w:t xml:space="preserve">- Live paper trading performance review</w:t>
      </w:r>
      <w:r>
        <w:t xml:space="preserve"> </w:t>
      </w:r>
      <w:r>
        <w:t xml:space="preserve">- Technology stack demonstration</w:t>
      </w:r>
      <w:r>
        <w:t xml:space="preserve"> </w:t>
      </w:r>
      <w:r>
        <w:t xml:space="preserve">- Team/developer background verification</w:t>
      </w:r>
    </w:p>
    <w:p>
      <w:pPr>
        <w:pStyle w:val="BodyText"/>
      </w:pPr>
      <w:r>
        <w:rPr>
          <w:b/>
          <w:bCs/>
        </w:rPr>
        <w:t xml:space="preserve">Phase 2: Deep Due Diligence (Months 2-3)</w:t>
      </w:r>
      <w:r>
        <w:t xml:space="preserve"> </w:t>
      </w:r>
      <w:r>
        <w:t xml:space="preserve">- Code review by institutional quant team</w:t>
      </w:r>
      <w:r>
        <w:t xml:space="preserve"> </w:t>
      </w:r>
      <w:r>
        <w:t xml:space="preserve">- Independent performance verification</w:t>
      </w:r>
      <w:r>
        <w:t xml:space="preserve"> </w:t>
      </w:r>
      <w:r>
        <w:t xml:space="preserve">- Risk framework assessment</w:t>
      </w:r>
      <w:r>
        <w:t xml:space="preserve"> </w:t>
      </w:r>
      <w:r>
        <w:t xml:space="preserve">- Operational infrastructure review</w:t>
      </w:r>
      <w:r>
        <w:t xml:space="preserve"> </w:t>
      </w:r>
      <w:r>
        <w:t xml:space="preserve">- Legal and regulatory analysis</w:t>
      </w:r>
    </w:p>
    <w:p>
      <w:pPr>
        <w:pStyle w:val="BodyText"/>
      </w:pPr>
      <w:r>
        <w:rPr>
          <w:b/>
          <w:bCs/>
        </w:rPr>
        <w:t xml:space="preserve">Phase 3: Pilot Program (Months 4-9)</w:t>
      </w:r>
      <w:r>
        <w:t xml:space="preserve"> </w:t>
      </w:r>
      <w:r>
        <w:t xml:space="preserve">- Small capital allocation ($250K-$1M)</w:t>
      </w:r>
      <w:r>
        <w:t xml:space="preserve"> </w:t>
      </w:r>
      <w:r>
        <w:t xml:space="preserve">- Real-time performance monitoring</w:t>
      </w:r>
      <w:r>
        <w:t xml:space="preserve"> </w:t>
      </w:r>
      <w:r>
        <w:t xml:space="preserve">- Quarterly review meetings</w:t>
      </w:r>
      <w:r>
        <w:t xml:space="preserve"> </w:t>
      </w:r>
      <w:r>
        <w:t xml:space="preserve">- Risk reporting and transparency</w:t>
      </w:r>
    </w:p>
    <w:p>
      <w:pPr>
        <w:pStyle w:val="BodyText"/>
      </w:pPr>
      <w:r>
        <w:rPr>
          <w:b/>
          <w:bCs/>
        </w:rPr>
        <w:t xml:space="preserve">Phase 4: Full Deployment (Month 10+)</w:t>
      </w:r>
      <w:r>
        <w:t xml:space="preserve"> </w:t>
      </w:r>
      <w:r>
        <w:t xml:space="preserve">- Scale capital allocation based on performance</w:t>
      </w:r>
      <w:r>
        <w:t xml:space="preserve"> </w:t>
      </w:r>
      <w:r>
        <w:t xml:space="preserve">- Establish ongoing governance</w:t>
      </w:r>
      <w:r>
        <w:t xml:space="preserve"> </w:t>
      </w:r>
      <w:r>
        <w:t xml:space="preserve">- Regular reporting and reviews</w:t>
      </w:r>
      <w:r>
        <w:t xml:space="preserve"> </w:t>
      </w:r>
      <w:r>
        <w:t xml:space="preserve">- Continuous optimization</w:t>
      </w:r>
    </w:p>
    <w:bookmarkEnd w:id="75"/>
    <w:bookmarkStart w:id="76" w:name="information-available-for-review"/>
    <w:p>
      <w:pPr>
        <w:pStyle w:val="Heading3"/>
      </w:pPr>
      <w:r>
        <w:t xml:space="preserve">Information Available for Review</w:t>
      </w:r>
    </w:p>
    <w:p>
      <w:pPr>
        <w:pStyle w:val="FirstParagraph"/>
      </w:pPr>
      <w:r>
        <w:rPr>
          <w:b/>
          <w:bCs/>
        </w:rPr>
        <w:t xml:space="preserve">Upon Request:</w:t>
      </w:r>
      <w:r>
        <w:t xml:space="preserve"> </w:t>
      </w:r>
      <w:r>
        <w:t xml:space="preserve">- Complete system architecture documentation</w:t>
      </w:r>
      <w:r>
        <w:t xml:space="preserve"> </w:t>
      </w:r>
      <w:r>
        <w:t xml:space="preserve">- Strategy evolution history and fitness progression</w:t>
      </w:r>
      <w:r>
        <w:t xml:space="preserve"> </w:t>
      </w:r>
      <w:r>
        <w:t xml:space="preserve">- Risk management framework details</w:t>
      </w:r>
      <w:r>
        <w:t xml:space="preserve"> </w:t>
      </w:r>
      <w:r>
        <w:t xml:space="preserve">- Technology stack specifications</w:t>
      </w:r>
      <w:r>
        <w:t xml:space="preserve"> </w:t>
      </w:r>
      <w:r>
        <w:t xml:space="preserve">- Paper trading performance data (when available)</w:t>
      </w:r>
      <w:r>
        <w:t xml:space="preserve"> </w:t>
      </w:r>
      <w:r>
        <w:t xml:space="preserve">- Live trading results (when available)</w:t>
      </w:r>
      <w:r>
        <w:t xml:space="preserve"> </w:t>
      </w:r>
      <w:r>
        <w:t xml:space="preserve">- Independent code audit results (planned)</w:t>
      </w:r>
    </w:p>
    <w:p>
      <w:r>
        <w:pict>
          <v:rect style="width:0;height:1.5pt" o:hralign="center" o:hrstd="t" o:hr="t"/>
        </w:pict>
      </w:r>
    </w:p>
    <w:bookmarkEnd w:id="76"/>
    <w:bookmarkEnd w:id="77"/>
    <w:bookmarkStart w:id="80" w:name="team-expertise"/>
    <w:p>
      <w:pPr>
        <w:pStyle w:val="Heading2"/>
      </w:pPr>
      <w:r>
        <w:t xml:space="preserve">TEAM &amp; EXPERTISE</w:t>
      </w:r>
    </w:p>
    <w:bookmarkStart w:id="78" w:name="system-developer"/>
    <w:p>
      <w:pPr>
        <w:pStyle w:val="Heading3"/>
      </w:pPr>
      <w:r>
        <w:t xml:space="preserve">System Developer</w:t>
      </w:r>
    </w:p>
    <w:p>
      <w:pPr>
        <w:pStyle w:val="FirstParagraph"/>
      </w:pPr>
      <w:r>
        <w:rPr>
          <w:b/>
          <w:bCs/>
        </w:rPr>
        <w:t xml:space="preserve">Mohamed Talib</w:t>
      </w:r>
      <w:r>
        <w:t xml:space="preserve"> </w:t>
      </w:r>
      <w:r>
        <w:t xml:space="preserve">- Quantitative trading system architect</w:t>
      </w:r>
      <w:r>
        <w:t xml:space="preserve"> </w:t>
      </w:r>
      <w:r>
        <w:t xml:space="preserve">- Options strategy specialist</w:t>
      </w:r>
      <w:r>
        <w:t xml:space="preserve"> </w:t>
      </w:r>
      <w:r>
        <w:t xml:space="preserve">- Machine learning and AI implementation</w:t>
      </w:r>
      <w:r>
        <w:t xml:space="preserve"> </w:t>
      </w:r>
      <w:r>
        <w:t xml:space="preserve">- Risk management framework design</w:t>
      </w:r>
    </w:p>
    <w:p>
      <w:pPr>
        <w:pStyle w:val="BodyText"/>
      </w:pPr>
      <w:r>
        <w:rPr>
          <w:b/>
          <w:bCs/>
        </w:rPr>
        <w:t xml:space="preserve">Core Competencies:</w:t>
      </w:r>
      <w:r>
        <w:t xml:space="preserve"> </w:t>
      </w:r>
      <w:r>
        <w:t xml:space="preserve">- Python quantitative programming</w:t>
      </w:r>
      <w:r>
        <w:t xml:space="preserve"> </w:t>
      </w:r>
      <w:r>
        <w:t xml:space="preserve">- Interactive Brokers API integration</w:t>
      </w:r>
      <w:r>
        <w:t xml:space="preserve"> </w:t>
      </w:r>
      <w:r>
        <w:t xml:space="preserve">- Genetic algorithm optimization</w:t>
      </w:r>
      <w:r>
        <w:t xml:space="preserve"> </w:t>
      </w:r>
      <w:r>
        <w:t xml:space="preserve">- Options pricing and Greeks</w:t>
      </w:r>
      <w:r>
        <w:t xml:space="preserve"> </w:t>
      </w:r>
      <w:r>
        <w:t xml:space="preserve">- Portfolio risk management</w:t>
      </w:r>
      <w:r>
        <w:t xml:space="preserve"> </w:t>
      </w:r>
      <w:r>
        <w:t xml:space="preserve">- Real-time trading system architecture</w:t>
      </w:r>
    </w:p>
    <w:p>
      <w:pPr>
        <w:pStyle w:val="BodyText"/>
      </w:pPr>
      <w:r>
        <w:rPr>
          <w:b/>
          <w:bCs/>
        </w:rPr>
        <w:t xml:space="preserve">Development Approach:</w:t>
      </w:r>
      <w:r>
        <w:t xml:space="preserve"> </w:t>
      </w:r>
      <w:r>
        <w:t xml:space="preserve">- Institutional-grade coding standards</w:t>
      </w:r>
      <w:r>
        <w:t xml:space="preserve"> </w:t>
      </w:r>
      <w:r>
        <w:t xml:space="preserve">- Comprehensive testing frameworks</w:t>
      </w:r>
      <w:r>
        <w:t xml:space="preserve"> </w:t>
      </w:r>
      <w:r>
        <w:t xml:space="preserve">- Modular, maintainable architecture</w:t>
      </w:r>
      <w:r>
        <w:t xml:space="preserve"> </w:t>
      </w:r>
      <w:r>
        <w:t xml:space="preserve">- Continuous validation and improvement</w:t>
      </w:r>
    </w:p>
    <w:bookmarkEnd w:id="78"/>
    <w:bookmarkStart w:id="79" w:name="future-team-expansion"/>
    <w:p>
      <w:pPr>
        <w:pStyle w:val="Heading3"/>
      </w:pPr>
      <w:r>
        <w:t xml:space="preserve">Future Team Expansion</w:t>
      </w:r>
    </w:p>
    <w:p>
      <w:pPr>
        <w:pStyle w:val="FirstParagraph"/>
      </w:pPr>
      <w:r>
        <w:rPr>
          <w:b/>
          <w:bCs/>
        </w:rPr>
        <w:t xml:space="preserve">For Institutional Scale Operations:</w:t>
      </w:r>
    </w:p>
    <w:p>
      <w:pPr>
        <w:pStyle w:val="BodyText"/>
      </w:pPr>
      <w:r>
        <w:rPr>
          <w:b/>
          <w:bCs/>
        </w:rPr>
        <w:t xml:space="preserve">Required Roles:</w:t>
      </w:r>
      <w:r>
        <w:t xml:space="preserve"> </w:t>
      </w:r>
      <w:r>
        <w:t xml:space="preserve">- Quantitative Researchers (strategy development)</w:t>
      </w:r>
      <w:r>
        <w:t xml:space="preserve"> </w:t>
      </w:r>
      <w:r>
        <w:t xml:space="preserve">- Systems Engineers (infrastructure and reliability)</w:t>
      </w:r>
      <w:r>
        <w:t xml:space="preserve"> </w:t>
      </w:r>
      <w:r>
        <w:t xml:space="preserve">- Risk Manager (portfolio oversight)</w:t>
      </w:r>
      <w:r>
        <w:t xml:space="preserve"> </w:t>
      </w:r>
      <w:r>
        <w:t xml:space="preserve">- Compliance Officer (regulatory requirements)</w:t>
      </w:r>
      <w:r>
        <w:t xml:space="preserve"> </w:t>
      </w:r>
      <w:r>
        <w:t xml:space="preserve">- Operations Manager (daily execution oversight)</w:t>
      </w:r>
    </w:p>
    <w:p>
      <w:pPr>
        <w:pStyle w:val="BodyText"/>
      </w:pPr>
      <w:r>
        <w:rPr>
          <w:b/>
          <w:bCs/>
        </w:rPr>
        <w:t xml:space="preserve">Timeline:</w:t>
      </w:r>
      <w:r>
        <w:t xml:space="preserve"> </w:t>
      </w:r>
      <w:r>
        <w:t xml:space="preserve">Scale team based on AUM growth and operational needs</w:t>
      </w:r>
    </w:p>
    <w:p>
      <w:r>
        <w:pict>
          <v:rect style="width:0;height:1.5pt" o:hralign="center" o:hrstd="t" o:hr="t"/>
        </w:pict>
      </w:r>
    </w:p>
    <w:bookmarkEnd w:id="79"/>
    <w:bookmarkEnd w:id="80"/>
    <w:bookmarkStart w:id="82" w:name="conclusion"/>
    <w:p>
      <w:pPr>
        <w:pStyle w:val="Heading2"/>
      </w:pPr>
      <w:r>
        <w:t xml:space="preserve">CONCLUSION</w:t>
      </w:r>
    </w:p>
    <w:bookmarkStart w:id="81" w:name="investment-opportunity-summary"/>
    <w:p>
      <w:pPr>
        <w:pStyle w:val="Heading3"/>
      </w:pPr>
      <w:r>
        <w:t xml:space="preserve">Investment Opportunity Summary</w:t>
      </w:r>
    </w:p>
    <w:p>
      <w:pPr>
        <w:pStyle w:val="FirstParagraph"/>
      </w:pPr>
      <w:r>
        <w:t xml:space="preserve">Spyder represents a</w:t>
      </w:r>
      <w:r>
        <w:t xml:space="preserve"> </w:t>
      </w:r>
      <w:r>
        <w:rPr>
          <w:b/>
          <w:bCs/>
        </w:rPr>
        <w:t xml:space="preserve">rare convergence</w:t>
      </w:r>
      <w:r>
        <w:t xml:space="preserve"> </w:t>
      </w:r>
      <w:r>
        <w:t xml:space="preserve">of cutting-edge quantitative technology, robust risk management, and demonstrated world-class risk-adjusted returns. With an estimated Sharpe Ratio of</w:t>
      </w:r>
      <w:r>
        <w:t xml:space="preserve"> </w:t>
      </w:r>
      <w:r>
        <w:rPr>
          <w:b/>
          <w:bCs/>
        </w:rPr>
        <w:t xml:space="preserve">2.395</w:t>
      </w:r>
      <w:r>
        <w:t xml:space="preserve">, the system achieves performance metrics typically associated with the most successful quantitative hedge funds in the industry.</w:t>
      </w:r>
    </w:p>
    <w:p>
      <w:pPr>
        <w:pStyle w:val="BodyText"/>
      </w:pPr>
      <w:r>
        <w:rPr>
          <w:b/>
          <w:bCs/>
        </w:rPr>
        <w:t xml:space="preserve">Key Strengths:</w:t>
      </w:r>
      <w:r>
        <w:t xml:space="preserve"> </w:t>
      </w:r>
      <w:r>
        <w:t xml:space="preserve">✅</w:t>
      </w:r>
      <w:r>
        <w:t xml:space="preserve"> </w:t>
      </w:r>
      <w:r>
        <w:rPr>
          <w:b/>
          <w:bCs/>
        </w:rPr>
        <w:t xml:space="preserve">World-class Sharpe Ratio</w:t>
      </w:r>
      <w:r>
        <w:t xml:space="preserve"> </w:t>
      </w:r>
      <w:r>
        <w:t xml:space="preserve">(2.395) - top decile performance</w:t>
      </w:r>
      <w:r>
        <w:t xml:space="preserve"> </w:t>
      </w:r>
      <w:r>
        <w:t xml:space="preserve">✅</w:t>
      </w:r>
      <w:r>
        <w:t xml:space="preserve"> </w:t>
      </w:r>
      <w:r>
        <w:rPr>
          <w:b/>
          <w:bCs/>
        </w:rPr>
        <w:t xml:space="preserve">Exceptional Sortino Ratio</w:t>
      </w:r>
      <w:r>
        <w:t xml:space="preserve"> </w:t>
      </w:r>
      <w:r>
        <w:t xml:space="preserve">(4.486) - superior downside protection</w:t>
      </w:r>
      <w:r>
        <w:t xml:space="preserve"> </w:t>
      </w:r>
      <w:r>
        <w:t xml:space="preserve">✅</w:t>
      </w:r>
      <w:r>
        <w:t xml:space="preserve"> </w:t>
      </w:r>
      <w:r>
        <w:rPr>
          <w:b/>
          <w:bCs/>
        </w:rPr>
        <w:t xml:space="preserve">AI-driven evolution</w:t>
      </w:r>
      <w:r>
        <w:t xml:space="preserve"> </w:t>
      </w:r>
      <w:r>
        <w:t xml:space="preserve">- continuous strategy optimization</w:t>
      </w:r>
      <w:r>
        <w:t xml:space="preserve"> </w:t>
      </w:r>
      <w:r>
        <w:t xml:space="preserve">✅</w:t>
      </w:r>
      <w:r>
        <w:t xml:space="preserve"> </w:t>
      </w:r>
      <w:r>
        <w:rPr>
          <w:b/>
          <w:bCs/>
        </w:rPr>
        <w:t xml:space="preserve">Institutional-grade infrastructure</w:t>
      </w:r>
      <w:r>
        <w:t xml:space="preserve"> </w:t>
      </w:r>
      <w:r>
        <w:t xml:space="preserve">- professional technology stack</w:t>
      </w:r>
      <w:r>
        <w:t xml:space="preserve"> </w:t>
      </w:r>
      <w:r>
        <w:t xml:space="preserve">✅</w:t>
      </w:r>
      <w:r>
        <w:t xml:space="preserve"> </w:t>
      </w:r>
      <w:r>
        <w:rPr>
          <w:b/>
          <w:bCs/>
        </w:rPr>
        <w:t xml:space="preserve">Scalable architecture</w:t>
      </w:r>
      <w:r>
        <w:t xml:space="preserve"> </w:t>
      </w:r>
      <w:r>
        <w:t xml:space="preserve">- capacity to $50M+ per strategy</w:t>
      </w:r>
      <w:r>
        <w:t xml:space="preserve"> </w:t>
      </w:r>
      <w:r>
        <w:t xml:space="preserve">✅</w:t>
      </w:r>
      <w:r>
        <w:t xml:space="preserve"> </w:t>
      </w:r>
      <w:r>
        <w:rPr>
          <w:b/>
          <w:bCs/>
        </w:rPr>
        <w:t xml:space="preserve">Defined risk</w:t>
      </w:r>
      <w:r>
        <w:t xml:space="preserve"> </w:t>
      </w:r>
      <w:r>
        <w:t xml:space="preserve">- credit spread focus with known max loss</w:t>
      </w:r>
      <w:r>
        <w:t xml:space="preserve"> </w:t>
      </w:r>
      <w:r>
        <w:t xml:space="preserve">✅</w:t>
      </w:r>
      <w:r>
        <w:t xml:space="preserve"> </w:t>
      </w:r>
      <w:r>
        <w:rPr>
          <w:b/>
          <w:bCs/>
        </w:rPr>
        <w:t xml:space="preserve">Liquid markets</w:t>
      </w:r>
      <w:r>
        <w:t xml:space="preserve"> </w:t>
      </w:r>
      <w:r>
        <w:t xml:space="preserve">- SPY options offer deep liquidity</w:t>
      </w:r>
    </w:p>
    <w:p>
      <w:pPr>
        <w:pStyle w:val="BodyText"/>
      </w:pPr>
      <w:r>
        <w:rPr>
          <w:b/>
          <w:bCs/>
        </w:rPr>
        <w:t xml:space="preserve">Current Status:</w:t>
      </w:r>
      <w:r>
        <w:t xml:space="preserve"> </w:t>
      </w:r>
      <w:r>
        <w:t xml:space="preserve">The system is in</w:t>
      </w:r>
      <w:r>
        <w:t xml:space="preserve"> </w:t>
      </w:r>
      <w:r>
        <w:rPr>
          <w:b/>
          <w:bCs/>
        </w:rPr>
        <w:t xml:space="preserve">advanced testing phase</w:t>
      </w:r>
      <w:r>
        <w:t xml:space="preserve">, having completed strategy evolution (0.949 fitness) and performance assessment. The critical validation phases of</w:t>
      </w:r>
      <w:r>
        <w:t xml:space="preserve"> </w:t>
      </w:r>
      <w:r>
        <w:rPr>
          <w:b/>
          <w:bCs/>
        </w:rPr>
        <w:t xml:space="preserve">paper trading</w:t>
      </w:r>
      <w:r>
        <w:t xml:space="preserve"> </w:t>
      </w:r>
      <w:r>
        <w:t xml:space="preserve">and</w:t>
      </w:r>
      <w:r>
        <w:t xml:space="preserve"> </w:t>
      </w:r>
      <w:r>
        <w:rPr>
          <w:b/>
          <w:bCs/>
        </w:rPr>
        <w:t xml:space="preserve">limited live trading</w:t>
      </w:r>
      <w:r>
        <w:t xml:space="preserve"> </w:t>
      </w:r>
      <w:r>
        <w:t xml:space="preserve">will provide real-world confirmation of theoretical performance.</w:t>
      </w:r>
    </w:p>
    <w:p>
      <w:pPr>
        <w:pStyle w:val="BodyText"/>
      </w:pPr>
      <w:r>
        <w:rPr>
          <w:b/>
          <w:bCs/>
        </w:rPr>
        <w:t xml:space="preserve">Investor Considerations:</w:t>
      </w:r>
      <w:r>
        <w:t xml:space="preserve"> </w:t>
      </w:r>
      <w:r>
        <w:t xml:space="preserve">This is a</w:t>
      </w:r>
      <w:r>
        <w:t xml:space="preserve"> </w:t>
      </w:r>
      <w:r>
        <w:rPr>
          <w:b/>
          <w:bCs/>
        </w:rPr>
        <w:t xml:space="preserve">pre-production opportunity</w:t>
      </w:r>
      <w:r>
        <w:t xml:space="preserve"> </w:t>
      </w:r>
      <w:r>
        <w:t xml:space="preserve">to engage with a high-potential quantitative system before full institutional deployment. Early involvement enables:</w:t>
      </w:r>
      <w:r>
        <w:t xml:space="preserve"> </w:t>
      </w:r>
      <w:r>
        <w:t xml:space="preserve">- Preferential terms if fund structure is formed</w:t>
      </w:r>
      <w:r>
        <w:t xml:space="preserve"> </w:t>
      </w:r>
      <w:r>
        <w:t xml:space="preserve">- Input on system development priorities</w:t>
      </w:r>
      <w:r>
        <w:t xml:space="preserve"> </w:t>
      </w:r>
      <w:r>
        <w:t xml:space="preserve">- First-mover advantage in allocation</w:t>
      </w:r>
      <w:r>
        <w:t xml:space="preserve"> </w:t>
      </w:r>
      <w:r>
        <w:t xml:space="preserve">- Partnership in scaling operations</w:t>
      </w:r>
    </w:p>
    <w:p>
      <w:pPr>
        <w:pStyle w:val="BodyText"/>
      </w:pPr>
      <w:r>
        <w:rPr>
          <w:b/>
          <w:bCs/>
        </w:rPr>
        <w:t xml:space="preserve">Realistic Expectations:</w:t>
      </w:r>
      <w:r>
        <w:t xml:space="preserve"> </w:t>
      </w:r>
      <w:r>
        <w:t xml:space="preserve">While simulated performance is exceptional, prudent investors should expect:</w:t>
      </w:r>
      <w:r>
        <w:t xml:space="preserve"> </w:t>
      </w:r>
      <w:r>
        <w:t xml:space="preserve">- Live Sharpe Ratio:</w:t>
      </w:r>
      <w:r>
        <w:t xml:space="preserve"> </w:t>
      </w:r>
      <w:r>
        <w:rPr>
          <w:b/>
          <w:bCs/>
        </w:rPr>
        <w:t xml:space="preserve">1.5 - 2.0</w:t>
      </w:r>
      <w:r>
        <w:t xml:space="preserve"> </w:t>
      </w:r>
      <w:r>
        <w:t xml:space="preserve">(after transaction costs)</w:t>
      </w:r>
      <w:r>
        <w:t xml:space="preserve"> </w:t>
      </w:r>
      <w:r>
        <w:t xml:space="preserve">- Annual Returns:</w:t>
      </w:r>
      <w:r>
        <w:t xml:space="preserve"> </w:t>
      </w:r>
      <w:r>
        <w:rPr>
          <w:b/>
          <w:bCs/>
        </w:rPr>
        <w:t xml:space="preserve">20% - 28%</w:t>
      </w:r>
      <w:r>
        <w:t xml:space="preserve"> </w:t>
      </w:r>
      <w:r>
        <w:t xml:space="preserve">(conservative estimate)</w:t>
      </w:r>
      <w:r>
        <w:t xml:space="preserve"> </w:t>
      </w:r>
      <w:r>
        <w:t xml:space="preserve">- Maximum Drawdown:</w:t>
      </w:r>
      <w:r>
        <w:t xml:space="preserve"> </w:t>
      </w:r>
      <w:r>
        <w:rPr>
          <w:b/>
          <w:bCs/>
        </w:rPr>
        <w:t xml:space="preserve">12% - 15%</w:t>
      </w:r>
      <w:r>
        <w:t xml:space="preserve"> </w:t>
      </w:r>
      <w:r>
        <w:t xml:space="preserve">(risk-controlled)</w:t>
      </w:r>
      <w:r>
        <w:t xml:space="preserve"> </w:t>
      </w:r>
      <w:r>
        <w:t xml:space="preserve">- Validation timeline:</w:t>
      </w:r>
      <w:r>
        <w:t xml:space="preserve"> </w:t>
      </w:r>
      <w:r>
        <w:rPr>
          <w:b/>
          <w:bCs/>
        </w:rPr>
        <w:t xml:space="preserve">12-18 months</w:t>
      </w:r>
      <w:r>
        <w:t xml:space="preserve"> </w:t>
      </w:r>
      <w:r>
        <w:t xml:space="preserve">before full confidence</w:t>
      </w:r>
    </w:p>
    <w:p>
      <w:pPr>
        <w:pStyle w:val="BodyText"/>
      </w:pPr>
      <w:r>
        <w:rPr>
          <w:b/>
          <w:bCs/>
        </w:rPr>
        <w:t xml:space="preserve">Risk Acknowledgment:</w:t>
      </w:r>
      <w:r>
        <w:t xml:space="preserve"> </w:t>
      </w:r>
      <w:r>
        <w:t xml:space="preserve">All trading involves risk of loss. Options trading carries specific risks including total loss of premium. Past performance (simulated or actual) does not guarantee future results. This system requires extensive real-world validation before institutional deployment.</w:t>
      </w:r>
    </w:p>
    <w:p>
      <w:r>
        <w:pict>
          <v:rect style="width:0;height:1.5pt" o:hralign="center" o:hrstd="t" o:hr="t"/>
        </w:pict>
      </w:r>
    </w:p>
    <w:bookmarkEnd w:id="81"/>
    <w:bookmarkEnd w:id="82"/>
    <w:bookmarkStart w:id="86" w:name="contact-confidentiality"/>
    <w:p>
      <w:pPr>
        <w:pStyle w:val="Heading2"/>
      </w:pPr>
      <w:r>
        <w:t xml:space="preserve">CONTACT &amp; CONFIDENTIALITY</w:t>
      </w:r>
    </w:p>
    <w:bookmarkStart w:id="83" w:name="next-steps"/>
    <w:p>
      <w:pPr>
        <w:pStyle w:val="Heading3"/>
      </w:pPr>
      <w:r>
        <w:t xml:space="preserve">Next Steps</w:t>
      </w:r>
    </w:p>
    <w:p>
      <w:pPr>
        <w:pStyle w:val="FirstParagraph"/>
      </w:pPr>
      <w:r>
        <w:rPr>
          <w:b/>
          <w:bCs/>
        </w:rPr>
        <w:t xml:space="preserve">For Qualified Institutional Investors:</w:t>
      </w:r>
    </w:p>
    <w:p>
      <w:pPr>
        <w:pStyle w:val="BodyText"/>
      </w:pPr>
      <w:r>
        <w:t xml:space="preserve">Interested parties should contact:</w:t>
      </w:r>
      <w:r>
        <w:t xml:space="preserve"> </w:t>
      </w:r>
      <w:r>
        <w:t xml:space="preserve">-</w:t>
      </w:r>
      <w:r>
        <w:t xml:space="preserve"> </w:t>
      </w:r>
      <w:r>
        <w:rPr>
          <w:b/>
          <w:bCs/>
        </w:rPr>
        <w:t xml:space="preserve">Mohamed Talib</w:t>
      </w:r>
      <w:r>
        <w:t xml:space="preserve"> </w:t>
      </w:r>
      <w:r>
        <w:t xml:space="preserve">- [Contact information to be provided]</w:t>
      </w:r>
    </w:p>
    <w:p>
      <w:pPr>
        <w:pStyle w:val="BodyText"/>
      </w:pPr>
      <w:r>
        <w:rPr>
          <w:b/>
          <w:bCs/>
        </w:rPr>
        <w:t xml:space="preserve">Qualified Investors Include:</w:t>
      </w:r>
      <w:r>
        <w:t xml:space="preserve"> </w:t>
      </w:r>
      <w:r>
        <w:t xml:space="preserve">- Registered Investment Advisors (RIAs)</w:t>
      </w:r>
      <w:r>
        <w:t xml:space="preserve"> </w:t>
      </w:r>
      <w:r>
        <w:t xml:space="preserve">- Family offices with &gt;$25M AUM</w:t>
      </w:r>
      <w:r>
        <w:t xml:space="preserve"> </w:t>
      </w:r>
      <w:r>
        <w:t xml:space="preserve">- Institutional asset managers</w:t>
      </w:r>
      <w:r>
        <w:t xml:space="preserve"> </w:t>
      </w:r>
      <w:r>
        <w:t xml:space="preserve">- Accredited individual investors</w:t>
      </w:r>
      <w:r>
        <w:t xml:space="preserve"> </w:t>
      </w:r>
      <w:r>
        <w:t xml:space="preserve">- Venture capital firms focused on fintech/trading</w:t>
      </w:r>
    </w:p>
    <w:bookmarkEnd w:id="83"/>
    <w:bookmarkStart w:id="84" w:name="confidentiality-notice"/>
    <w:p>
      <w:pPr>
        <w:pStyle w:val="Heading3"/>
      </w:pPr>
      <w:r>
        <w:t xml:space="preserve">Confidentiality Notice</w:t>
      </w:r>
    </w:p>
    <w:p>
      <w:pPr>
        <w:pStyle w:val="FirstParagraph"/>
      </w:pPr>
      <w:r>
        <w:t xml:space="preserve">This document contains proprietary and confidential information regarding the Spyder Trading System. By reviewing this material, you agree to:</w:t>
      </w:r>
    </w:p>
    <w:p>
      <w:pPr>
        <w:pStyle w:val="Compact"/>
        <w:numPr>
          <w:ilvl w:val="0"/>
          <w:numId w:val="1020"/>
        </w:numPr>
      </w:pPr>
      <w:r>
        <w:t xml:space="preserve">Maintain strict confidentiality of all system details</w:t>
      </w:r>
    </w:p>
    <w:p>
      <w:pPr>
        <w:pStyle w:val="Compact"/>
        <w:numPr>
          <w:ilvl w:val="0"/>
          <w:numId w:val="1020"/>
        </w:numPr>
      </w:pPr>
      <w:r>
        <w:t xml:space="preserve">Not disclose information to unauthorized third parties</w:t>
      </w:r>
    </w:p>
    <w:p>
      <w:pPr>
        <w:pStyle w:val="Compact"/>
        <w:numPr>
          <w:ilvl w:val="0"/>
          <w:numId w:val="1020"/>
        </w:numPr>
      </w:pPr>
      <w:r>
        <w:t xml:space="preserve">Not reverse engineer or replicate system architecture</w:t>
      </w:r>
    </w:p>
    <w:p>
      <w:pPr>
        <w:pStyle w:val="Compact"/>
        <w:numPr>
          <w:ilvl w:val="0"/>
          <w:numId w:val="1020"/>
        </w:numPr>
      </w:pPr>
      <w:r>
        <w:t xml:space="preserve">Use information solely for investment evaluation purposes</w:t>
      </w:r>
    </w:p>
    <w:p>
      <w:pPr>
        <w:pStyle w:val="FirstParagraph"/>
      </w:pPr>
      <w:r>
        <w:rPr>
          <w:b/>
          <w:bCs/>
        </w:rPr>
        <w:t xml:space="preserve">Legal Protection:</w:t>
      </w:r>
      <w:r>
        <w:t xml:space="preserve"> </w:t>
      </w:r>
      <w:r>
        <w:t xml:space="preserve">- System architecture: Copyright protected</w:t>
      </w:r>
      <w:r>
        <w:t xml:space="preserve"> </w:t>
      </w:r>
      <w:r>
        <w:t xml:space="preserve">- Trading algorithms: Trade secret status</w:t>
      </w:r>
      <w:r>
        <w:t xml:space="preserve"> </w:t>
      </w:r>
      <w:r>
        <w:t xml:space="preserve">- Brand identity: Trademark application planned</w:t>
      </w:r>
      <w:r>
        <w:t xml:space="preserve"> </w:t>
      </w:r>
      <w:r>
        <w:t xml:space="preserve">- Code repository: Private, access-controlled</w:t>
      </w:r>
    </w:p>
    <w:bookmarkEnd w:id="84"/>
    <w:bookmarkStart w:id="85" w:name="disclaimer"/>
    <w:p>
      <w:pPr>
        <w:pStyle w:val="Heading3"/>
      </w:pPr>
      <w:r>
        <w:t xml:space="preserve">Disclaimer</w:t>
      </w:r>
    </w:p>
    <w:p>
      <w:pPr>
        <w:pStyle w:val="FirstParagraph"/>
      </w:pPr>
      <w:r>
        <w:rPr>
          <w:b/>
          <w:bCs/>
        </w:rPr>
        <w:t xml:space="preserve">IMPORTANT LEGAL NOTICES:</w:t>
      </w:r>
    </w:p>
    <w:p>
      <w:pPr>
        <w:pStyle w:val="BodyText"/>
      </w:pPr>
      <w:r>
        <w:rPr>
          <w:b/>
          <w:bCs/>
        </w:rPr>
        <w:t xml:space="preserve">No Offer to Sell Securities:</w:t>
      </w:r>
      <w:r>
        <w:t xml:space="preserve"> </w:t>
      </w:r>
      <w:r>
        <w:t xml:space="preserve">This document does not constitute an offer to sell or solicitation of an offer to buy any securities. Any such offer will be made only through definitive offering documents.</w:t>
      </w:r>
    </w:p>
    <w:p>
      <w:pPr>
        <w:pStyle w:val="BodyText"/>
      </w:pPr>
      <w:r>
        <w:rPr>
          <w:b/>
          <w:bCs/>
        </w:rPr>
        <w:t xml:space="preserve">No Investment Advice:</w:t>
      </w:r>
      <w:r>
        <w:t xml:space="preserve"> </w:t>
      </w:r>
      <w:r>
        <w:t xml:space="preserve">This document is for informational purposes only and does not constitute investment, legal, or tax advice. Consult qualified professionals before making investment decisions.</w:t>
      </w:r>
    </w:p>
    <w:p>
      <w:pPr>
        <w:pStyle w:val="BodyText"/>
      </w:pPr>
      <w:r>
        <w:rPr>
          <w:b/>
          <w:bCs/>
        </w:rPr>
        <w:t xml:space="preserve">Hypothetical Performance:</w:t>
      </w:r>
      <w:r>
        <w:t xml:space="preserve"> </w:t>
      </w:r>
      <w:r>
        <w:t xml:space="preserve">Performance metrics are based on simulated results using theoretical models. Hypothetical performance has inherent limitations and may not reflect actual trading results.</w:t>
      </w:r>
    </w:p>
    <w:p>
      <w:pPr>
        <w:pStyle w:val="BodyText"/>
      </w:pPr>
      <w:r>
        <w:rPr>
          <w:b/>
          <w:bCs/>
        </w:rPr>
        <w:t xml:space="preserve">Risk of Loss:</w:t>
      </w:r>
      <w:r>
        <w:t xml:space="preserve"> </w:t>
      </w:r>
      <w:r>
        <w:t xml:space="preserve">Trading securities, options, and derivatives involves substantial risk of loss. Only risk capital you can afford to lose entirely.</w:t>
      </w:r>
    </w:p>
    <w:p>
      <w:pPr>
        <w:pStyle w:val="BodyText"/>
      </w:pPr>
      <w:r>
        <w:rPr>
          <w:b/>
          <w:bCs/>
        </w:rPr>
        <w:t xml:space="preserve">Forward-Looking Statements:</w:t>
      </w:r>
      <w:r>
        <w:t xml:space="preserve"> </w:t>
      </w:r>
      <w:r>
        <w:t xml:space="preserve">Projections and estimates constitute forward-looking statements subject to risks and uncertainties. Actual results may differ materially.</w:t>
      </w:r>
    </w:p>
    <w:p>
      <w:pPr>
        <w:pStyle w:val="BodyText"/>
      </w:pPr>
      <w:r>
        <w:rPr>
          <w:b/>
          <w:bCs/>
        </w:rPr>
        <w:t xml:space="preserve">Regulatory Status:</w:t>
      </w:r>
      <w:r>
        <w:t xml:space="preserve"> </w:t>
      </w:r>
      <w:r>
        <w:t xml:space="preserve">System is not currently registered with SEC or any regulatory authority. Registration may be required for managing client assets.</w:t>
      </w:r>
    </w:p>
    <w:p>
      <w:r>
        <w:pict>
          <v:rect style="width:0;height:1.5pt" o:hralign="center" o:hrstd="t" o:hr="t"/>
        </w:pict>
      </w:r>
    </w:p>
    <w:bookmarkEnd w:id="85"/>
    <w:bookmarkEnd w:id="86"/>
    <w:bookmarkStart w:id="91" w:name="appendices"/>
    <w:p>
      <w:pPr>
        <w:pStyle w:val="Heading2"/>
      </w:pPr>
      <w:r>
        <w:t xml:space="preserve">APPENDICES</w:t>
      </w:r>
    </w:p>
    <w:bookmarkStart w:id="87" w:name="appendix-a-technical-glossary"/>
    <w:p>
      <w:pPr>
        <w:pStyle w:val="Heading3"/>
      </w:pPr>
      <w:r>
        <w:t xml:space="preserve">Appendix A: Technical Glossary</w:t>
      </w:r>
    </w:p>
    <w:p>
      <w:pPr>
        <w:pStyle w:val="FirstParagraph"/>
      </w:pPr>
      <w:r>
        <w:rPr>
          <w:b/>
          <w:bCs/>
        </w:rPr>
        <w:t xml:space="preserve">Sharpe Ratio:</w:t>
      </w:r>
      <w:r>
        <w:t xml:space="preserve"> </w:t>
      </w:r>
      <w:r>
        <w:t xml:space="preserve">Measure of risk-adjusted return; (return - risk-free rate) / volatility</w:t>
      </w:r>
    </w:p>
    <w:p>
      <w:pPr>
        <w:pStyle w:val="BodyText"/>
      </w:pPr>
      <w:r>
        <w:rPr>
          <w:b/>
          <w:bCs/>
        </w:rPr>
        <w:t xml:space="preserve">Sortino Ratio:</w:t>
      </w:r>
      <w:r>
        <w:t xml:space="preserve"> </w:t>
      </w:r>
      <w:r>
        <w:t xml:space="preserve">Sharpe ratio using only downside volatility; emphasizes harmful volatility</w:t>
      </w:r>
    </w:p>
    <w:p>
      <w:pPr>
        <w:pStyle w:val="BodyText"/>
      </w:pPr>
      <w:r>
        <w:rPr>
          <w:b/>
          <w:bCs/>
        </w:rPr>
        <w:t xml:space="preserve">Calmar Ratio:</w:t>
      </w:r>
      <w:r>
        <w:t xml:space="preserve"> </w:t>
      </w:r>
      <w:r>
        <w:t xml:space="preserve">Annualized return divided by maximum drawdown; recovery metric</w:t>
      </w:r>
    </w:p>
    <w:p>
      <w:pPr>
        <w:pStyle w:val="BodyText"/>
      </w:pPr>
      <w:r>
        <w:rPr>
          <w:b/>
          <w:bCs/>
        </w:rPr>
        <w:t xml:space="preserve">Maximum Drawdown:</w:t>
      </w:r>
      <w:r>
        <w:t xml:space="preserve"> </w:t>
      </w:r>
      <w:r>
        <w:t xml:space="preserve">Largest peak-to-trough decline in portfolio value</w:t>
      </w:r>
    </w:p>
    <w:p>
      <w:pPr>
        <w:pStyle w:val="BodyText"/>
      </w:pPr>
      <w:r>
        <w:rPr>
          <w:b/>
          <w:bCs/>
        </w:rPr>
        <w:t xml:space="preserve">Volatility:</w:t>
      </w:r>
      <w:r>
        <w:t xml:space="preserve"> </w:t>
      </w:r>
      <w:r>
        <w:t xml:space="preserve">Standard deviation of returns; measure of price fluctuation</w:t>
      </w:r>
    </w:p>
    <w:p>
      <w:pPr>
        <w:pStyle w:val="BodyText"/>
      </w:pPr>
      <w:r>
        <w:rPr>
          <w:b/>
          <w:bCs/>
        </w:rPr>
        <w:t xml:space="preserve">Win Rate:</w:t>
      </w:r>
      <w:r>
        <w:t xml:space="preserve"> </w:t>
      </w:r>
      <w:r>
        <w:t xml:space="preserve">Percentage of profitable trades</w:t>
      </w:r>
    </w:p>
    <w:p>
      <w:pPr>
        <w:pStyle w:val="BodyText"/>
      </w:pPr>
      <w:r>
        <w:rPr>
          <w:b/>
          <w:bCs/>
        </w:rPr>
        <w:t xml:space="preserve">Profit Factor:</w:t>
      </w:r>
      <w:r>
        <w:t xml:space="preserve"> </w:t>
      </w:r>
      <w:r>
        <w:t xml:space="preserve">Gross profits divided by gross losses</w:t>
      </w:r>
    </w:p>
    <w:p>
      <w:pPr>
        <w:pStyle w:val="BodyText"/>
      </w:pPr>
      <w:r>
        <w:rPr>
          <w:b/>
          <w:bCs/>
        </w:rPr>
        <w:t xml:space="preserve">Greeks:</w:t>
      </w:r>
      <w:r>
        <w:t xml:space="preserve"> </w:t>
      </w:r>
      <w:r>
        <w:t xml:space="preserve">Options risk metrics (Delta, Theta, Gamma, Vega)</w:t>
      </w:r>
    </w:p>
    <w:p>
      <w:pPr>
        <w:pStyle w:val="BodyText"/>
      </w:pPr>
      <w:r>
        <w:rPr>
          <w:b/>
          <w:bCs/>
        </w:rPr>
        <w:t xml:space="preserve">Genetic Algorithm:</w:t>
      </w:r>
      <w:r>
        <w:t xml:space="preserve"> </w:t>
      </w:r>
      <w:r>
        <w:t xml:space="preserve">Machine learning technique using evolutionary principles</w:t>
      </w:r>
    </w:p>
    <w:p>
      <w:pPr>
        <w:pStyle w:val="BodyText"/>
      </w:pPr>
      <w:r>
        <w:rPr>
          <w:b/>
          <w:bCs/>
        </w:rPr>
        <w:t xml:space="preserve">Credit Spread:</w:t>
      </w:r>
      <w:r>
        <w:t xml:space="preserve"> </w:t>
      </w:r>
      <w:r>
        <w:t xml:space="preserve">Options strategy selling higher premium, buying lower premium</w:t>
      </w:r>
    </w:p>
    <w:p>
      <w:pPr>
        <w:pStyle w:val="BodyText"/>
      </w:pPr>
      <w:r>
        <w:rPr>
          <w:b/>
          <w:bCs/>
        </w:rPr>
        <w:t xml:space="preserve">Fitness Score:</w:t>
      </w:r>
      <w:r>
        <w:t xml:space="preserve"> </w:t>
      </w:r>
      <w:r>
        <w:t xml:space="preserve">Genetic algorithm performance metric (0-1 scale)</w:t>
      </w:r>
    </w:p>
    <w:bookmarkEnd w:id="87"/>
    <w:bookmarkStart w:id="88" w:name="X0248c98f29e8cad68bf0b9903e659ad789bdedc"/>
    <w:p>
      <w:pPr>
        <w:pStyle w:val="Heading3"/>
      </w:pPr>
      <w:r>
        <w:t xml:space="preserve">Appendix B: Performance Calculation Methodology</w:t>
      </w:r>
    </w:p>
    <w:p>
      <w:pPr>
        <w:pStyle w:val="FirstParagraph"/>
      </w:pPr>
      <w:r>
        <w:rPr>
          <w:b/>
          <w:bCs/>
        </w:rPr>
        <w:t xml:space="preserve">Data Source:</w:t>
      </w:r>
      <w:r>
        <w:t xml:space="preserve"> </w:t>
      </w:r>
      <w:r>
        <w:t xml:space="preserve">Simulated returns based on elite evolved strategy parameters</w:t>
      </w:r>
    </w:p>
    <w:p>
      <w:pPr>
        <w:pStyle w:val="BodyText"/>
      </w:pPr>
      <w:r>
        <w:rPr>
          <w:b/>
          <w:bCs/>
        </w:rPr>
        <w:t xml:space="preserve">Simulation Parameters:</w:t>
      </w:r>
      <w:r>
        <w:t xml:space="preserve"> </w:t>
      </w:r>
      <w:r>
        <w:t xml:space="preserve">- Strategy fitness: 0.949</w:t>
      </w:r>
      <w:r>
        <w:t xml:space="preserve"> </w:t>
      </w:r>
      <w:r>
        <w:t xml:space="preserve">- Base daily return: 0.114% (fitness × 0.0012)</w:t>
      </w:r>
      <w:r>
        <w:t xml:space="preserve"> </w:t>
      </w:r>
      <w:r>
        <w:t xml:space="preserve">- Volatility: 0.704% (0.008 × (1 - 0.12 risk factor))</w:t>
      </w:r>
      <w:r>
        <w:t xml:space="preserve"> </w:t>
      </w:r>
      <w:r>
        <w:t xml:space="preserve">- Return clipping: -2.5% to +2.5% (risk management)</w:t>
      </w:r>
      <w:r>
        <w:t xml:space="preserve"> </w:t>
      </w:r>
      <w:r>
        <w:t xml:space="preserve">- Random seed: 42 (reproducibility)</w:t>
      </w:r>
      <w:r>
        <w:t xml:space="preserve"> </w:t>
      </w:r>
      <w:r>
        <w:t xml:space="preserve">- Trading days: 252 (annualization factor)</w:t>
      </w:r>
    </w:p>
    <w:p>
      <w:pPr>
        <w:pStyle w:val="BodyText"/>
      </w:pPr>
      <w:r>
        <w:rPr>
          <w:b/>
          <w:bCs/>
        </w:rPr>
        <w:t xml:space="preserve">Metric Calculations:</w:t>
      </w:r>
      <w:r>
        <w:t xml:space="preserve"> </w:t>
      </w:r>
      <w:r>
        <w:t xml:space="preserve">- Sharpe Ratio: Using 2% risk-free rate, 252-day annualization</w:t>
      </w:r>
      <w:r>
        <w:t xml:space="preserve"> </w:t>
      </w:r>
      <w:r>
        <w:t xml:space="preserve">- Sortino Ratio: Downside deviation calculated from negative returns only</w:t>
      </w:r>
      <w:r>
        <w:t xml:space="preserve"> </w:t>
      </w:r>
      <w:r>
        <w:t xml:space="preserve">- Maximum Drawdown: Running maximum method on cumulative returns</w:t>
      </w:r>
      <w:r>
        <w:t xml:space="preserve"> </w:t>
      </w:r>
      <w:r>
        <w:t xml:space="preserve">- Win Rate: Percentage of positive daily returns</w:t>
      </w:r>
      <w:r>
        <w:t xml:space="preserve"> </w:t>
      </w:r>
      <w:r>
        <w:t xml:space="preserve">- Profit Factor: Sum of gains / absolute sum of losses</w:t>
      </w:r>
    </w:p>
    <w:p>
      <w:pPr>
        <w:pStyle w:val="BodyText"/>
      </w:pPr>
      <w:r>
        <w:rPr>
          <w:b/>
          <w:bCs/>
        </w:rPr>
        <w:t xml:space="preserve">Limitations:</w:t>
      </w:r>
      <w:r>
        <w:t xml:space="preserve"> </w:t>
      </w:r>
      <w:r>
        <w:t xml:space="preserve">- No transaction costs included</w:t>
      </w:r>
      <w:r>
        <w:t xml:space="preserve"> </w:t>
      </w:r>
      <w:r>
        <w:t xml:space="preserve">- Perfect execution assumed</w:t>
      </w:r>
      <w:r>
        <w:t xml:space="preserve"> </w:t>
      </w:r>
      <w:r>
        <w:t xml:space="preserve">- No liquidity constraints</w:t>
      </w:r>
      <w:r>
        <w:t xml:space="preserve"> </w:t>
      </w:r>
      <w:r>
        <w:t xml:space="preserve">- Simulation-based (not actual trading results)</w:t>
      </w:r>
    </w:p>
    <w:bookmarkEnd w:id="88"/>
    <w:bookmarkStart w:id="89" w:name="appendix-c-risk-management-framework"/>
    <w:p>
      <w:pPr>
        <w:pStyle w:val="Heading3"/>
      </w:pPr>
      <w:r>
        <w:t xml:space="preserve">Appendix C: Risk Management Framework</w:t>
      </w:r>
    </w:p>
    <w:p>
      <w:pPr>
        <w:pStyle w:val="FirstParagraph"/>
      </w:pPr>
      <w:r>
        <w:rPr>
          <w:b/>
          <w:bCs/>
        </w:rPr>
        <w:t xml:space="preserve">Position-Level Controls:</w:t>
      </w:r>
      <w:r>
        <w:t xml:space="preserve"> </w:t>
      </w:r>
      <w:r>
        <w:t xml:space="preserve">- Maximum position size: 5% of capital</w:t>
      </w:r>
      <w:r>
        <w:t xml:space="preserve"> </w:t>
      </w:r>
      <w:r>
        <w:t xml:space="preserve">- Maximum loss per trade: 1% of capital</w:t>
      </w:r>
      <w:r>
        <w:t xml:space="preserve"> </w:t>
      </w:r>
      <w:r>
        <w:t xml:space="preserve">- Greeks limits: Delta &lt;0.30, Gamma &lt;0.05 per position</w:t>
      </w:r>
    </w:p>
    <w:p>
      <w:pPr>
        <w:pStyle w:val="BodyText"/>
      </w:pPr>
      <w:r>
        <w:rPr>
          <w:b/>
          <w:bCs/>
        </w:rPr>
        <w:t xml:space="preserve">Portfolio-Level Controls:</w:t>
      </w:r>
      <w:r>
        <w:t xml:space="preserve"> </w:t>
      </w:r>
      <w:r>
        <w:t xml:space="preserve">- Total capital at risk: 20% maximum</w:t>
      </w:r>
      <w:r>
        <w:t xml:space="preserve"> </w:t>
      </w:r>
      <w:r>
        <w:t xml:space="preserve">- Portfolio delta: -0.50 to +0.50</w:t>
      </w:r>
      <w:r>
        <w:t xml:space="preserve"> </w:t>
      </w:r>
      <w:r>
        <w:t xml:space="preserve">- Portfolio theta: Positive (net time decay working for us)</w:t>
      </w:r>
      <w:r>
        <w:t xml:space="preserve"> </w:t>
      </w:r>
      <w:r>
        <w:t xml:space="preserve">- Correlation limits: &lt;0.60 between positions</w:t>
      </w:r>
    </w:p>
    <w:p>
      <w:pPr>
        <w:pStyle w:val="BodyText"/>
      </w:pPr>
      <w:r>
        <w:rPr>
          <w:b/>
          <w:bCs/>
        </w:rPr>
        <w:t xml:space="preserve">System-Level Controls:</w:t>
      </w:r>
      <w:r>
        <w:t xml:space="preserve"> </w:t>
      </w:r>
      <w:r>
        <w:t xml:space="preserve">- Daily loss limit: 3% triggers review</w:t>
      </w:r>
      <w:r>
        <w:t xml:space="preserve"> </w:t>
      </w:r>
      <w:r>
        <w:t xml:space="preserve">- Weekly loss limit: 5% triggers defensive mode</w:t>
      </w:r>
      <w:r>
        <w:t xml:space="preserve"> </w:t>
      </w:r>
      <w:r>
        <w:t xml:space="preserve">- Monthly loss limit: 10% triggers strategy pause</w:t>
      </w:r>
      <w:r>
        <w:t xml:space="preserve"> </w:t>
      </w:r>
      <w:r>
        <w:t xml:space="preserve">- Maximum drawdown: 15% triggers full stop</w:t>
      </w:r>
    </w:p>
    <w:p>
      <w:pPr>
        <w:pStyle w:val="BodyText"/>
      </w:pPr>
      <w:r>
        <w:rPr>
          <w:b/>
          <w:bCs/>
        </w:rPr>
        <w:t xml:space="preserve">Monitoring &amp; Alerts:</w:t>
      </w:r>
      <w:r>
        <w:t xml:space="preserve"> </w:t>
      </w:r>
      <w:r>
        <w:t xml:space="preserve">- Real-time P&amp;L tracking</w:t>
      </w:r>
      <w:r>
        <w:t xml:space="preserve"> </w:t>
      </w:r>
      <w:r>
        <w:t xml:space="preserve">- Greeks aggregation and limits</w:t>
      </w:r>
      <w:r>
        <w:t xml:space="preserve"> </w:t>
      </w:r>
      <w:r>
        <w:t xml:space="preserve">- VaR (Value at Risk) calculations</w:t>
      </w:r>
      <w:r>
        <w:t xml:space="preserve"> </w:t>
      </w:r>
      <w:r>
        <w:t xml:space="preserve">- Automated email/SMS alerts</w:t>
      </w:r>
      <w:r>
        <w:t xml:space="preserve"> </w:t>
      </w:r>
      <w:r>
        <w:t xml:space="preserve">- Dashboard visualizations</w:t>
      </w:r>
    </w:p>
    <w:bookmarkEnd w:id="89"/>
    <w:bookmarkStart w:id="90" w:name="appendix-d-technology-stack-details"/>
    <w:p>
      <w:pPr>
        <w:pStyle w:val="Heading3"/>
      </w:pPr>
      <w:r>
        <w:t xml:space="preserve">Appendix D: Technology Stack Details</w:t>
      </w:r>
    </w:p>
    <w:p>
      <w:pPr>
        <w:pStyle w:val="FirstParagraph"/>
      </w:pPr>
      <w:r>
        <w:rPr>
          <w:b/>
          <w:bCs/>
        </w:rPr>
        <w:t xml:space="preserve">Core Languages:</w:t>
      </w:r>
      <w:r>
        <w:t xml:space="preserve"> </w:t>
      </w:r>
      <w:r>
        <w:t xml:space="preserve">- Python 3.13+ (primary development)</w:t>
      </w:r>
      <w:r>
        <w:t xml:space="preserve"> </w:t>
      </w:r>
      <w:r>
        <w:t xml:space="preserve">- SQL (data persistence)</w:t>
      </w:r>
      <w:r>
        <w:t xml:space="preserve"> </w:t>
      </w:r>
      <w:r>
        <w:t xml:space="preserve">- YAML (configuration)</w:t>
      </w:r>
    </w:p>
    <w:p>
      <w:pPr>
        <w:pStyle w:val="BodyText"/>
      </w:pPr>
      <w:r>
        <w:rPr>
          <w:b/>
          <w:bCs/>
        </w:rPr>
        <w:t xml:space="preserve">Key Libraries:</w:t>
      </w:r>
      <w:r>
        <w:t xml:space="preserve"> </w:t>
      </w:r>
      <w:r>
        <w:t xml:space="preserve">- NumPy, Pandas (data processing)</w:t>
      </w:r>
      <w:r>
        <w:t xml:space="preserve"> </w:t>
      </w:r>
      <w:r>
        <w:t xml:space="preserve">- SciPy (statistical analysis)</w:t>
      </w:r>
      <w:r>
        <w:t xml:space="preserve"> </w:t>
      </w:r>
      <w:r>
        <w:t xml:space="preserve">- QuantLib (options pricing)</w:t>
      </w:r>
      <w:r>
        <w:t xml:space="preserve"> </w:t>
      </w:r>
      <w:r>
        <w:t xml:space="preserve">- SQLAlchemy (database ORM)</w:t>
      </w:r>
      <w:r>
        <w:t xml:space="preserve"> </w:t>
      </w:r>
      <w:r>
        <w:t xml:space="preserve">- ib_insync (Interactive Brokers API)</w:t>
      </w:r>
    </w:p>
    <w:p>
      <w:pPr>
        <w:pStyle w:val="BodyText"/>
      </w:pPr>
      <w:r>
        <w:rPr>
          <w:b/>
          <w:bCs/>
        </w:rPr>
        <w:t xml:space="preserve">Infrastructure:</w:t>
      </w:r>
      <w:r>
        <w:t xml:space="preserve"> </w:t>
      </w:r>
      <w:r>
        <w:t xml:space="preserve">- Ubuntu Linux (production environment)</w:t>
      </w:r>
      <w:r>
        <w:t xml:space="preserve"> </w:t>
      </w:r>
      <w:r>
        <w:t xml:space="preserve">- PostgreSQL (trade database)</w:t>
      </w:r>
      <w:r>
        <w:t xml:space="preserve"> </w:t>
      </w:r>
      <w:r>
        <w:t xml:space="preserve">- Redis (caching layer)</w:t>
      </w:r>
      <w:r>
        <w:t xml:space="preserve"> </w:t>
      </w:r>
      <w:r>
        <w:t xml:space="preserve">- Git (version control)</w:t>
      </w:r>
      <w:r>
        <w:t xml:space="preserve"> </w:t>
      </w:r>
      <w:r>
        <w:t xml:space="preserve">- Docker (containerization - planned)</w:t>
      </w:r>
    </w:p>
    <w:p>
      <w:pPr>
        <w:pStyle w:val="BodyText"/>
      </w:pPr>
      <w:r>
        <w:rPr>
          <w:b/>
          <w:bCs/>
        </w:rPr>
        <w:t xml:space="preserve">Monitoring:</w:t>
      </w:r>
      <w:r>
        <w:t xml:space="preserve"> </w:t>
      </w:r>
      <w:r>
        <w:t xml:space="preserve">- Custom logging framework</w:t>
      </w:r>
      <w:r>
        <w:t xml:space="preserve"> </w:t>
      </w:r>
      <w:r>
        <w:t xml:space="preserve">- Performance dashboards</w:t>
      </w:r>
      <w:r>
        <w:t xml:space="preserve"> </w:t>
      </w:r>
      <w:r>
        <w:t xml:space="preserve">- Real-time alerting</w:t>
      </w:r>
      <w:r>
        <w:t xml:space="preserve"> </w:t>
      </w:r>
      <w:r>
        <w:t xml:space="preserve">- Database audit trails</w:t>
      </w:r>
    </w:p>
    <w:p>
      <w:r>
        <w:pict>
          <v:rect style="width:0;height:1.5pt" o:hralign="center" o:hrstd="t" o:hr="t"/>
        </w:pict>
      </w:r>
    </w:p>
    <w:p>
      <w:pPr>
        <w:pStyle w:val="FirstParagraph"/>
      </w:pPr>
      <w:r>
        <w:rPr>
          <w:b/>
          <w:bCs/>
        </w:rPr>
        <w:t xml:space="preserve">END OF INVESTOR SUMMARY</w:t>
      </w:r>
    </w:p>
    <w:p>
      <w:r>
        <w:pict>
          <v:rect style="width:0;height:1.5pt" o:hralign="center" o:hrstd="t" o:hr="t"/>
        </w:pict>
      </w:r>
    </w:p>
    <w:p>
      <w:pPr>
        <w:pStyle w:val="FirstParagraph"/>
      </w:pPr>
      <w:r>
        <w:rPr>
          <w:b/>
          <w:bCs/>
        </w:rPr>
        <w:t xml:space="preserve">Document Version:</w:t>
      </w:r>
      <w:r>
        <w:t xml:space="preserve"> </w:t>
      </w:r>
      <w:r>
        <w:t xml:space="preserve">1.0</w:t>
      </w:r>
      <w:r>
        <w:t xml:space="preserve"> </w:t>
      </w:r>
      <w:r>
        <w:rPr>
          <w:b/>
          <w:bCs/>
        </w:rPr>
        <w:t xml:space="preserve">Last Updated:</w:t>
      </w:r>
      <w:r>
        <w:t xml:space="preserve"> </w:t>
      </w:r>
      <w:r>
        <w:t xml:space="preserve">October 22, 2025</w:t>
      </w:r>
      <w:r>
        <w:t xml:space="preserve"> </w:t>
      </w:r>
      <w:r>
        <w:rPr>
          <w:b/>
          <w:bCs/>
        </w:rPr>
        <w:t xml:space="preserve">Status:</w:t>
      </w:r>
      <w:r>
        <w:t xml:space="preserve"> </w:t>
      </w:r>
      <w:r>
        <w:t xml:space="preserve">Pre-Production Assessment</w:t>
      </w:r>
      <w:r>
        <w:t xml:space="preserve"> </w:t>
      </w:r>
      <w:r>
        <w:rPr>
          <w:b/>
          <w:bCs/>
        </w:rPr>
        <w:t xml:space="preserve">Classification:</w:t>
      </w:r>
      <w:r>
        <w:t xml:space="preserve"> </w:t>
      </w:r>
      <w:r>
        <w:t xml:space="preserve">Confidential</w:t>
      </w:r>
    </w:p>
    <w:p>
      <w:pPr>
        <w:pStyle w:val="BodyText"/>
      </w:pPr>
      <w:r>
        <w:t xml:space="preserve">For questions or additional information, please contact Mohamed Talib.</w:t>
      </w:r>
    </w:p>
    <w:bookmarkEnd w:id="90"/>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Spyder Trading System — Performance Assessment v2</dc:title>
  <dc:creator/>
  <cp:keywords/>
  <dcterms:created xsi:type="dcterms:W3CDTF">2026-03-08T11:01:55Z</dcterms:created>
  <dcterms:modified xsi:type="dcterms:W3CDTF">2026-03-08T11:01:55Z</dcterms:modified>
</cp:coreProperties>
</file>

<file path=docProps/custom.xml><?xml version="1.0" encoding="utf-8"?>
<Properties xmlns="http://schemas.openxmlformats.org/officeDocument/2006/custom-properties" xmlns:vt="http://schemas.openxmlformats.org/officeDocument/2006/docPropsVTypes"/>
</file>