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88BD3" w14:textId="77777777" w:rsidR="00C7727A" w:rsidRDefault="00000000">
      <w:pPr>
        <w:spacing w:after="80"/>
        <w:jc w:val="center"/>
      </w:pPr>
      <w:r>
        <w:rPr>
          <w:b/>
          <w:bCs/>
          <w:color w:val="1F3864"/>
          <w:sz w:val="40"/>
          <w:szCs w:val="40"/>
        </w:rPr>
        <w:t>REQUEST FOR PROPOSAL</w:t>
      </w:r>
    </w:p>
    <w:p w14:paraId="51F8D672" w14:textId="77777777" w:rsidR="00C7727A" w:rsidRDefault="00000000">
      <w:pPr>
        <w:spacing w:after="40"/>
        <w:jc w:val="center"/>
      </w:pPr>
      <w:r>
        <w:rPr>
          <w:b/>
          <w:bCs/>
          <w:sz w:val="24"/>
          <w:szCs w:val="24"/>
        </w:rPr>
        <w:t>RfP 02</w:t>
      </w:r>
    </w:p>
    <w:p w14:paraId="5247C77A" w14:textId="48882338" w:rsidR="00C7727A" w:rsidRPr="00E1342F" w:rsidRDefault="00000000" w:rsidP="00E1342F">
      <w:pPr>
        <w:pStyle w:val="Heading3"/>
        <w:jc w:val="center"/>
        <w:rPr>
          <w:rFonts w:ascii="var(--font-display)" w:hAnsi="var(--font-display)"/>
          <w:color w:val="2D2C47"/>
          <w:spacing w:val="-2"/>
        </w:rPr>
      </w:pPr>
      <w:bookmarkStart w:id="0" w:name="_Toc236231552"/>
      <w:r>
        <w:rPr>
          <w:i/>
          <w:iCs/>
          <w:sz w:val="22"/>
          <w:szCs w:val="22"/>
        </w:rPr>
        <w:t xml:space="preserve">Intended for: </w:t>
      </w:r>
      <w:r>
        <w:rPr>
          <w:rFonts w:ascii="var(--font-display)" w:hAnsi="var(--font-display)"/>
          <w:color w:val="2D2C47"/>
          <w:spacing w:val="-2"/>
        </w:rPr>
        <w:t>The App-solute Owners</w:t>
      </w:r>
      <w:bookmarkEnd w:id="0"/>
    </w:p>
    <w:p w14:paraId="26BC7B06" w14:textId="77777777" w:rsidR="00C7727A" w:rsidRDefault="00000000">
      <w:pPr>
        <w:spacing w:after="80"/>
        <w:jc w:val="center"/>
      </w:pPr>
      <w:r>
        <w:rPr>
          <w:b/>
          <w:bCs/>
          <w:sz w:val="28"/>
          <w:szCs w:val="28"/>
        </w:rPr>
        <w:t>"SolaraLife" — Resident Mobile App: Build, Testing &amp; Market Release</w:t>
      </w:r>
    </w:p>
    <w:p w14:paraId="27C857A5" w14:textId="1C74BAC0" w:rsidR="00C7727A" w:rsidRDefault="00000000">
      <w:pPr>
        <w:spacing w:after="260"/>
        <w:jc w:val="center"/>
      </w:pPr>
      <w:r>
        <w:rPr>
          <w:color w:val="444444"/>
        </w:rPr>
        <w:t>Client: Solara Living Group  ·  Category: Mobile (iOS &amp; Android)  ·  Flutter · Existing Backend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C7727A" w14:paraId="6BF08F6F" w14:textId="77777777">
        <w:trPr>
          <w:tblHeader/>
        </w:trPr>
        <w:tc>
          <w:tcPr>
            <w:tcW w:w="2400" w:type="dxa"/>
            <w:shd w:val="clear" w:color="auto" w:fill="1F3864"/>
            <w:tcMar>
              <w:top w:w="80" w:type="dxa"/>
              <w:left w:w="100" w:type="dxa"/>
              <w:bottom w:w="80" w:type="dxa"/>
              <w:right w:w="100" w:type="dxa"/>
            </w:tcMar>
            <w:vAlign w:val="center"/>
          </w:tcPr>
          <w:p w14:paraId="4BD70CD6" w14:textId="77777777" w:rsidR="00C7727A" w:rsidRDefault="00000000">
            <w:r>
              <w:rPr>
                <w:b/>
                <w:bCs/>
                <w:color w:val="FFFFFF"/>
                <w:sz w:val="19"/>
                <w:szCs w:val="19"/>
              </w:rPr>
              <w:t>Field</w:t>
            </w:r>
          </w:p>
        </w:tc>
        <w:tc>
          <w:tcPr>
            <w:tcW w:w="6950" w:type="dxa"/>
            <w:shd w:val="clear" w:color="auto" w:fill="1F3864"/>
            <w:tcMar>
              <w:top w:w="80" w:type="dxa"/>
              <w:left w:w="100" w:type="dxa"/>
              <w:bottom w:w="80" w:type="dxa"/>
              <w:right w:w="100" w:type="dxa"/>
            </w:tcMar>
            <w:vAlign w:val="center"/>
          </w:tcPr>
          <w:p w14:paraId="14145AEA" w14:textId="77777777" w:rsidR="00C7727A" w:rsidRDefault="00000000">
            <w:r>
              <w:rPr>
                <w:b/>
                <w:bCs/>
                <w:color w:val="FFFFFF"/>
                <w:sz w:val="19"/>
                <w:szCs w:val="19"/>
              </w:rPr>
              <w:t>Detail</w:t>
            </w:r>
          </w:p>
        </w:tc>
      </w:tr>
      <w:tr w:rsidR="00C7727A" w14:paraId="10EB9F6B" w14:textId="77777777">
        <w:tc>
          <w:tcPr>
            <w:tcW w:w="2400" w:type="dxa"/>
            <w:tcMar>
              <w:top w:w="80" w:type="dxa"/>
              <w:left w:w="100" w:type="dxa"/>
              <w:bottom w:w="80" w:type="dxa"/>
              <w:right w:w="100" w:type="dxa"/>
            </w:tcMar>
            <w:vAlign w:val="center"/>
          </w:tcPr>
          <w:p w14:paraId="06BB79A8" w14:textId="77777777" w:rsidR="00C7727A" w:rsidRDefault="00000000">
            <w:r>
              <w:rPr>
                <w:color w:val="000000"/>
                <w:sz w:val="19"/>
                <w:szCs w:val="19"/>
              </w:rPr>
              <w:t>Issuer</w:t>
            </w:r>
          </w:p>
        </w:tc>
        <w:tc>
          <w:tcPr>
            <w:tcW w:w="6950" w:type="dxa"/>
            <w:tcMar>
              <w:top w:w="80" w:type="dxa"/>
              <w:left w:w="100" w:type="dxa"/>
              <w:bottom w:w="80" w:type="dxa"/>
              <w:right w:w="100" w:type="dxa"/>
            </w:tcMar>
            <w:vAlign w:val="center"/>
          </w:tcPr>
          <w:p w14:paraId="6136DDE6" w14:textId="77777777" w:rsidR="00C7727A" w:rsidRDefault="00000000">
            <w:r>
              <w:rPr>
                <w:color w:val="000000"/>
                <w:sz w:val="19"/>
                <w:szCs w:val="19"/>
              </w:rPr>
              <w:t>Solara Living Group — Resident Experience Office</w:t>
            </w:r>
          </w:p>
        </w:tc>
      </w:tr>
      <w:tr w:rsidR="00C7727A" w14:paraId="159E2529" w14:textId="77777777">
        <w:tc>
          <w:tcPr>
            <w:tcW w:w="2400" w:type="dxa"/>
            <w:shd w:val="clear" w:color="auto" w:fill="F2F2F2"/>
            <w:tcMar>
              <w:top w:w="80" w:type="dxa"/>
              <w:left w:w="100" w:type="dxa"/>
              <w:bottom w:w="80" w:type="dxa"/>
              <w:right w:w="100" w:type="dxa"/>
            </w:tcMar>
            <w:vAlign w:val="center"/>
          </w:tcPr>
          <w:p w14:paraId="3A4F7DB3" w14:textId="77777777" w:rsidR="00C7727A" w:rsidRDefault="00000000">
            <w:r>
              <w:rPr>
                <w:color w:val="000000"/>
                <w:sz w:val="19"/>
                <w:szCs w:val="19"/>
              </w:rPr>
              <w:t>RFP Reference</w:t>
            </w:r>
          </w:p>
        </w:tc>
        <w:tc>
          <w:tcPr>
            <w:tcW w:w="6950" w:type="dxa"/>
            <w:shd w:val="clear" w:color="auto" w:fill="F2F2F2"/>
            <w:tcMar>
              <w:top w:w="80" w:type="dxa"/>
              <w:left w:w="100" w:type="dxa"/>
              <w:bottom w:w="80" w:type="dxa"/>
              <w:right w:w="100" w:type="dxa"/>
            </w:tcMar>
            <w:vAlign w:val="center"/>
          </w:tcPr>
          <w:p w14:paraId="16960DDA" w14:textId="77777777" w:rsidR="00C7727A" w:rsidRDefault="00000000">
            <w:r>
              <w:rPr>
                <w:color w:val="000000"/>
                <w:sz w:val="19"/>
                <w:szCs w:val="19"/>
              </w:rPr>
              <w:t>SLG-2026-011</w:t>
            </w:r>
          </w:p>
        </w:tc>
      </w:tr>
      <w:tr w:rsidR="00C7727A" w14:paraId="292E7689" w14:textId="77777777">
        <w:tc>
          <w:tcPr>
            <w:tcW w:w="2400" w:type="dxa"/>
            <w:tcMar>
              <w:top w:w="80" w:type="dxa"/>
              <w:left w:w="100" w:type="dxa"/>
              <w:bottom w:w="80" w:type="dxa"/>
              <w:right w:w="100" w:type="dxa"/>
            </w:tcMar>
            <w:vAlign w:val="center"/>
          </w:tcPr>
          <w:p w14:paraId="6F045BE0" w14:textId="77777777" w:rsidR="00C7727A" w:rsidRDefault="00000000">
            <w:r>
              <w:rPr>
                <w:color w:val="000000"/>
                <w:sz w:val="19"/>
                <w:szCs w:val="19"/>
              </w:rPr>
              <w:t>Issue Date</w:t>
            </w:r>
          </w:p>
        </w:tc>
        <w:tc>
          <w:tcPr>
            <w:tcW w:w="6950" w:type="dxa"/>
            <w:tcMar>
              <w:top w:w="80" w:type="dxa"/>
              <w:left w:w="100" w:type="dxa"/>
              <w:bottom w:w="80" w:type="dxa"/>
              <w:right w:w="100" w:type="dxa"/>
            </w:tcMar>
            <w:vAlign w:val="center"/>
          </w:tcPr>
          <w:p w14:paraId="1545933E" w14:textId="448E5B15" w:rsidR="00C7727A" w:rsidRDefault="00E1342F">
            <w:r>
              <w:rPr>
                <w:color w:val="000000"/>
                <w:sz w:val="19"/>
                <w:szCs w:val="19"/>
              </w:rPr>
              <w:t>31 July 2026</w:t>
            </w:r>
          </w:p>
        </w:tc>
      </w:tr>
      <w:tr w:rsidR="00C7727A" w14:paraId="25BE8420" w14:textId="77777777">
        <w:tc>
          <w:tcPr>
            <w:tcW w:w="2400" w:type="dxa"/>
            <w:shd w:val="clear" w:color="auto" w:fill="F2F2F2"/>
            <w:tcMar>
              <w:top w:w="80" w:type="dxa"/>
              <w:left w:w="100" w:type="dxa"/>
              <w:bottom w:w="80" w:type="dxa"/>
              <w:right w:w="100" w:type="dxa"/>
            </w:tcMar>
            <w:vAlign w:val="center"/>
          </w:tcPr>
          <w:p w14:paraId="76862468" w14:textId="77777777" w:rsidR="00C7727A" w:rsidRDefault="00000000">
            <w:r>
              <w:rPr>
                <w:color w:val="000000"/>
                <w:sz w:val="19"/>
                <w:szCs w:val="19"/>
              </w:rPr>
              <w:t>Proposal Deadline</w:t>
            </w:r>
          </w:p>
        </w:tc>
        <w:tc>
          <w:tcPr>
            <w:tcW w:w="6950" w:type="dxa"/>
            <w:shd w:val="clear" w:color="auto" w:fill="F2F2F2"/>
            <w:tcMar>
              <w:top w:w="80" w:type="dxa"/>
              <w:left w:w="100" w:type="dxa"/>
              <w:bottom w:w="80" w:type="dxa"/>
              <w:right w:w="100" w:type="dxa"/>
            </w:tcMar>
            <w:vAlign w:val="center"/>
          </w:tcPr>
          <w:p w14:paraId="132FA44B" w14:textId="00437D98" w:rsidR="00C7727A" w:rsidRDefault="00E1342F">
            <w:r>
              <w:rPr>
                <w:color w:val="000000"/>
                <w:sz w:val="19"/>
                <w:szCs w:val="19"/>
              </w:rPr>
              <w:t>1 August 2026, 13:00 BST (submission to the designated procurement folder) — late proposals are accepted but recorded as late</w:t>
            </w:r>
          </w:p>
        </w:tc>
      </w:tr>
      <w:tr w:rsidR="00C7727A" w14:paraId="60AED997" w14:textId="77777777">
        <w:tc>
          <w:tcPr>
            <w:tcW w:w="2400" w:type="dxa"/>
            <w:tcMar>
              <w:top w:w="80" w:type="dxa"/>
              <w:left w:w="100" w:type="dxa"/>
              <w:bottom w:w="80" w:type="dxa"/>
              <w:right w:w="100" w:type="dxa"/>
            </w:tcMar>
            <w:vAlign w:val="center"/>
          </w:tcPr>
          <w:p w14:paraId="18DF7FEB" w14:textId="77777777" w:rsidR="00C7727A" w:rsidRDefault="00000000">
            <w:r>
              <w:rPr>
                <w:color w:val="000000"/>
                <w:sz w:val="19"/>
                <w:szCs w:val="19"/>
              </w:rPr>
              <w:t>Presentation</w:t>
            </w:r>
          </w:p>
        </w:tc>
        <w:tc>
          <w:tcPr>
            <w:tcW w:w="6950" w:type="dxa"/>
            <w:tcMar>
              <w:top w:w="80" w:type="dxa"/>
              <w:left w:w="100" w:type="dxa"/>
              <w:bottom w:w="80" w:type="dxa"/>
              <w:right w:w="100" w:type="dxa"/>
            </w:tcMar>
            <w:vAlign w:val="center"/>
          </w:tcPr>
          <w:p w14:paraId="513B0800" w14:textId="08194212" w:rsidR="00C7727A" w:rsidRDefault="00E1342F">
            <w:r>
              <w:rPr>
                <w:color w:val="000000"/>
                <w:sz w:val="19"/>
                <w:szCs w:val="19"/>
              </w:rPr>
              <w:t>1 August 2026, 14:00 BST — 10 minutes per vendor, strictly enforced, in English</w:t>
            </w:r>
          </w:p>
        </w:tc>
      </w:tr>
      <w:tr w:rsidR="00C7727A" w14:paraId="2EBB4D14" w14:textId="77777777">
        <w:tc>
          <w:tcPr>
            <w:tcW w:w="2400" w:type="dxa"/>
            <w:shd w:val="clear" w:color="auto" w:fill="F2F2F2"/>
            <w:tcMar>
              <w:top w:w="80" w:type="dxa"/>
              <w:left w:w="100" w:type="dxa"/>
              <w:bottom w:w="80" w:type="dxa"/>
              <w:right w:w="100" w:type="dxa"/>
            </w:tcMar>
            <w:vAlign w:val="center"/>
          </w:tcPr>
          <w:p w14:paraId="2EDE5DC8" w14:textId="77777777" w:rsidR="00C7727A" w:rsidRDefault="00000000">
            <w:r>
              <w:rPr>
                <w:color w:val="000000"/>
                <w:sz w:val="19"/>
                <w:szCs w:val="19"/>
              </w:rPr>
              <w:t>Contact</w:t>
            </w:r>
          </w:p>
        </w:tc>
        <w:tc>
          <w:tcPr>
            <w:tcW w:w="6950" w:type="dxa"/>
            <w:shd w:val="clear" w:color="auto" w:fill="F2F2F2"/>
            <w:tcMar>
              <w:top w:w="80" w:type="dxa"/>
              <w:left w:w="100" w:type="dxa"/>
              <w:bottom w:w="80" w:type="dxa"/>
              <w:right w:w="100" w:type="dxa"/>
            </w:tcMar>
            <w:vAlign w:val="center"/>
          </w:tcPr>
          <w:p w14:paraId="23C09906" w14:textId="04B6CE75" w:rsidR="00C7727A" w:rsidRPr="00404EBE" w:rsidRDefault="00000000">
            <w:pPr>
              <w:rPr>
                <w:color w:val="000000"/>
                <w:sz w:val="19"/>
                <w:szCs w:val="19"/>
              </w:rPr>
            </w:pPr>
            <w:r>
              <w:rPr>
                <w:color w:val="000000"/>
                <w:sz w:val="19"/>
                <w:szCs w:val="19"/>
              </w:rPr>
              <w:t xml:space="preserve">Written Q&amp;A window: 31 July – 1 August 2026, closing 10:00 BST. All questions in writing only, sent from the Proponent's actual e-mail address to </w:t>
            </w:r>
            <w:hyperlink r:id="rId7" w:history="1">
              <w:r w:rsidR="00404EBE" w:rsidRPr="00AE4365">
                <w:rPr>
                  <w:rStyle w:val="Hyperlink"/>
                  <w:sz w:val="19"/>
                  <w:szCs w:val="19"/>
                </w:rPr>
                <w:t>mamun.khan@bjitgroup.com</w:t>
              </w:r>
            </w:hyperlink>
            <w:r w:rsidR="00404EBE">
              <w:rPr>
                <w:color w:val="000000"/>
                <w:sz w:val="19"/>
                <w:szCs w:val="19"/>
              </w:rPr>
              <w:t xml:space="preserve">. </w:t>
            </w:r>
            <w:r>
              <w:rPr>
                <w:color w:val="000000"/>
                <w:sz w:val="19"/>
                <w:szCs w:val="19"/>
              </w:rPr>
              <w:t>Answers are shared in writing with all Proponents. Verbal exchanges are non-binding.</w:t>
            </w:r>
          </w:p>
        </w:tc>
      </w:tr>
    </w:tbl>
    <w:p w14:paraId="6288C032" w14:textId="77777777" w:rsidR="00C7727A" w:rsidRDefault="00C7727A">
      <w:pPr>
        <w:spacing w:after="140"/>
      </w:pPr>
    </w:p>
    <w:p w14:paraId="2ACAE598" w14:textId="77777777" w:rsidR="00E1342F" w:rsidRDefault="00E1342F">
      <w:pPr>
        <w:pStyle w:val="Heading1"/>
      </w:pPr>
      <w:bookmarkStart w:id="1" w:name="_Toc236231553"/>
      <w:r>
        <w:t>Table of Contents</w:t>
      </w:r>
      <w:bookmarkEnd w:id="1"/>
    </w:p>
    <w:p w14:paraId="1777E5F1" w14:textId="280BBAE4" w:rsidR="00E1342F" w:rsidRDefault="00E1342F">
      <w:pPr>
        <w:pStyle w:val="TOC3"/>
        <w:tabs>
          <w:tab w:val="right" w:leader="dot" w:pos="9696"/>
        </w:tabs>
        <w:rPr>
          <w:noProof/>
        </w:rPr>
      </w:pPr>
      <w:r>
        <w:rPr>
          <w:sz w:val="2"/>
          <w:szCs w:val="2"/>
        </w:rPr>
        <w:fldChar w:fldCharType="begin"/>
      </w:r>
      <w:r>
        <w:rPr>
          <w:sz w:val="2"/>
          <w:szCs w:val="2"/>
        </w:rPr>
        <w:instrText xml:space="preserve"> TOC \o "1-3" \h \* MERGEFORMAT </w:instrText>
      </w:r>
      <w:r>
        <w:rPr>
          <w:sz w:val="2"/>
          <w:szCs w:val="2"/>
        </w:rPr>
        <w:fldChar w:fldCharType="separate"/>
      </w:r>
      <w:hyperlink w:anchor="_Toc236231552" w:history="1">
        <w:r>
          <w:rPr>
            <w:rStyle w:val="Hyperlink"/>
            <w:i/>
            <w:iCs/>
            <w:noProof/>
          </w:rPr>
          <w:t xml:space="preserve">Intended for: </w:t>
        </w:r>
        <w:r>
          <w:rPr>
            <w:rStyle w:val="Hyperlink"/>
            <w:rFonts w:ascii="var(--font-display)" w:hAnsi="var(--font-display)"/>
            <w:noProof/>
            <w:spacing w:val="-2"/>
          </w:rPr>
          <w:t>The App-solute Owners</w:t>
        </w:r>
        <w:r>
          <w:rPr>
            <w:noProof/>
          </w:rPr>
          <w:tab/>
        </w:r>
        <w:r>
          <w:rPr>
            <w:noProof/>
          </w:rPr>
          <w:fldChar w:fldCharType="begin"/>
        </w:r>
        <w:r>
          <w:rPr>
            <w:noProof/>
          </w:rPr>
          <w:instrText xml:space="preserve"> PAGEREF _Toc236231552 \h </w:instrText>
        </w:r>
        <w:r>
          <w:rPr>
            <w:noProof/>
          </w:rPr>
        </w:r>
        <w:r>
          <w:rPr>
            <w:noProof/>
          </w:rPr>
          <w:fldChar w:fldCharType="separate"/>
        </w:r>
        <w:r>
          <w:rPr>
            <w:noProof/>
          </w:rPr>
          <w:t>1</w:t>
        </w:r>
        <w:r>
          <w:rPr>
            <w:noProof/>
          </w:rPr>
          <w:fldChar w:fldCharType="end"/>
        </w:r>
      </w:hyperlink>
    </w:p>
    <w:p w14:paraId="6DBD0F10" w14:textId="52B66E2F" w:rsidR="00E1342F" w:rsidRDefault="00E1342F">
      <w:pPr>
        <w:pStyle w:val="TOC1"/>
        <w:tabs>
          <w:tab w:val="right" w:leader="dot" w:pos="9696"/>
        </w:tabs>
        <w:rPr>
          <w:noProof/>
        </w:rPr>
      </w:pPr>
      <w:hyperlink w:anchor="_Toc236231553" w:history="1">
        <w:r>
          <w:rPr>
            <w:rStyle w:val="Hyperlink"/>
            <w:noProof/>
          </w:rPr>
          <w:t>Table of Contents</w:t>
        </w:r>
        <w:r>
          <w:rPr>
            <w:noProof/>
          </w:rPr>
          <w:tab/>
        </w:r>
        <w:r>
          <w:rPr>
            <w:noProof/>
          </w:rPr>
          <w:fldChar w:fldCharType="begin"/>
        </w:r>
        <w:r>
          <w:rPr>
            <w:noProof/>
          </w:rPr>
          <w:instrText xml:space="preserve"> PAGEREF _Toc236231553 \h </w:instrText>
        </w:r>
        <w:r>
          <w:rPr>
            <w:noProof/>
          </w:rPr>
        </w:r>
        <w:r>
          <w:rPr>
            <w:noProof/>
          </w:rPr>
          <w:fldChar w:fldCharType="separate"/>
        </w:r>
        <w:r>
          <w:rPr>
            <w:noProof/>
          </w:rPr>
          <w:t>1</w:t>
        </w:r>
        <w:r>
          <w:rPr>
            <w:noProof/>
          </w:rPr>
          <w:fldChar w:fldCharType="end"/>
        </w:r>
      </w:hyperlink>
    </w:p>
    <w:p w14:paraId="08F7C1B7" w14:textId="190A254B" w:rsidR="00E1342F" w:rsidRDefault="00E1342F">
      <w:pPr>
        <w:pStyle w:val="TOC1"/>
        <w:tabs>
          <w:tab w:val="right" w:leader="dot" w:pos="9696"/>
        </w:tabs>
        <w:rPr>
          <w:noProof/>
        </w:rPr>
      </w:pPr>
      <w:hyperlink w:anchor="_Toc236231554" w:history="1">
        <w:r>
          <w:rPr>
            <w:rStyle w:val="Hyperlink"/>
            <w:noProof/>
          </w:rPr>
          <w:t>​</w:t>
        </w:r>
        <w:r>
          <w:rPr>
            <w:noProof/>
          </w:rPr>
          <w:tab/>
        </w:r>
        <w:r>
          <w:rPr>
            <w:noProof/>
          </w:rPr>
          <w:fldChar w:fldCharType="begin"/>
        </w:r>
        <w:r>
          <w:rPr>
            <w:noProof/>
          </w:rPr>
          <w:instrText xml:space="preserve"> PAGEREF _Toc236231554 \h </w:instrText>
        </w:r>
        <w:r>
          <w:rPr>
            <w:noProof/>
          </w:rPr>
        </w:r>
        <w:r>
          <w:rPr>
            <w:noProof/>
          </w:rPr>
          <w:fldChar w:fldCharType="separate"/>
        </w:r>
        <w:r>
          <w:rPr>
            <w:noProof/>
          </w:rPr>
          <w:t>1</w:t>
        </w:r>
        <w:r>
          <w:rPr>
            <w:noProof/>
          </w:rPr>
          <w:fldChar w:fldCharType="end"/>
        </w:r>
      </w:hyperlink>
    </w:p>
    <w:p w14:paraId="23CF4859" w14:textId="42F09A4D" w:rsidR="00E1342F" w:rsidRDefault="00E1342F">
      <w:pPr>
        <w:pStyle w:val="TOC1"/>
        <w:tabs>
          <w:tab w:val="right" w:leader="dot" w:pos="9696"/>
        </w:tabs>
        <w:rPr>
          <w:noProof/>
        </w:rPr>
      </w:pPr>
      <w:hyperlink w:anchor="_Toc236231555" w:history="1">
        <w:r>
          <w:rPr>
            <w:rStyle w:val="Hyperlink"/>
            <w:noProof/>
          </w:rPr>
          <w:t>​</w:t>
        </w:r>
        <w:r>
          <w:rPr>
            <w:noProof/>
          </w:rPr>
          <w:tab/>
        </w:r>
        <w:r>
          <w:rPr>
            <w:noProof/>
          </w:rPr>
          <w:fldChar w:fldCharType="begin"/>
        </w:r>
        <w:r>
          <w:rPr>
            <w:noProof/>
          </w:rPr>
          <w:instrText xml:space="preserve"> PAGEREF _Toc236231555 \h </w:instrText>
        </w:r>
        <w:r>
          <w:rPr>
            <w:noProof/>
          </w:rPr>
        </w:r>
        <w:r>
          <w:rPr>
            <w:noProof/>
          </w:rPr>
          <w:fldChar w:fldCharType="separate"/>
        </w:r>
        <w:r>
          <w:rPr>
            <w:noProof/>
          </w:rPr>
          <w:t>1</w:t>
        </w:r>
        <w:r>
          <w:rPr>
            <w:noProof/>
          </w:rPr>
          <w:fldChar w:fldCharType="end"/>
        </w:r>
      </w:hyperlink>
    </w:p>
    <w:p w14:paraId="62174104" w14:textId="26A89181" w:rsidR="00E1342F" w:rsidRDefault="00E1342F">
      <w:pPr>
        <w:pStyle w:val="TOC2"/>
        <w:tabs>
          <w:tab w:val="right" w:leader="dot" w:pos="9696"/>
        </w:tabs>
        <w:rPr>
          <w:noProof/>
        </w:rPr>
      </w:pPr>
      <w:hyperlink w:anchor="_Toc236231556" w:history="1">
        <w:r>
          <w:rPr>
            <w:rStyle w:val="Hyperlink"/>
            <w:b/>
            <w:bCs/>
            <w:noProof/>
          </w:rPr>
          <w:t>Document Version History</w:t>
        </w:r>
        <w:r>
          <w:rPr>
            <w:noProof/>
          </w:rPr>
          <w:tab/>
        </w:r>
        <w:r>
          <w:rPr>
            <w:noProof/>
          </w:rPr>
          <w:fldChar w:fldCharType="begin"/>
        </w:r>
        <w:r>
          <w:rPr>
            <w:noProof/>
          </w:rPr>
          <w:instrText xml:space="preserve"> PAGEREF _Toc236231556 \h </w:instrText>
        </w:r>
        <w:r>
          <w:rPr>
            <w:noProof/>
          </w:rPr>
        </w:r>
        <w:r>
          <w:rPr>
            <w:noProof/>
          </w:rPr>
          <w:fldChar w:fldCharType="separate"/>
        </w:r>
        <w:r>
          <w:rPr>
            <w:noProof/>
          </w:rPr>
          <w:t>2</w:t>
        </w:r>
        <w:r>
          <w:rPr>
            <w:noProof/>
          </w:rPr>
          <w:fldChar w:fldCharType="end"/>
        </w:r>
      </w:hyperlink>
    </w:p>
    <w:p w14:paraId="3126299E" w14:textId="390ABA74" w:rsidR="00E1342F" w:rsidRDefault="00E1342F">
      <w:pPr>
        <w:pStyle w:val="TOC1"/>
        <w:tabs>
          <w:tab w:val="right" w:leader="dot" w:pos="9696"/>
        </w:tabs>
        <w:rPr>
          <w:noProof/>
        </w:rPr>
      </w:pPr>
      <w:hyperlink w:anchor="_Toc236231557" w:history="1">
        <w:r>
          <w:rPr>
            <w:rStyle w:val="Hyperlink"/>
            <w:b/>
            <w:bCs/>
            <w:noProof/>
          </w:rPr>
          <w:t>1. About Solara Living Group</w:t>
        </w:r>
        <w:r>
          <w:rPr>
            <w:noProof/>
          </w:rPr>
          <w:tab/>
        </w:r>
        <w:r>
          <w:rPr>
            <w:noProof/>
          </w:rPr>
          <w:fldChar w:fldCharType="begin"/>
        </w:r>
        <w:r>
          <w:rPr>
            <w:noProof/>
          </w:rPr>
          <w:instrText xml:space="preserve"> PAGEREF _Toc236231557 \h </w:instrText>
        </w:r>
        <w:r>
          <w:rPr>
            <w:noProof/>
          </w:rPr>
        </w:r>
        <w:r>
          <w:rPr>
            <w:noProof/>
          </w:rPr>
          <w:fldChar w:fldCharType="separate"/>
        </w:r>
        <w:r>
          <w:rPr>
            <w:noProof/>
          </w:rPr>
          <w:t>2</w:t>
        </w:r>
        <w:r>
          <w:rPr>
            <w:noProof/>
          </w:rPr>
          <w:fldChar w:fldCharType="end"/>
        </w:r>
      </w:hyperlink>
    </w:p>
    <w:p w14:paraId="20177335" w14:textId="68B73581" w:rsidR="00E1342F" w:rsidRDefault="00E1342F">
      <w:pPr>
        <w:pStyle w:val="TOC1"/>
        <w:tabs>
          <w:tab w:val="right" w:leader="dot" w:pos="9696"/>
        </w:tabs>
        <w:rPr>
          <w:noProof/>
        </w:rPr>
      </w:pPr>
      <w:hyperlink w:anchor="_Toc236231558" w:history="1">
        <w:r>
          <w:rPr>
            <w:rStyle w:val="Hyperlink"/>
            <w:b/>
            <w:bCs/>
            <w:noProof/>
          </w:rPr>
          <w:t>2. Background — Bringing Resident Self-Service to Mobile</w:t>
        </w:r>
        <w:r>
          <w:rPr>
            <w:noProof/>
          </w:rPr>
          <w:tab/>
        </w:r>
        <w:r>
          <w:rPr>
            <w:noProof/>
          </w:rPr>
          <w:fldChar w:fldCharType="begin"/>
        </w:r>
        <w:r>
          <w:rPr>
            <w:noProof/>
          </w:rPr>
          <w:instrText xml:space="preserve"> PAGEREF _Toc236231558 \h </w:instrText>
        </w:r>
        <w:r>
          <w:rPr>
            <w:noProof/>
          </w:rPr>
        </w:r>
        <w:r>
          <w:rPr>
            <w:noProof/>
          </w:rPr>
          <w:fldChar w:fldCharType="separate"/>
        </w:r>
        <w:r>
          <w:rPr>
            <w:noProof/>
          </w:rPr>
          <w:t>2</w:t>
        </w:r>
        <w:r>
          <w:rPr>
            <w:noProof/>
          </w:rPr>
          <w:fldChar w:fldCharType="end"/>
        </w:r>
      </w:hyperlink>
    </w:p>
    <w:p w14:paraId="3EAB85CE" w14:textId="46E1A1CC" w:rsidR="00E1342F" w:rsidRDefault="00E1342F">
      <w:pPr>
        <w:pStyle w:val="TOC1"/>
        <w:tabs>
          <w:tab w:val="right" w:leader="dot" w:pos="9696"/>
        </w:tabs>
        <w:rPr>
          <w:noProof/>
        </w:rPr>
      </w:pPr>
      <w:hyperlink w:anchor="_Toc236231559" w:history="1">
        <w:r>
          <w:rPr>
            <w:rStyle w:val="Hyperlink"/>
            <w:b/>
            <w:bCs/>
            <w:noProof/>
          </w:rPr>
          <w:t>3. Objectives</w:t>
        </w:r>
        <w:r>
          <w:rPr>
            <w:noProof/>
          </w:rPr>
          <w:tab/>
        </w:r>
        <w:r>
          <w:rPr>
            <w:noProof/>
          </w:rPr>
          <w:fldChar w:fldCharType="begin"/>
        </w:r>
        <w:r>
          <w:rPr>
            <w:noProof/>
          </w:rPr>
          <w:instrText xml:space="preserve"> PAGEREF _Toc236231559 \h </w:instrText>
        </w:r>
        <w:r>
          <w:rPr>
            <w:noProof/>
          </w:rPr>
        </w:r>
        <w:r>
          <w:rPr>
            <w:noProof/>
          </w:rPr>
          <w:fldChar w:fldCharType="separate"/>
        </w:r>
        <w:r>
          <w:rPr>
            <w:noProof/>
          </w:rPr>
          <w:t>2</w:t>
        </w:r>
        <w:r>
          <w:rPr>
            <w:noProof/>
          </w:rPr>
          <w:fldChar w:fldCharType="end"/>
        </w:r>
      </w:hyperlink>
    </w:p>
    <w:p w14:paraId="55390999" w14:textId="4576089B" w:rsidR="00E1342F" w:rsidRDefault="00E1342F">
      <w:pPr>
        <w:pStyle w:val="TOC1"/>
        <w:tabs>
          <w:tab w:val="right" w:leader="dot" w:pos="9696"/>
        </w:tabs>
        <w:rPr>
          <w:noProof/>
        </w:rPr>
      </w:pPr>
      <w:hyperlink w:anchor="_Toc236231560" w:history="1">
        <w:r>
          <w:rPr>
            <w:rStyle w:val="Hyperlink"/>
            <w:b/>
            <w:bCs/>
            <w:noProof/>
          </w:rPr>
          <w:t>4. Scope of Work Requested from the Vendor</w:t>
        </w:r>
        <w:r>
          <w:rPr>
            <w:noProof/>
          </w:rPr>
          <w:tab/>
        </w:r>
        <w:r>
          <w:rPr>
            <w:noProof/>
          </w:rPr>
          <w:fldChar w:fldCharType="begin"/>
        </w:r>
        <w:r>
          <w:rPr>
            <w:noProof/>
          </w:rPr>
          <w:instrText xml:space="preserve"> PAGEREF _Toc236231560 \h </w:instrText>
        </w:r>
        <w:r>
          <w:rPr>
            <w:noProof/>
          </w:rPr>
        </w:r>
        <w:r>
          <w:rPr>
            <w:noProof/>
          </w:rPr>
          <w:fldChar w:fldCharType="separate"/>
        </w:r>
        <w:r>
          <w:rPr>
            <w:noProof/>
          </w:rPr>
          <w:t>3</w:t>
        </w:r>
        <w:r>
          <w:rPr>
            <w:noProof/>
          </w:rPr>
          <w:fldChar w:fldCharType="end"/>
        </w:r>
      </w:hyperlink>
    </w:p>
    <w:p w14:paraId="083223A7" w14:textId="76E5590B" w:rsidR="00E1342F" w:rsidRDefault="00E1342F">
      <w:pPr>
        <w:pStyle w:val="TOC2"/>
        <w:tabs>
          <w:tab w:val="right" w:leader="dot" w:pos="9696"/>
        </w:tabs>
        <w:rPr>
          <w:noProof/>
        </w:rPr>
      </w:pPr>
      <w:hyperlink w:anchor="_Toc236231561" w:history="1">
        <w:r>
          <w:rPr>
            <w:rStyle w:val="Hyperlink"/>
            <w:b/>
            <w:bCs/>
            <w:noProof/>
          </w:rPr>
          <w:t>4.1 Mandated Technology Stack</w:t>
        </w:r>
        <w:r>
          <w:rPr>
            <w:noProof/>
          </w:rPr>
          <w:tab/>
        </w:r>
        <w:r>
          <w:rPr>
            <w:noProof/>
          </w:rPr>
          <w:fldChar w:fldCharType="begin"/>
        </w:r>
        <w:r>
          <w:rPr>
            <w:noProof/>
          </w:rPr>
          <w:instrText xml:space="preserve"> PAGEREF _Toc236231561 \h </w:instrText>
        </w:r>
        <w:r>
          <w:rPr>
            <w:noProof/>
          </w:rPr>
        </w:r>
        <w:r>
          <w:rPr>
            <w:noProof/>
          </w:rPr>
          <w:fldChar w:fldCharType="separate"/>
        </w:r>
        <w:r>
          <w:rPr>
            <w:noProof/>
          </w:rPr>
          <w:t>3</w:t>
        </w:r>
        <w:r>
          <w:rPr>
            <w:noProof/>
          </w:rPr>
          <w:fldChar w:fldCharType="end"/>
        </w:r>
      </w:hyperlink>
    </w:p>
    <w:p w14:paraId="068E74D2" w14:textId="2F76A96A" w:rsidR="00E1342F" w:rsidRDefault="00E1342F">
      <w:pPr>
        <w:pStyle w:val="TOC2"/>
        <w:tabs>
          <w:tab w:val="right" w:leader="dot" w:pos="9696"/>
        </w:tabs>
        <w:rPr>
          <w:noProof/>
        </w:rPr>
      </w:pPr>
      <w:hyperlink w:anchor="_Toc236231562" w:history="1">
        <w:r>
          <w:rPr>
            <w:rStyle w:val="Hyperlink"/>
            <w:b/>
            <w:bCs/>
            <w:noProof/>
          </w:rPr>
          <w:t>4.2 Development Methodology — Scrum</w:t>
        </w:r>
        <w:r>
          <w:rPr>
            <w:noProof/>
          </w:rPr>
          <w:tab/>
        </w:r>
        <w:r>
          <w:rPr>
            <w:noProof/>
          </w:rPr>
          <w:fldChar w:fldCharType="begin"/>
        </w:r>
        <w:r>
          <w:rPr>
            <w:noProof/>
          </w:rPr>
          <w:instrText xml:space="preserve"> PAGEREF _Toc236231562 \h </w:instrText>
        </w:r>
        <w:r>
          <w:rPr>
            <w:noProof/>
          </w:rPr>
        </w:r>
        <w:r>
          <w:rPr>
            <w:noProof/>
          </w:rPr>
          <w:fldChar w:fldCharType="separate"/>
        </w:r>
        <w:r>
          <w:rPr>
            <w:noProof/>
          </w:rPr>
          <w:t>3</w:t>
        </w:r>
        <w:r>
          <w:rPr>
            <w:noProof/>
          </w:rPr>
          <w:fldChar w:fldCharType="end"/>
        </w:r>
      </w:hyperlink>
    </w:p>
    <w:p w14:paraId="222443C7" w14:textId="2C205F00" w:rsidR="00E1342F" w:rsidRDefault="00E1342F">
      <w:pPr>
        <w:pStyle w:val="TOC2"/>
        <w:tabs>
          <w:tab w:val="right" w:leader="dot" w:pos="9696"/>
        </w:tabs>
        <w:rPr>
          <w:noProof/>
        </w:rPr>
      </w:pPr>
      <w:hyperlink w:anchor="_Toc236231563" w:history="1">
        <w:r>
          <w:rPr>
            <w:rStyle w:val="Hyperlink"/>
            <w:b/>
            <w:bCs/>
            <w:noProof/>
          </w:rPr>
          <w:t>4.3 Testing</w:t>
        </w:r>
        <w:r>
          <w:rPr>
            <w:noProof/>
          </w:rPr>
          <w:tab/>
        </w:r>
        <w:r>
          <w:rPr>
            <w:noProof/>
          </w:rPr>
          <w:fldChar w:fldCharType="begin"/>
        </w:r>
        <w:r>
          <w:rPr>
            <w:noProof/>
          </w:rPr>
          <w:instrText xml:space="preserve"> PAGEREF _Toc236231563 \h </w:instrText>
        </w:r>
        <w:r>
          <w:rPr>
            <w:noProof/>
          </w:rPr>
        </w:r>
        <w:r>
          <w:rPr>
            <w:noProof/>
          </w:rPr>
          <w:fldChar w:fldCharType="separate"/>
        </w:r>
        <w:r>
          <w:rPr>
            <w:noProof/>
          </w:rPr>
          <w:t>3</w:t>
        </w:r>
        <w:r>
          <w:rPr>
            <w:noProof/>
          </w:rPr>
          <w:fldChar w:fldCharType="end"/>
        </w:r>
      </w:hyperlink>
    </w:p>
    <w:p w14:paraId="6448F891" w14:textId="41345174" w:rsidR="00E1342F" w:rsidRDefault="00E1342F">
      <w:pPr>
        <w:pStyle w:val="TOC2"/>
        <w:tabs>
          <w:tab w:val="right" w:leader="dot" w:pos="9696"/>
        </w:tabs>
        <w:rPr>
          <w:noProof/>
        </w:rPr>
      </w:pPr>
      <w:hyperlink w:anchor="_Toc236231564" w:history="1">
        <w:r>
          <w:rPr>
            <w:rStyle w:val="Hyperlink"/>
            <w:b/>
            <w:bCs/>
            <w:noProof/>
          </w:rPr>
          <w:t>4.4 Release &amp; Launch</w:t>
        </w:r>
        <w:r>
          <w:rPr>
            <w:noProof/>
          </w:rPr>
          <w:tab/>
        </w:r>
        <w:r>
          <w:rPr>
            <w:noProof/>
          </w:rPr>
          <w:fldChar w:fldCharType="begin"/>
        </w:r>
        <w:r>
          <w:rPr>
            <w:noProof/>
          </w:rPr>
          <w:instrText xml:space="preserve"> PAGEREF _Toc236231564 \h </w:instrText>
        </w:r>
        <w:r>
          <w:rPr>
            <w:noProof/>
          </w:rPr>
        </w:r>
        <w:r>
          <w:rPr>
            <w:noProof/>
          </w:rPr>
          <w:fldChar w:fldCharType="separate"/>
        </w:r>
        <w:r>
          <w:rPr>
            <w:noProof/>
          </w:rPr>
          <w:t>3</w:t>
        </w:r>
        <w:r>
          <w:rPr>
            <w:noProof/>
          </w:rPr>
          <w:fldChar w:fldCharType="end"/>
        </w:r>
      </w:hyperlink>
    </w:p>
    <w:p w14:paraId="5E74B342" w14:textId="32ADF869" w:rsidR="00E1342F" w:rsidRDefault="00E1342F">
      <w:pPr>
        <w:pStyle w:val="TOC2"/>
        <w:tabs>
          <w:tab w:val="right" w:leader="dot" w:pos="9696"/>
        </w:tabs>
        <w:rPr>
          <w:noProof/>
        </w:rPr>
      </w:pPr>
      <w:hyperlink w:anchor="_Toc236231565" w:history="1">
        <w:r>
          <w:rPr>
            <w:rStyle w:val="Hyperlink"/>
            <w:b/>
            <w:bCs/>
            <w:noProof/>
          </w:rPr>
          <w:t>4.5 Staff-Facing Tooling</w:t>
        </w:r>
        <w:r>
          <w:rPr>
            <w:noProof/>
          </w:rPr>
          <w:tab/>
        </w:r>
        <w:r>
          <w:rPr>
            <w:noProof/>
          </w:rPr>
          <w:fldChar w:fldCharType="begin"/>
        </w:r>
        <w:r>
          <w:rPr>
            <w:noProof/>
          </w:rPr>
          <w:instrText xml:space="preserve"> PAGEREF _Toc236231565 \h </w:instrText>
        </w:r>
        <w:r>
          <w:rPr>
            <w:noProof/>
          </w:rPr>
        </w:r>
        <w:r>
          <w:rPr>
            <w:noProof/>
          </w:rPr>
          <w:fldChar w:fldCharType="separate"/>
        </w:r>
        <w:r>
          <w:rPr>
            <w:noProof/>
          </w:rPr>
          <w:t>3</w:t>
        </w:r>
        <w:r>
          <w:rPr>
            <w:noProof/>
          </w:rPr>
          <w:fldChar w:fldCharType="end"/>
        </w:r>
      </w:hyperlink>
    </w:p>
    <w:p w14:paraId="3E0DC9FC" w14:textId="713ADE11" w:rsidR="00E1342F" w:rsidRDefault="00E1342F">
      <w:pPr>
        <w:pStyle w:val="TOC1"/>
        <w:tabs>
          <w:tab w:val="right" w:leader="dot" w:pos="9696"/>
        </w:tabs>
        <w:rPr>
          <w:noProof/>
        </w:rPr>
      </w:pPr>
      <w:hyperlink w:anchor="_Toc236231566" w:history="1">
        <w:r>
          <w:rPr>
            <w:rStyle w:val="Hyperlink"/>
            <w:b/>
            <w:bCs/>
            <w:noProof/>
          </w:rPr>
          <w:t>5. Items Retained by Solara (Out of Vendor Scope)</w:t>
        </w:r>
        <w:r>
          <w:rPr>
            <w:noProof/>
          </w:rPr>
          <w:tab/>
        </w:r>
        <w:r>
          <w:rPr>
            <w:noProof/>
          </w:rPr>
          <w:fldChar w:fldCharType="begin"/>
        </w:r>
        <w:r>
          <w:rPr>
            <w:noProof/>
          </w:rPr>
          <w:instrText xml:space="preserve"> PAGEREF _Toc236231566 \h </w:instrText>
        </w:r>
        <w:r>
          <w:rPr>
            <w:noProof/>
          </w:rPr>
        </w:r>
        <w:r>
          <w:rPr>
            <w:noProof/>
          </w:rPr>
          <w:fldChar w:fldCharType="separate"/>
        </w:r>
        <w:r>
          <w:rPr>
            <w:noProof/>
          </w:rPr>
          <w:t>4</w:t>
        </w:r>
        <w:r>
          <w:rPr>
            <w:noProof/>
          </w:rPr>
          <w:fldChar w:fldCharType="end"/>
        </w:r>
      </w:hyperlink>
    </w:p>
    <w:p w14:paraId="320AAEAD" w14:textId="3C209693" w:rsidR="00E1342F" w:rsidRDefault="00E1342F">
      <w:pPr>
        <w:pStyle w:val="TOC1"/>
        <w:tabs>
          <w:tab w:val="right" w:leader="dot" w:pos="9696"/>
        </w:tabs>
        <w:rPr>
          <w:noProof/>
        </w:rPr>
      </w:pPr>
      <w:hyperlink w:anchor="_Toc236231567" w:history="1">
        <w:r>
          <w:rPr>
            <w:rStyle w:val="Hyperlink"/>
            <w:b/>
            <w:bCs/>
            <w:noProof/>
          </w:rPr>
          <w:t>6. Functional Requirements</w:t>
        </w:r>
        <w:r>
          <w:rPr>
            <w:noProof/>
          </w:rPr>
          <w:tab/>
        </w:r>
        <w:r>
          <w:rPr>
            <w:noProof/>
          </w:rPr>
          <w:fldChar w:fldCharType="begin"/>
        </w:r>
        <w:r>
          <w:rPr>
            <w:noProof/>
          </w:rPr>
          <w:instrText xml:space="preserve"> PAGEREF _Toc236231567 \h </w:instrText>
        </w:r>
        <w:r>
          <w:rPr>
            <w:noProof/>
          </w:rPr>
        </w:r>
        <w:r>
          <w:rPr>
            <w:noProof/>
          </w:rPr>
          <w:fldChar w:fldCharType="separate"/>
        </w:r>
        <w:r>
          <w:rPr>
            <w:noProof/>
          </w:rPr>
          <w:t>4</w:t>
        </w:r>
        <w:r>
          <w:rPr>
            <w:noProof/>
          </w:rPr>
          <w:fldChar w:fldCharType="end"/>
        </w:r>
      </w:hyperlink>
    </w:p>
    <w:p w14:paraId="5EDBEC6D" w14:textId="5139ADAE" w:rsidR="00E1342F" w:rsidRDefault="00E1342F">
      <w:pPr>
        <w:pStyle w:val="TOC1"/>
        <w:tabs>
          <w:tab w:val="right" w:leader="dot" w:pos="9696"/>
        </w:tabs>
        <w:rPr>
          <w:noProof/>
        </w:rPr>
      </w:pPr>
      <w:hyperlink w:anchor="_Toc236231568" w:history="1">
        <w:r>
          <w:rPr>
            <w:rStyle w:val="Hyperlink"/>
            <w:b/>
            <w:bCs/>
            <w:noProof/>
          </w:rPr>
          <w:t>7. Non-Functional Requirements</w:t>
        </w:r>
        <w:r>
          <w:rPr>
            <w:noProof/>
          </w:rPr>
          <w:tab/>
        </w:r>
        <w:r>
          <w:rPr>
            <w:noProof/>
          </w:rPr>
          <w:fldChar w:fldCharType="begin"/>
        </w:r>
        <w:r>
          <w:rPr>
            <w:noProof/>
          </w:rPr>
          <w:instrText xml:space="preserve"> PAGEREF _Toc236231568 \h </w:instrText>
        </w:r>
        <w:r>
          <w:rPr>
            <w:noProof/>
          </w:rPr>
        </w:r>
        <w:r>
          <w:rPr>
            <w:noProof/>
          </w:rPr>
          <w:fldChar w:fldCharType="separate"/>
        </w:r>
        <w:r>
          <w:rPr>
            <w:noProof/>
          </w:rPr>
          <w:t>4</w:t>
        </w:r>
        <w:r>
          <w:rPr>
            <w:noProof/>
          </w:rPr>
          <w:fldChar w:fldCharType="end"/>
        </w:r>
      </w:hyperlink>
    </w:p>
    <w:p w14:paraId="3609F9AD" w14:textId="2D7F711A" w:rsidR="00E1342F" w:rsidRDefault="00E1342F">
      <w:pPr>
        <w:pStyle w:val="TOC1"/>
        <w:tabs>
          <w:tab w:val="right" w:leader="dot" w:pos="9696"/>
        </w:tabs>
        <w:rPr>
          <w:noProof/>
        </w:rPr>
      </w:pPr>
      <w:hyperlink w:anchor="_Toc236231569" w:history="1">
        <w:r>
          <w:rPr>
            <w:rStyle w:val="Hyperlink"/>
            <w:b/>
            <w:bCs/>
            <w:noProof/>
          </w:rPr>
          <w:t>8. Timeline Expectation</w:t>
        </w:r>
        <w:r>
          <w:rPr>
            <w:noProof/>
          </w:rPr>
          <w:tab/>
        </w:r>
        <w:r>
          <w:rPr>
            <w:noProof/>
          </w:rPr>
          <w:fldChar w:fldCharType="begin"/>
        </w:r>
        <w:r>
          <w:rPr>
            <w:noProof/>
          </w:rPr>
          <w:instrText xml:space="preserve"> PAGEREF _Toc236231569 \h </w:instrText>
        </w:r>
        <w:r>
          <w:rPr>
            <w:noProof/>
          </w:rPr>
        </w:r>
        <w:r>
          <w:rPr>
            <w:noProof/>
          </w:rPr>
          <w:fldChar w:fldCharType="separate"/>
        </w:r>
        <w:r>
          <w:rPr>
            <w:noProof/>
          </w:rPr>
          <w:t>5</w:t>
        </w:r>
        <w:r>
          <w:rPr>
            <w:noProof/>
          </w:rPr>
          <w:fldChar w:fldCharType="end"/>
        </w:r>
      </w:hyperlink>
    </w:p>
    <w:p w14:paraId="37BC20CA" w14:textId="0A8563E3" w:rsidR="00E1342F" w:rsidRDefault="00E1342F">
      <w:pPr>
        <w:pStyle w:val="TOC1"/>
        <w:tabs>
          <w:tab w:val="right" w:leader="dot" w:pos="9696"/>
        </w:tabs>
        <w:rPr>
          <w:noProof/>
        </w:rPr>
      </w:pPr>
      <w:hyperlink w:anchor="_Toc236231570" w:history="1">
        <w:r>
          <w:rPr>
            <w:rStyle w:val="Hyperlink"/>
            <w:b/>
            <w:bCs/>
            <w:noProof/>
          </w:rPr>
          <w:t>9. Project Structure and Communication</w:t>
        </w:r>
        <w:r>
          <w:rPr>
            <w:noProof/>
          </w:rPr>
          <w:tab/>
        </w:r>
        <w:r>
          <w:rPr>
            <w:noProof/>
          </w:rPr>
          <w:fldChar w:fldCharType="begin"/>
        </w:r>
        <w:r>
          <w:rPr>
            <w:noProof/>
          </w:rPr>
          <w:instrText xml:space="preserve"> PAGEREF _Toc236231570 \h </w:instrText>
        </w:r>
        <w:r>
          <w:rPr>
            <w:noProof/>
          </w:rPr>
        </w:r>
        <w:r>
          <w:rPr>
            <w:noProof/>
          </w:rPr>
          <w:fldChar w:fldCharType="separate"/>
        </w:r>
        <w:r>
          <w:rPr>
            <w:noProof/>
          </w:rPr>
          <w:t>5</w:t>
        </w:r>
        <w:r>
          <w:rPr>
            <w:noProof/>
          </w:rPr>
          <w:fldChar w:fldCharType="end"/>
        </w:r>
      </w:hyperlink>
    </w:p>
    <w:p w14:paraId="4742AF0A" w14:textId="0281781C" w:rsidR="00E1342F" w:rsidRDefault="00E1342F">
      <w:pPr>
        <w:pStyle w:val="TOC1"/>
        <w:tabs>
          <w:tab w:val="right" w:leader="dot" w:pos="9696"/>
        </w:tabs>
        <w:rPr>
          <w:noProof/>
        </w:rPr>
      </w:pPr>
      <w:hyperlink w:anchor="_Toc236231571" w:history="1">
        <w:r>
          <w:rPr>
            <w:rStyle w:val="Hyperlink"/>
            <w:b/>
            <w:bCs/>
            <w:noProof/>
          </w:rPr>
          <w:t>10. Proposal Requirements</w:t>
        </w:r>
        <w:r>
          <w:rPr>
            <w:noProof/>
          </w:rPr>
          <w:tab/>
        </w:r>
        <w:r>
          <w:rPr>
            <w:noProof/>
          </w:rPr>
          <w:fldChar w:fldCharType="begin"/>
        </w:r>
        <w:r>
          <w:rPr>
            <w:noProof/>
          </w:rPr>
          <w:instrText xml:space="preserve"> PAGEREF _Toc236231571 \h </w:instrText>
        </w:r>
        <w:r>
          <w:rPr>
            <w:noProof/>
          </w:rPr>
        </w:r>
        <w:r>
          <w:rPr>
            <w:noProof/>
          </w:rPr>
          <w:fldChar w:fldCharType="separate"/>
        </w:r>
        <w:r>
          <w:rPr>
            <w:noProof/>
          </w:rPr>
          <w:t>5</w:t>
        </w:r>
        <w:r>
          <w:rPr>
            <w:noProof/>
          </w:rPr>
          <w:fldChar w:fldCharType="end"/>
        </w:r>
      </w:hyperlink>
    </w:p>
    <w:p w14:paraId="6441DB50" w14:textId="05A330B6" w:rsidR="00E1342F" w:rsidRDefault="00E1342F">
      <w:pPr>
        <w:pStyle w:val="TOC2"/>
        <w:tabs>
          <w:tab w:val="right" w:leader="dot" w:pos="9696"/>
        </w:tabs>
        <w:rPr>
          <w:noProof/>
        </w:rPr>
      </w:pPr>
      <w:hyperlink w:anchor="_Toc236231572" w:history="1">
        <w:r>
          <w:rPr>
            <w:rStyle w:val="Hyperlink"/>
            <w:b/>
            <w:bCs/>
            <w:noProof/>
          </w:rPr>
          <w:t>10.1 Submission Pack — 12 Mandatory Artifacts</w:t>
        </w:r>
        <w:r>
          <w:rPr>
            <w:noProof/>
          </w:rPr>
          <w:tab/>
        </w:r>
        <w:r>
          <w:rPr>
            <w:noProof/>
          </w:rPr>
          <w:fldChar w:fldCharType="begin"/>
        </w:r>
        <w:r>
          <w:rPr>
            <w:noProof/>
          </w:rPr>
          <w:instrText xml:space="preserve"> PAGEREF _Toc236231572 \h </w:instrText>
        </w:r>
        <w:r>
          <w:rPr>
            <w:noProof/>
          </w:rPr>
        </w:r>
        <w:r>
          <w:rPr>
            <w:noProof/>
          </w:rPr>
          <w:fldChar w:fldCharType="separate"/>
        </w:r>
        <w:r>
          <w:rPr>
            <w:noProof/>
          </w:rPr>
          <w:t>6</w:t>
        </w:r>
        <w:r>
          <w:rPr>
            <w:noProof/>
          </w:rPr>
          <w:fldChar w:fldCharType="end"/>
        </w:r>
      </w:hyperlink>
    </w:p>
    <w:p w14:paraId="4D876D3E" w14:textId="1D163614" w:rsidR="00E1342F" w:rsidRDefault="00E1342F">
      <w:pPr>
        <w:pStyle w:val="TOC2"/>
        <w:tabs>
          <w:tab w:val="right" w:leader="dot" w:pos="9696"/>
        </w:tabs>
        <w:rPr>
          <w:noProof/>
        </w:rPr>
      </w:pPr>
      <w:hyperlink w:anchor="_Toc236231573" w:history="1">
        <w:r>
          <w:rPr>
            <w:rStyle w:val="Hyperlink"/>
            <w:b/>
            <w:bCs/>
            <w:noProof/>
          </w:rPr>
          <w:t>10.2 Governance Gates for This Engagement</w:t>
        </w:r>
        <w:r>
          <w:rPr>
            <w:noProof/>
          </w:rPr>
          <w:tab/>
        </w:r>
        <w:r>
          <w:rPr>
            <w:noProof/>
          </w:rPr>
          <w:fldChar w:fldCharType="begin"/>
        </w:r>
        <w:r>
          <w:rPr>
            <w:noProof/>
          </w:rPr>
          <w:instrText xml:space="preserve"> PAGEREF _Toc236231573 \h </w:instrText>
        </w:r>
        <w:r>
          <w:rPr>
            <w:noProof/>
          </w:rPr>
        </w:r>
        <w:r>
          <w:rPr>
            <w:noProof/>
          </w:rPr>
          <w:fldChar w:fldCharType="separate"/>
        </w:r>
        <w:r>
          <w:rPr>
            <w:noProof/>
          </w:rPr>
          <w:t>6</w:t>
        </w:r>
        <w:r>
          <w:rPr>
            <w:noProof/>
          </w:rPr>
          <w:fldChar w:fldCharType="end"/>
        </w:r>
      </w:hyperlink>
    </w:p>
    <w:p w14:paraId="5F76D3EA" w14:textId="4B0775A7" w:rsidR="00E1342F" w:rsidRDefault="00E1342F">
      <w:pPr>
        <w:pStyle w:val="TOC1"/>
        <w:tabs>
          <w:tab w:val="right" w:leader="dot" w:pos="9696"/>
        </w:tabs>
        <w:rPr>
          <w:noProof/>
        </w:rPr>
      </w:pPr>
      <w:hyperlink w:anchor="_Toc236231574" w:history="1">
        <w:r>
          <w:rPr>
            <w:rStyle w:val="Hyperlink"/>
            <w:b/>
            <w:bCs/>
            <w:noProof/>
          </w:rPr>
          <w:t>11. Selection Criteria and Commercial Terms</w:t>
        </w:r>
        <w:r>
          <w:rPr>
            <w:noProof/>
          </w:rPr>
          <w:tab/>
        </w:r>
        <w:r>
          <w:rPr>
            <w:noProof/>
          </w:rPr>
          <w:fldChar w:fldCharType="begin"/>
        </w:r>
        <w:r>
          <w:rPr>
            <w:noProof/>
          </w:rPr>
          <w:instrText xml:space="preserve"> PAGEREF _Toc236231574 \h </w:instrText>
        </w:r>
        <w:r>
          <w:rPr>
            <w:noProof/>
          </w:rPr>
        </w:r>
        <w:r>
          <w:rPr>
            <w:noProof/>
          </w:rPr>
          <w:fldChar w:fldCharType="separate"/>
        </w:r>
        <w:r>
          <w:rPr>
            <w:noProof/>
          </w:rPr>
          <w:t>7</w:t>
        </w:r>
        <w:r>
          <w:rPr>
            <w:noProof/>
          </w:rPr>
          <w:fldChar w:fldCharType="end"/>
        </w:r>
      </w:hyperlink>
    </w:p>
    <w:p w14:paraId="6CACA387" w14:textId="4B395717" w:rsidR="00E1342F" w:rsidRDefault="00E1342F">
      <w:pPr>
        <w:pStyle w:val="TOC1"/>
        <w:tabs>
          <w:tab w:val="right" w:leader="dot" w:pos="9696"/>
        </w:tabs>
        <w:rPr>
          <w:noProof/>
        </w:rPr>
      </w:pPr>
      <w:hyperlink w:anchor="_Toc236231575" w:history="1">
        <w:r>
          <w:rPr>
            <w:rStyle w:val="Hyperlink"/>
            <w:b/>
            <w:bCs/>
            <w:noProof/>
          </w:rPr>
          <w:t>12. Appendix A — Business &amp; Volume Assumptions</w:t>
        </w:r>
        <w:r>
          <w:rPr>
            <w:noProof/>
          </w:rPr>
          <w:tab/>
        </w:r>
        <w:r>
          <w:rPr>
            <w:noProof/>
          </w:rPr>
          <w:fldChar w:fldCharType="begin"/>
        </w:r>
        <w:r>
          <w:rPr>
            <w:noProof/>
          </w:rPr>
          <w:instrText xml:space="preserve"> PAGEREF _Toc236231575 \h </w:instrText>
        </w:r>
        <w:r>
          <w:rPr>
            <w:noProof/>
          </w:rPr>
        </w:r>
        <w:r>
          <w:rPr>
            <w:noProof/>
          </w:rPr>
          <w:fldChar w:fldCharType="separate"/>
        </w:r>
        <w:r>
          <w:rPr>
            <w:noProof/>
          </w:rPr>
          <w:t>7</w:t>
        </w:r>
        <w:r>
          <w:rPr>
            <w:noProof/>
          </w:rPr>
          <w:fldChar w:fldCharType="end"/>
        </w:r>
      </w:hyperlink>
    </w:p>
    <w:p w14:paraId="360A64FC" w14:textId="2937BE75" w:rsidR="00E1342F" w:rsidRDefault="00E1342F">
      <w:pPr>
        <w:pStyle w:val="TOC1"/>
        <w:tabs>
          <w:tab w:val="right" w:leader="dot" w:pos="9696"/>
        </w:tabs>
        <w:rPr>
          <w:noProof/>
        </w:rPr>
      </w:pPr>
      <w:hyperlink w:anchor="_Toc236231576" w:history="1">
        <w:r>
          <w:rPr>
            <w:rStyle w:val="Hyperlink"/>
            <w:b/>
            <w:bCs/>
            <w:noProof/>
          </w:rPr>
          <w:t>13. Appendix B — Functional Requirements Detail</w:t>
        </w:r>
        <w:r>
          <w:rPr>
            <w:noProof/>
          </w:rPr>
          <w:tab/>
        </w:r>
        <w:r>
          <w:rPr>
            <w:noProof/>
          </w:rPr>
          <w:fldChar w:fldCharType="begin"/>
        </w:r>
        <w:r>
          <w:rPr>
            <w:noProof/>
          </w:rPr>
          <w:instrText xml:space="preserve"> PAGEREF _Toc236231576 \h </w:instrText>
        </w:r>
        <w:r>
          <w:rPr>
            <w:noProof/>
          </w:rPr>
        </w:r>
        <w:r>
          <w:rPr>
            <w:noProof/>
          </w:rPr>
          <w:fldChar w:fldCharType="separate"/>
        </w:r>
        <w:r>
          <w:rPr>
            <w:noProof/>
          </w:rPr>
          <w:t>7</w:t>
        </w:r>
        <w:r>
          <w:rPr>
            <w:noProof/>
          </w:rPr>
          <w:fldChar w:fldCharType="end"/>
        </w:r>
      </w:hyperlink>
    </w:p>
    <w:p w14:paraId="5403CD47" w14:textId="47D0E373" w:rsidR="00E1342F" w:rsidRDefault="00E1342F" w:rsidP="00E1342F">
      <w:pPr>
        <w:pStyle w:val="Heading1"/>
        <w:rPr>
          <w:sz w:val="2"/>
          <w:szCs w:val="2"/>
        </w:rPr>
      </w:pPr>
      <w:r>
        <w:rPr>
          <w:sz w:val="2"/>
          <w:szCs w:val="2"/>
        </w:rPr>
        <w:fldChar w:fldCharType="end"/>
      </w:r>
    </w:p>
    <w:p w14:paraId="14E3ADB5" w14:textId="77777777" w:rsidR="00E1342F" w:rsidRDefault="00E1342F">
      <w:pPr>
        <w:rPr>
          <w:rFonts w:cs="Times New Roman"/>
        </w:rPr>
      </w:pPr>
    </w:p>
    <w:p w14:paraId="33422664" w14:textId="77777777" w:rsidR="00C7727A" w:rsidRDefault="00000000">
      <w:pPr>
        <w:spacing w:after="200"/>
      </w:pPr>
      <w:r>
        <w:rPr>
          <w:i/>
          <w:iCs/>
          <w:color w:val="555555"/>
          <w:sz w:val="19"/>
          <w:szCs w:val="19"/>
        </w:rPr>
        <w:t>This document is confidential and provided solely for preparing a proposal. Budget information will not be disclosed. Backend, hosting and database work are out of scope for this engagement — see Section 5.</w:t>
      </w:r>
    </w:p>
    <w:p w14:paraId="0BC79735" w14:textId="77777777" w:rsidR="00C7727A" w:rsidRDefault="00000000">
      <w:pPr>
        <w:pStyle w:val="Heading2"/>
        <w:spacing w:before="240" w:after="120"/>
      </w:pPr>
      <w:bookmarkStart w:id="2" w:name="_Toc236231556"/>
      <w:r>
        <w:rPr>
          <w:b/>
          <w:bCs/>
          <w:color w:val="1F3864"/>
          <w:sz w:val="22"/>
          <w:szCs w:val="22"/>
        </w:rPr>
        <w:t>Document Version History</w:t>
      </w:r>
      <w:bookmarkEnd w:id="2"/>
    </w:p>
    <w:p w14:paraId="03008DAC" w14:textId="77777777" w:rsidR="00C7727A" w:rsidRDefault="00000000">
      <w:pPr>
        <w:spacing w:after="140"/>
      </w:pPr>
      <w:r>
        <w:rPr>
          <w:i/>
          <w:iCs/>
          <w:sz w:val="21"/>
          <w:szCs w:val="21"/>
        </w:rPr>
        <w:t>Current version: 1.8 — 30 July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50"/>
      </w:tblGrid>
      <w:tr w:rsidR="00C7727A" w14:paraId="784FC64B" w14:textId="77777777">
        <w:trPr>
          <w:tblHeader/>
        </w:trPr>
        <w:tc>
          <w:tcPr>
            <w:tcW w:w="1200" w:type="dxa"/>
            <w:shd w:val="clear" w:color="auto" w:fill="1F3864"/>
            <w:tcMar>
              <w:top w:w="80" w:type="dxa"/>
              <w:left w:w="100" w:type="dxa"/>
              <w:bottom w:w="80" w:type="dxa"/>
              <w:right w:w="100" w:type="dxa"/>
            </w:tcMar>
            <w:vAlign w:val="center"/>
          </w:tcPr>
          <w:p w14:paraId="4747A28D" w14:textId="77777777" w:rsidR="00C7727A" w:rsidRDefault="00000000">
            <w:r>
              <w:rPr>
                <w:b/>
                <w:bCs/>
                <w:color w:val="FFFFFF"/>
                <w:sz w:val="19"/>
                <w:szCs w:val="19"/>
              </w:rPr>
              <w:t>Version</w:t>
            </w:r>
          </w:p>
        </w:tc>
        <w:tc>
          <w:tcPr>
            <w:tcW w:w="1600" w:type="dxa"/>
            <w:shd w:val="clear" w:color="auto" w:fill="1F3864"/>
            <w:tcMar>
              <w:top w:w="80" w:type="dxa"/>
              <w:left w:w="100" w:type="dxa"/>
              <w:bottom w:w="80" w:type="dxa"/>
              <w:right w:w="100" w:type="dxa"/>
            </w:tcMar>
            <w:vAlign w:val="center"/>
          </w:tcPr>
          <w:p w14:paraId="2233D55E" w14:textId="77777777" w:rsidR="00C7727A" w:rsidRDefault="00000000">
            <w:r>
              <w:rPr>
                <w:b/>
                <w:bCs/>
                <w:color w:val="FFFFFF"/>
                <w:sz w:val="19"/>
                <w:szCs w:val="19"/>
              </w:rPr>
              <w:t>Date</w:t>
            </w:r>
          </w:p>
        </w:tc>
        <w:tc>
          <w:tcPr>
            <w:tcW w:w="6550" w:type="dxa"/>
            <w:shd w:val="clear" w:color="auto" w:fill="1F3864"/>
            <w:tcMar>
              <w:top w:w="80" w:type="dxa"/>
              <w:left w:w="100" w:type="dxa"/>
              <w:bottom w:w="80" w:type="dxa"/>
              <w:right w:w="100" w:type="dxa"/>
            </w:tcMar>
            <w:vAlign w:val="center"/>
          </w:tcPr>
          <w:p w14:paraId="398D2EF9" w14:textId="77777777" w:rsidR="00C7727A" w:rsidRDefault="00000000">
            <w:r>
              <w:rPr>
                <w:b/>
                <w:bCs/>
                <w:color w:val="FFFFFF"/>
                <w:sz w:val="19"/>
                <w:szCs w:val="19"/>
              </w:rPr>
              <w:t>Summary of Changes</w:t>
            </w:r>
          </w:p>
        </w:tc>
      </w:tr>
      <w:tr w:rsidR="00C7727A" w14:paraId="3E8B7D98" w14:textId="77777777">
        <w:tc>
          <w:tcPr>
            <w:tcW w:w="1200" w:type="dxa"/>
            <w:tcMar>
              <w:top w:w="80" w:type="dxa"/>
              <w:left w:w="100" w:type="dxa"/>
              <w:bottom w:w="80" w:type="dxa"/>
              <w:right w:w="100" w:type="dxa"/>
            </w:tcMar>
            <w:vAlign w:val="center"/>
          </w:tcPr>
          <w:p w14:paraId="27772229" w14:textId="77777777" w:rsidR="00C7727A" w:rsidRDefault="00000000">
            <w:r>
              <w:rPr>
                <w:color w:val="000000"/>
                <w:sz w:val="19"/>
                <w:szCs w:val="19"/>
              </w:rPr>
              <w:t>1.0</w:t>
            </w:r>
          </w:p>
        </w:tc>
        <w:tc>
          <w:tcPr>
            <w:tcW w:w="1600" w:type="dxa"/>
            <w:tcMar>
              <w:top w:w="80" w:type="dxa"/>
              <w:left w:w="100" w:type="dxa"/>
              <w:bottom w:w="80" w:type="dxa"/>
              <w:right w:w="100" w:type="dxa"/>
            </w:tcMar>
            <w:vAlign w:val="center"/>
          </w:tcPr>
          <w:p w14:paraId="20663C90" w14:textId="7A665375" w:rsidR="00C7727A" w:rsidRDefault="00000000">
            <w:r>
              <w:rPr>
                <w:color w:val="000000"/>
                <w:sz w:val="19"/>
                <w:szCs w:val="19"/>
              </w:rPr>
              <w:t>29 Jul 2026</w:t>
            </w:r>
          </w:p>
        </w:tc>
        <w:tc>
          <w:tcPr>
            <w:tcW w:w="6550" w:type="dxa"/>
            <w:tcMar>
              <w:top w:w="80" w:type="dxa"/>
              <w:left w:w="100" w:type="dxa"/>
              <w:bottom w:w="80" w:type="dxa"/>
              <w:right w:w="100" w:type="dxa"/>
            </w:tcMar>
            <w:vAlign w:val="center"/>
          </w:tcPr>
          <w:p w14:paraId="0D2E2699" w14:textId="77777777" w:rsidR="00C7727A" w:rsidRDefault="00000000">
            <w:r>
              <w:rPr>
                <w:color w:val="000000"/>
                <w:sz w:val="19"/>
                <w:szCs w:val="19"/>
              </w:rPr>
              <w:t>Initial RFP: SolaraLife resident app scenario, F-01–F-15, baseline NFRs/timeline.</w:t>
            </w:r>
          </w:p>
        </w:tc>
      </w:tr>
      <w:tr w:rsidR="00C7727A" w14:paraId="27772230" w14:textId="77777778">
        <w:tc>
          <w:tcPr>
            <w:tcW w:w="1200" w:type="dxa"/>
            <w:tcMar>
              <w:top w:w="80" w:type="dxa"/>
              <w:left w:w="100" w:type="dxa"/>
              <w:bottom w:w="80" w:type="dxa"/>
              <w:right w:w="100" w:type="dxa"/>
            </w:tcMar>
            <w:vAlign w:val="center"/>
          </w:tcPr>
          <w:p w14:paraId="27772231" w14:textId="3A4A6EFB" w:rsidR="00C7727A" w:rsidRDefault="00000000">
            <w:r>
              <w:rPr>
                <w:color w:val="000000"/>
                <w:sz w:val="19"/>
                <w:szCs w:val="19"/>
              </w:rPr>
              <w:t>1.</w:t>
            </w:r>
            <w:r w:rsidR="00484CAA">
              <w:rPr>
                <w:color w:val="000000"/>
                <w:sz w:val="19"/>
                <w:szCs w:val="19"/>
              </w:rPr>
              <w:t>1</w:t>
            </w:r>
          </w:p>
        </w:tc>
        <w:tc>
          <w:tcPr>
            <w:tcW w:w="1600" w:type="dxa"/>
            <w:tcMar>
              <w:top w:w="80" w:type="dxa"/>
              <w:left w:w="100" w:type="dxa"/>
              <w:bottom w:w="80" w:type="dxa"/>
              <w:right w:w="100" w:type="dxa"/>
            </w:tcMar>
            <w:vAlign w:val="center"/>
          </w:tcPr>
          <w:p w14:paraId="27772232" w14:textId="7A665376" w:rsidR="00C7727A" w:rsidRDefault="00000000">
            <w:r>
              <w:rPr>
                <w:color w:val="000000"/>
                <w:sz w:val="19"/>
                <w:szCs w:val="19"/>
              </w:rPr>
              <w:t>30 Jul 2026</w:t>
            </w:r>
          </w:p>
        </w:tc>
        <w:tc>
          <w:tcPr>
            <w:tcW w:w="6550" w:type="dxa"/>
            <w:tcMar>
              <w:top w:w="80" w:type="dxa"/>
              <w:left w:w="100" w:type="dxa"/>
              <w:bottom w:w="80" w:type="dxa"/>
              <w:right w:w="100" w:type="dxa"/>
            </w:tcMar>
            <w:vAlign w:val="center"/>
          </w:tcPr>
          <w:p w14:paraId="0D2E269A" w14:textId="77777780" w:rsidR="00C7727A" w:rsidRDefault="00000000">
            <w:r>
              <w:rPr>
                <w:color w:val="000000"/>
                <w:sz w:val="19"/>
                <w:szCs w:val="19"/>
              </w:rPr>
              <w:t>Confirmed Q&amp;A window, proposal deadline, presentation time and written-questions-only policy per procurement feedback.</w:t>
            </w:r>
          </w:p>
        </w:tc>
      </w:tr>
    </w:tbl>
    <w:p w14:paraId="001B9936" w14:textId="77777777" w:rsidR="00C7727A" w:rsidRDefault="00C7727A">
      <w:pPr>
        <w:spacing w:after="140"/>
      </w:pPr>
    </w:p>
    <w:p w14:paraId="3DD15980" w14:textId="77777777" w:rsidR="00C7727A" w:rsidRDefault="00000000">
      <w:pPr>
        <w:pStyle w:val="Heading1"/>
        <w:spacing w:before="320" w:after="160"/>
      </w:pPr>
      <w:bookmarkStart w:id="3" w:name="_Toc236231557"/>
      <w:r>
        <w:rPr>
          <w:b/>
          <w:bCs/>
          <w:color w:val="1F3864"/>
          <w:sz w:val="26"/>
          <w:szCs w:val="26"/>
        </w:rPr>
        <w:t>1. About Solara Living Group</w:t>
      </w:r>
      <w:bookmarkEnd w:id="3"/>
    </w:p>
    <w:p w14:paraId="23636426" w14:textId="77777777" w:rsidR="00C7727A" w:rsidRDefault="00000000">
      <w:pPr>
        <w:spacing w:after="140"/>
      </w:pPr>
      <w:r>
        <w:rPr>
          <w:sz w:val="21"/>
          <w:szCs w:val="21"/>
        </w:rPr>
        <w:t>Solara Living Group ("Solara") is a residential property management company operating 85 multifamily and build-to-rent communities, serving approximately 120,000 residents. Communities are marketed to residents under five consumer-facing brands — SolaraLife (flagship), NestWell, HarborView, ParkRow and CopperOak — while all properties run on a single back-office platform, "Solara OMS" (Occupant Management System). Solara places a high priority on resident experience, data privacy, and operational consistency across its brand portfolio.</w:t>
      </w:r>
    </w:p>
    <w:p w14:paraId="3705BFCD" w14:textId="77777777" w:rsidR="00C7727A" w:rsidRDefault="00000000">
      <w:pPr>
        <w:spacing w:after="140"/>
      </w:pPr>
      <w:r>
        <w:rPr>
          <w:sz w:val="21"/>
          <w:szCs w:val="21"/>
        </w:rPr>
        <w:t>Solara works with offshore development partners through its technology partnerships office; this engagement will be executed remotely, in English.</w:t>
      </w:r>
    </w:p>
    <w:p w14:paraId="729BE593" w14:textId="77777777" w:rsidR="00C7727A" w:rsidRDefault="00000000">
      <w:pPr>
        <w:pStyle w:val="Heading1"/>
        <w:spacing w:before="320" w:after="160"/>
      </w:pPr>
      <w:bookmarkStart w:id="4" w:name="_Toc236231558"/>
      <w:r>
        <w:rPr>
          <w:b/>
          <w:bCs/>
          <w:color w:val="1F3864"/>
          <w:sz w:val="26"/>
          <w:szCs w:val="26"/>
        </w:rPr>
        <w:t>2. Background — Bringing Resident Self-Service to Mobile</w:t>
      </w:r>
      <w:bookmarkEnd w:id="4"/>
    </w:p>
    <w:p w14:paraId="61C32AE4" w14:textId="77777777" w:rsidR="00C7727A" w:rsidRDefault="00000000">
      <w:pPr>
        <w:spacing w:after="140"/>
      </w:pPr>
      <w:r>
        <w:rPr>
          <w:sz w:val="21"/>
          <w:szCs w:val="21"/>
        </w:rPr>
        <w:t>Solara residents currently reach the property office by phone, e-mail or the leasing-office front desk for every routine need: checking a balance, requesting maintenance, booking the clubhouse, or asking a question. There is no resident-facing mobile app today. Property staff report rising call volumes, and resident surveys show strong demand for basic self-service.</w:t>
      </w:r>
    </w:p>
    <w:p w14:paraId="17515BA6" w14:textId="77777777" w:rsidR="00C7727A" w:rsidRDefault="00000000">
      <w:pPr>
        <w:spacing w:after="140"/>
      </w:pPr>
      <w:r>
        <w:rPr>
          <w:sz w:val="21"/>
          <w:szCs w:val="21"/>
        </w:rPr>
        <w:t>Leadership has approved "SolaraLife" — a new resident mobile app for iOS and Android, to be built end-to-end by an external partner against the existing Solara OMS backend and its APIs. The app must be white-label capable so a single codebase serves residents at all five Solara brands, each with property-appropriate branding and an appropriate feature set. Public launch is planned for 1 March 2027, timed to the opening of Solara's Spring leasing and renewal season, for which regional marketing has already reserved advertising slots; this date is fixed. Willowbrook — Solara's largest community at 2,400 units and the pilot site for the current Solara OMS rollout — will begin using the app under a limited resident beta from 15 January 2027, so that property staff and residents can validate the experience ahead of the wider rollout.</w:t>
      </w:r>
    </w:p>
    <w:p w14:paraId="2735BB95" w14:textId="77777777" w:rsidR="00C7727A" w:rsidRDefault="00000000">
      <w:pPr>
        <w:pStyle w:val="Heading1"/>
        <w:spacing w:before="320" w:after="160"/>
      </w:pPr>
      <w:bookmarkStart w:id="5" w:name="_Toc236231559"/>
      <w:r>
        <w:rPr>
          <w:b/>
          <w:bCs/>
          <w:color w:val="1F3864"/>
          <w:sz w:val="26"/>
          <w:szCs w:val="26"/>
        </w:rPr>
        <w:t>3. Objectives</w:t>
      </w:r>
      <w:bookmarkEnd w:id="5"/>
    </w:p>
    <w:p w14:paraId="536A1985" w14:textId="77777777" w:rsidR="00C7727A" w:rsidRDefault="00000000">
      <w:pPr>
        <w:pStyle w:val="ListParagraph"/>
        <w:numPr>
          <w:ilvl w:val="0"/>
          <w:numId w:val="1"/>
        </w:numPr>
        <w:spacing w:after="80"/>
      </w:pPr>
      <w:r>
        <w:rPr>
          <w:sz w:val="21"/>
          <w:szCs w:val="21"/>
        </w:rPr>
        <w:t>Give residents a modern self-service channel for the most common needs: maintenance requests, amenity booking, payment visibility, documents, and communication with property staff.</w:t>
      </w:r>
    </w:p>
    <w:p w14:paraId="2861EDB7" w14:textId="77777777" w:rsidR="00C7727A" w:rsidRDefault="00000000">
      <w:pPr>
        <w:pStyle w:val="ListParagraph"/>
        <w:numPr>
          <w:ilvl w:val="0"/>
          <w:numId w:val="1"/>
        </w:numPr>
        <w:spacing w:after="80"/>
      </w:pPr>
      <w:r>
        <w:rPr>
          <w:sz w:val="21"/>
          <w:szCs w:val="21"/>
        </w:rPr>
        <w:t>Reduce call volume and front-desk workload at the property offices.</w:t>
      </w:r>
    </w:p>
    <w:p w14:paraId="4FE95C9F" w14:textId="77777777" w:rsidR="00C7727A" w:rsidRDefault="00000000">
      <w:pPr>
        <w:pStyle w:val="ListParagraph"/>
        <w:numPr>
          <w:ilvl w:val="0"/>
          <w:numId w:val="1"/>
        </w:numPr>
        <w:spacing w:after="80"/>
      </w:pPr>
      <w:r>
        <w:rPr>
          <w:sz w:val="21"/>
          <w:szCs w:val="21"/>
        </w:rPr>
        <w:t>Support Solara's multi-brand portfolio from a single app and codebase.</w:t>
      </w:r>
    </w:p>
    <w:p w14:paraId="15B70A32" w14:textId="1076BBD2" w:rsidR="00C7727A" w:rsidRDefault="00000000" w:rsidP="00E1342F">
      <w:pPr>
        <w:pStyle w:val="ListParagraph"/>
        <w:numPr>
          <w:ilvl w:val="0"/>
          <w:numId w:val="1"/>
        </w:numPr>
        <w:spacing w:after="80"/>
      </w:pPr>
      <w:r>
        <w:rPr>
          <w:sz w:val="21"/>
          <w:szCs w:val="21"/>
        </w:rPr>
        <w:t>Establish a secure, well-tested app, ready for a smooth and on-time public store release, that can grow after launch.</w:t>
      </w:r>
    </w:p>
    <w:p w14:paraId="2A0EE0E7" w14:textId="77777777" w:rsidR="00C7727A" w:rsidRDefault="00000000">
      <w:pPr>
        <w:pStyle w:val="Heading1"/>
        <w:spacing w:before="320" w:after="160"/>
      </w:pPr>
      <w:bookmarkStart w:id="6" w:name="_Toc236231560"/>
      <w:r>
        <w:rPr>
          <w:b/>
          <w:bCs/>
          <w:color w:val="1F3864"/>
          <w:sz w:val="26"/>
          <w:szCs w:val="26"/>
        </w:rPr>
        <w:t>4. Scope of Work Requested from the Vendor</w:t>
      </w:r>
      <w:bookmarkEnd w:id="6"/>
    </w:p>
    <w:p w14:paraId="17D6D55D" w14:textId="77777777" w:rsidR="00C7727A" w:rsidRDefault="00000000">
      <w:pPr>
        <w:spacing w:after="140"/>
      </w:pPr>
      <w:r>
        <w:rPr>
          <w:sz w:val="21"/>
          <w:szCs w:val="21"/>
        </w:rPr>
        <w:t xml:space="preserve">Solara requests a proposal covering two connected deliverables: (1) the SolaraLife resident mobile app, and (2) the necessary staff-facing tooling so property staff can triage and act on what residents submit through the app. Scope covers requirement finalization support, UI/UX design (wireframes, visual design and a persona-aware design system covering all five brand personas), application development for the resident app, integration with the </w:t>
      </w:r>
      <w:r>
        <w:rPr>
          <w:sz w:val="21"/>
          <w:szCs w:val="21"/>
        </w:rPr>
        <w:lastRenderedPageBreak/>
        <w:t>existing Solara OMS REST APIs, testing (manual and automated), and production release of both deliverables. Vendors propose and justify the technical approach for the staff-facing tooling as part of their solution. Backend development, hosting and database work remain explicitly out of scope (Section 5).</w:t>
      </w:r>
    </w:p>
    <w:p w14:paraId="27C4034A" w14:textId="77777777" w:rsidR="00C7727A" w:rsidRDefault="00000000">
      <w:pPr>
        <w:pStyle w:val="Heading2"/>
        <w:spacing w:before="240" w:after="120"/>
      </w:pPr>
      <w:bookmarkStart w:id="7" w:name="_Toc236231561"/>
      <w:r>
        <w:rPr>
          <w:b/>
          <w:bCs/>
          <w:color w:val="1F3864"/>
          <w:sz w:val="22"/>
          <w:szCs w:val="22"/>
        </w:rPr>
        <w:t>4.1 Mandated Technology Stack</w:t>
      </w:r>
      <w:bookmarkEnd w:id="7"/>
    </w:p>
    <w:p w14:paraId="25BEF1B2" w14:textId="77777777" w:rsidR="00C7727A" w:rsidRDefault="00000000">
      <w:pPr>
        <w:spacing w:after="140"/>
      </w:pPr>
      <w:r>
        <w:rPr>
          <w:sz w:val="21"/>
          <w:szCs w:val="21"/>
        </w:rPr>
        <w:t>The technology direction below is fixed by Solara's technology partnerships office. Proposals must comply; where an item says “vendor proposes,” the choice must be justified in the proposal.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C7727A" w14:paraId="10C7CE9A" w14:textId="77777777">
        <w:trPr>
          <w:tblHeader/>
        </w:trPr>
        <w:tc>
          <w:tcPr>
            <w:tcW w:w="3000" w:type="dxa"/>
            <w:shd w:val="clear" w:color="auto" w:fill="1F3864"/>
            <w:tcMar>
              <w:top w:w="80" w:type="dxa"/>
              <w:left w:w="100" w:type="dxa"/>
              <w:bottom w:w="80" w:type="dxa"/>
              <w:right w:w="100" w:type="dxa"/>
            </w:tcMar>
            <w:vAlign w:val="center"/>
          </w:tcPr>
          <w:p w14:paraId="294AFBE7" w14:textId="77777777" w:rsidR="00C7727A" w:rsidRDefault="00000000">
            <w:r>
              <w:rPr>
                <w:b/>
                <w:bCs/>
                <w:color w:val="FFFFFF"/>
                <w:sz w:val="19"/>
                <w:szCs w:val="19"/>
              </w:rPr>
              <w:t>Layer</w:t>
            </w:r>
          </w:p>
        </w:tc>
        <w:tc>
          <w:tcPr>
            <w:tcW w:w="6350" w:type="dxa"/>
            <w:shd w:val="clear" w:color="auto" w:fill="1F3864"/>
            <w:tcMar>
              <w:top w:w="80" w:type="dxa"/>
              <w:left w:w="100" w:type="dxa"/>
              <w:bottom w:w="80" w:type="dxa"/>
              <w:right w:w="100" w:type="dxa"/>
            </w:tcMar>
            <w:vAlign w:val="center"/>
          </w:tcPr>
          <w:p w14:paraId="3CAE9646" w14:textId="77777777" w:rsidR="00C7727A" w:rsidRDefault="00000000">
            <w:r>
              <w:rPr>
                <w:b/>
                <w:bCs/>
                <w:color w:val="FFFFFF"/>
                <w:sz w:val="19"/>
                <w:szCs w:val="19"/>
              </w:rPr>
              <w:t>Mandated / Expected</w:t>
            </w:r>
          </w:p>
        </w:tc>
      </w:tr>
      <w:tr w:rsidR="00C7727A" w14:paraId="27096BE7" w14:textId="77777777">
        <w:tc>
          <w:tcPr>
            <w:tcW w:w="3000" w:type="dxa"/>
            <w:tcMar>
              <w:top w:w="80" w:type="dxa"/>
              <w:left w:w="100" w:type="dxa"/>
              <w:bottom w:w="80" w:type="dxa"/>
              <w:right w:w="100" w:type="dxa"/>
            </w:tcMar>
            <w:vAlign w:val="center"/>
          </w:tcPr>
          <w:p w14:paraId="5C4DB53F" w14:textId="77777777" w:rsidR="00C7727A" w:rsidRDefault="00000000">
            <w:r>
              <w:rPr>
                <w:color w:val="000000"/>
                <w:sz w:val="19"/>
                <w:szCs w:val="19"/>
              </w:rPr>
              <w:t>Mobile framework</w:t>
            </w:r>
          </w:p>
        </w:tc>
        <w:tc>
          <w:tcPr>
            <w:tcW w:w="6350" w:type="dxa"/>
            <w:tcMar>
              <w:top w:w="80" w:type="dxa"/>
              <w:left w:w="100" w:type="dxa"/>
              <w:bottom w:w="80" w:type="dxa"/>
              <w:right w:w="100" w:type="dxa"/>
            </w:tcMar>
            <w:vAlign w:val="center"/>
          </w:tcPr>
          <w:p w14:paraId="2C2F20C8" w14:textId="77777777" w:rsidR="00C7727A" w:rsidRDefault="00000000">
            <w:r>
              <w:rPr>
                <w:color w:val="000000"/>
                <w:sz w:val="19"/>
                <w:szCs w:val="19"/>
              </w:rPr>
              <w:t>Flutter 3.22 or later; Dart 3.4 or later; a single codebase serving iOS and Android</w:t>
            </w:r>
          </w:p>
        </w:tc>
      </w:tr>
      <w:tr w:rsidR="00C7727A" w14:paraId="2B411E3D" w14:textId="77777777">
        <w:tc>
          <w:tcPr>
            <w:tcW w:w="3000" w:type="dxa"/>
            <w:shd w:val="clear" w:color="auto" w:fill="F2F2F2"/>
            <w:tcMar>
              <w:top w:w="80" w:type="dxa"/>
              <w:left w:w="100" w:type="dxa"/>
              <w:bottom w:w="80" w:type="dxa"/>
              <w:right w:w="100" w:type="dxa"/>
            </w:tcMar>
            <w:vAlign w:val="center"/>
          </w:tcPr>
          <w:p w14:paraId="2F7D4F31" w14:textId="77777777" w:rsidR="00C7727A" w:rsidRDefault="00000000">
            <w:r>
              <w:rPr>
                <w:color w:val="000000"/>
                <w:sz w:val="19"/>
                <w:szCs w:val="19"/>
              </w:rPr>
              <w:t>State management</w:t>
            </w:r>
          </w:p>
        </w:tc>
        <w:tc>
          <w:tcPr>
            <w:tcW w:w="6350" w:type="dxa"/>
            <w:shd w:val="clear" w:color="auto" w:fill="F2F2F2"/>
            <w:tcMar>
              <w:top w:w="80" w:type="dxa"/>
              <w:left w:w="100" w:type="dxa"/>
              <w:bottom w:w="80" w:type="dxa"/>
              <w:right w:w="100" w:type="dxa"/>
            </w:tcMar>
            <w:vAlign w:val="center"/>
          </w:tcPr>
          <w:p w14:paraId="7553CF35" w14:textId="77777777" w:rsidR="00C7727A" w:rsidRDefault="00000000">
            <w:r>
              <w:rPr>
                <w:color w:val="000000"/>
                <w:sz w:val="19"/>
                <w:szCs w:val="19"/>
              </w:rPr>
              <w:t>Vendor proposes (e.g. GetX, Riverpod, Bloc) — justify the choice</w:t>
            </w:r>
          </w:p>
        </w:tc>
      </w:tr>
      <w:tr w:rsidR="00C7727A" w14:paraId="099F590F" w14:textId="77777777">
        <w:tc>
          <w:tcPr>
            <w:tcW w:w="3000" w:type="dxa"/>
            <w:tcMar>
              <w:top w:w="80" w:type="dxa"/>
              <w:left w:w="100" w:type="dxa"/>
              <w:bottom w:w="80" w:type="dxa"/>
              <w:right w:w="100" w:type="dxa"/>
            </w:tcMar>
            <w:vAlign w:val="center"/>
          </w:tcPr>
          <w:p w14:paraId="7C31D8E8" w14:textId="77777777" w:rsidR="00C7727A" w:rsidRDefault="00000000">
            <w:r>
              <w:rPr>
                <w:color w:val="000000"/>
                <w:sz w:val="19"/>
                <w:szCs w:val="19"/>
              </w:rPr>
              <w:t>Backend / API</w:t>
            </w:r>
          </w:p>
        </w:tc>
        <w:tc>
          <w:tcPr>
            <w:tcW w:w="6350" w:type="dxa"/>
            <w:tcMar>
              <w:top w:w="80" w:type="dxa"/>
              <w:left w:w="100" w:type="dxa"/>
              <w:bottom w:w="80" w:type="dxa"/>
              <w:right w:w="100" w:type="dxa"/>
            </w:tcMar>
            <w:vAlign w:val="center"/>
          </w:tcPr>
          <w:p w14:paraId="1F5B38D0" w14:textId="77777777" w:rsidR="00C7727A" w:rsidRDefault="00000000">
            <w:r>
              <w:rPr>
                <w:color w:val="000000"/>
                <w:sz w:val="19"/>
                <w:szCs w:val="19"/>
              </w:rPr>
              <w:t>Consumes the existing Solara OMS REST APIs (OpenAPI 3.0); API readiness varies by endpoint — see Section 5. No backend development by the vendor.</w:t>
            </w:r>
          </w:p>
        </w:tc>
      </w:tr>
      <w:tr w:rsidR="00C7727A" w14:paraId="17DD5ADB" w14:textId="77777777">
        <w:tc>
          <w:tcPr>
            <w:tcW w:w="3000" w:type="dxa"/>
            <w:shd w:val="clear" w:color="auto" w:fill="F2F2F2"/>
            <w:tcMar>
              <w:top w:w="80" w:type="dxa"/>
              <w:left w:w="100" w:type="dxa"/>
              <w:bottom w:w="80" w:type="dxa"/>
              <w:right w:w="100" w:type="dxa"/>
            </w:tcMar>
            <w:vAlign w:val="center"/>
          </w:tcPr>
          <w:p w14:paraId="41285197" w14:textId="77777777" w:rsidR="00C7727A" w:rsidRDefault="00000000">
            <w:r>
              <w:rPr>
                <w:color w:val="000000"/>
                <w:sz w:val="19"/>
                <w:szCs w:val="19"/>
              </w:rPr>
              <w:t>App store accounts</w:t>
            </w:r>
          </w:p>
        </w:tc>
        <w:tc>
          <w:tcPr>
            <w:tcW w:w="6350" w:type="dxa"/>
            <w:shd w:val="clear" w:color="auto" w:fill="F2F2F2"/>
            <w:tcMar>
              <w:top w:w="80" w:type="dxa"/>
              <w:left w:w="100" w:type="dxa"/>
              <w:bottom w:w="80" w:type="dxa"/>
              <w:right w:w="100" w:type="dxa"/>
            </w:tcMar>
            <w:vAlign w:val="center"/>
          </w:tcPr>
          <w:p w14:paraId="42CEF016" w14:textId="77777777" w:rsidR="00C7727A" w:rsidRDefault="00000000">
            <w:r>
              <w:rPr>
                <w:color w:val="000000"/>
                <w:sz w:val="19"/>
                <w:szCs w:val="19"/>
              </w:rPr>
              <w:t>Apple Developer Program and Google Play Console accounts are owned by Solara; the vendor manages submission and release under these accounts</w:t>
            </w:r>
          </w:p>
        </w:tc>
      </w:tr>
      <w:tr w:rsidR="00C7727A" w14:paraId="50164E58" w14:textId="77777777">
        <w:tc>
          <w:tcPr>
            <w:tcW w:w="3000" w:type="dxa"/>
            <w:tcMar>
              <w:top w:w="80" w:type="dxa"/>
              <w:left w:w="100" w:type="dxa"/>
              <w:bottom w:w="80" w:type="dxa"/>
              <w:right w:w="100" w:type="dxa"/>
            </w:tcMar>
            <w:vAlign w:val="center"/>
          </w:tcPr>
          <w:p w14:paraId="21F33563" w14:textId="77777777" w:rsidR="00C7727A" w:rsidRDefault="00000000">
            <w:r>
              <w:rPr>
                <w:color w:val="000000"/>
                <w:sz w:val="19"/>
                <w:szCs w:val="19"/>
              </w:rPr>
              <w:t>Design tooling</w:t>
            </w:r>
          </w:p>
        </w:tc>
        <w:tc>
          <w:tcPr>
            <w:tcW w:w="6350" w:type="dxa"/>
            <w:tcMar>
              <w:top w:w="80" w:type="dxa"/>
              <w:left w:w="100" w:type="dxa"/>
              <w:bottom w:w="80" w:type="dxa"/>
              <w:right w:w="100" w:type="dxa"/>
            </w:tcMar>
            <w:vAlign w:val="center"/>
          </w:tcPr>
          <w:p w14:paraId="0A53E8CA" w14:textId="77777777" w:rsidR="00C7727A" w:rsidRDefault="00000000">
            <w:r>
              <w:rPr>
                <w:color w:val="000000"/>
                <w:sz w:val="19"/>
                <w:szCs w:val="19"/>
              </w:rPr>
              <w:t>Vendor proposes (e.g. Figma); UI/UX design is a vendor deliverable (Section 4) — design files and a persona-aware design system are handed off to Solara alongside the source code</w:t>
            </w:r>
          </w:p>
        </w:tc>
      </w:tr>
      <w:tr w:rsidR="00C7727A" w14:paraId="6044C465" w14:textId="77777777">
        <w:tc>
          <w:tcPr>
            <w:tcW w:w="3000" w:type="dxa"/>
            <w:shd w:val="clear" w:color="auto" w:fill="F2F2F2"/>
            <w:tcMar>
              <w:top w:w="80" w:type="dxa"/>
              <w:left w:w="100" w:type="dxa"/>
              <w:bottom w:w="80" w:type="dxa"/>
              <w:right w:w="100" w:type="dxa"/>
            </w:tcMar>
            <w:vAlign w:val="center"/>
          </w:tcPr>
          <w:p w14:paraId="02C87252" w14:textId="77777777" w:rsidR="00C7727A" w:rsidRDefault="00000000">
            <w:r>
              <w:rPr>
                <w:color w:val="000000"/>
                <w:sz w:val="19"/>
                <w:szCs w:val="19"/>
              </w:rPr>
              <w:t>Quality tooling</w:t>
            </w:r>
          </w:p>
        </w:tc>
        <w:tc>
          <w:tcPr>
            <w:tcW w:w="6350" w:type="dxa"/>
            <w:shd w:val="clear" w:color="auto" w:fill="F2F2F2"/>
            <w:tcMar>
              <w:top w:w="80" w:type="dxa"/>
              <w:left w:w="100" w:type="dxa"/>
              <w:bottom w:w="80" w:type="dxa"/>
              <w:right w:w="100" w:type="dxa"/>
            </w:tcMar>
            <w:vAlign w:val="center"/>
          </w:tcPr>
          <w:p w14:paraId="5ED659ED" w14:textId="77777777" w:rsidR="00C7727A" w:rsidRDefault="00000000">
            <w:r>
              <w:rPr>
                <w:color w:val="000000"/>
                <w:sz w:val="19"/>
                <w:szCs w:val="19"/>
              </w:rPr>
              <w:t>Automated unit/widget/integration test suites; static analysis; dependency (SCA) scanning; basic security testing (e.g. automated vulnerability scanning covering the OWASP Top 10)</w:t>
            </w:r>
          </w:p>
        </w:tc>
      </w:tr>
    </w:tbl>
    <w:p w14:paraId="492F4BBB" w14:textId="77777777" w:rsidR="00C7727A" w:rsidRDefault="00000000">
      <w:pPr>
        <w:pStyle w:val="Heading2"/>
        <w:spacing w:before="240" w:after="120"/>
      </w:pPr>
      <w:bookmarkStart w:id="8" w:name="_Toc236231562"/>
      <w:r>
        <w:rPr>
          <w:b/>
          <w:bCs/>
          <w:color w:val="1F3864"/>
          <w:sz w:val="22"/>
          <w:szCs w:val="22"/>
        </w:rPr>
        <w:t>4.2 Development Methodology — Scrum</w:t>
      </w:r>
      <w:bookmarkEnd w:id="8"/>
    </w:p>
    <w:p w14:paraId="36791422" w14:textId="77777777" w:rsidR="00C7727A" w:rsidRDefault="00000000">
      <w:pPr>
        <w:spacing w:after="140"/>
      </w:pPr>
      <w:r>
        <w:rPr>
          <w:sz w:val="21"/>
          <w:szCs w:val="21"/>
        </w:rPr>
        <w:t>Scrum with fixed 2-week sprints from kick-off to launch; sprint planning, daily scrum, sprint review and retrospective are all expected.</w:t>
      </w:r>
    </w:p>
    <w:p w14:paraId="5E0635F7" w14:textId="77777777" w:rsidR="00C7727A" w:rsidRDefault="00000000">
      <w:pPr>
        <w:spacing w:after="140"/>
      </w:pPr>
      <w:r>
        <w:rPr>
          <w:sz w:val="21"/>
          <w:szCs w:val="21"/>
        </w:rPr>
        <w:t>A potentially shippable increment is demonstrated to Solara at every sprint review (remote demo); the Solara product owner and stakeholders attend.</w:t>
      </w:r>
    </w:p>
    <w:p w14:paraId="2F5127DD" w14:textId="77777777" w:rsidR="00C7727A" w:rsidRDefault="00000000">
      <w:pPr>
        <w:spacing w:after="140"/>
      </w:pPr>
      <w:r>
        <w:rPr>
          <w:sz w:val="21"/>
          <w:szCs w:val="21"/>
        </w:rPr>
        <w:t>Product backlog maintained in a tool accessible to Solara (vendor proposes; JIRA preferred); Definition of Done to be agreed in Sprint 0 and to include automated tests and security checks.</w:t>
      </w:r>
    </w:p>
    <w:p w14:paraId="577308AC" w14:textId="77777777" w:rsidR="00C7727A" w:rsidRDefault="00000000">
      <w:pPr>
        <w:spacing w:after="140"/>
      </w:pPr>
      <w:r>
        <w:rPr>
          <w:sz w:val="21"/>
          <w:szCs w:val="21"/>
        </w:rPr>
        <w:t>A brief Sprint 0 (foundation, environment, backlog refinement) is acceptable within the overall schedule.</w:t>
      </w:r>
    </w:p>
    <w:p w14:paraId="7320A1F2" w14:textId="77777777" w:rsidR="00C7727A" w:rsidRDefault="00000000">
      <w:pPr>
        <w:pStyle w:val="Heading2"/>
        <w:spacing w:before="240" w:after="120"/>
      </w:pPr>
      <w:bookmarkStart w:id="9" w:name="_Toc236231563"/>
      <w:r>
        <w:rPr>
          <w:b/>
          <w:bCs/>
          <w:color w:val="1F3864"/>
          <w:sz w:val="22"/>
          <w:szCs w:val="22"/>
        </w:rPr>
        <w:t>4.3 Testing</w:t>
      </w:r>
      <w:bookmarkEnd w:id="9"/>
    </w:p>
    <w:p w14:paraId="45F1BD98" w14:textId="77777777" w:rsidR="00C7727A" w:rsidRDefault="00000000">
      <w:pPr>
        <w:spacing w:after="140"/>
      </w:pPr>
      <w:r>
        <w:rPr>
          <w:sz w:val="21"/>
          <w:szCs w:val="21"/>
        </w:rPr>
        <w:t>Unit, widget, integration and end-to-end testing with automation as a first-class deliverable (regression suite runs in CI); manual exploratory testing and a device/OS matrix per the client-environment NFR (Section 7); performance testing under expected peak load, with evidence; basic security testing (e.g. automated vulnerability scanning covering the OWASP Top 10) as part of the test approach; support for Solara's UAT. Test data and test-tenant provisioning will be coordinated with Solara's property-operations team.</w:t>
      </w:r>
    </w:p>
    <w:p w14:paraId="660353A6" w14:textId="77777777" w:rsidR="00C7727A" w:rsidRDefault="00000000">
      <w:pPr>
        <w:pStyle w:val="Heading2"/>
        <w:spacing w:before="240" w:after="120"/>
      </w:pPr>
      <w:bookmarkStart w:id="10" w:name="_Toc236231564"/>
      <w:r>
        <w:rPr>
          <w:b/>
          <w:bCs/>
          <w:color w:val="1F3864"/>
          <w:sz w:val="22"/>
          <w:szCs w:val="22"/>
        </w:rPr>
        <w:t>4.4 Release &amp; Launch</w:t>
      </w:r>
      <w:bookmarkEnd w:id="10"/>
    </w:p>
    <w:p w14:paraId="28ACE292" w14:textId="77777777" w:rsidR="00C7727A" w:rsidRDefault="00000000">
      <w:pPr>
        <w:spacing w:after="140"/>
      </w:pPr>
      <w:r>
        <w:rPr>
          <w:sz w:val="21"/>
          <w:szCs w:val="21"/>
        </w:rPr>
        <w:t>The vendor shall prepare the app for production release and perform the production launch. Release cadence, the approval workflow for shipping changes, and post-launch operational support are to be proposed by the vendor as part of the solution.</w:t>
      </w:r>
    </w:p>
    <w:p w14:paraId="0B7CB7A9" w14:textId="77777777" w:rsidR="00C7727A" w:rsidRDefault="00000000">
      <w:pPr>
        <w:pStyle w:val="Heading2"/>
        <w:spacing w:before="240" w:after="120"/>
      </w:pPr>
      <w:bookmarkStart w:id="11" w:name="_Toc236231565"/>
      <w:r>
        <w:rPr>
          <w:b/>
          <w:bCs/>
          <w:color w:val="1F3864"/>
          <w:sz w:val="22"/>
          <w:szCs w:val="22"/>
        </w:rPr>
        <w:t>4.5 Staff-Facing Tooling</w:t>
      </w:r>
      <w:bookmarkEnd w:id="11"/>
    </w:p>
    <w:p w14:paraId="4A9E7FD9" w14:textId="77777777" w:rsidR="00C7727A" w:rsidRDefault="00000000">
      <w:pPr>
        <w:spacing w:after="140"/>
      </w:pPr>
      <w:r>
        <w:rPr>
          <w:sz w:val="21"/>
          <w:szCs w:val="21"/>
        </w:rPr>
        <w:t xml:space="preserve">In addition to the resident app, the vendor shall provide the necessary staff-facing tooling for property staff to triage and act on resident submissions: service and maintenance request status updates (F-04), amenity-booking conflict/waitlist management (F-05), proof-of-payment verification (F-06), messaging and inquiry responses with SLA visibility (F-10), document re-issue review (F-09), and community announcement publishing and notification template management (F-08). Role-based access is required (see F-16/F-17 in Appendix B). Staff must also be able to define and maintain the service/maintenance categories and their forms (F-18), so the catalogue of request types </w:t>
      </w:r>
      <w:r>
        <w:rPr>
          <w:sz w:val="21"/>
          <w:szCs w:val="21"/>
        </w:rPr>
        <w:lastRenderedPageBreak/>
        <w:t>can grow with the business without a mobile app release. Propose and justify the technical approach, platform, NFRs and hosting for this tooling as part of your solution.</w:t>
      </w:r>
    </w:p>
    <w:p w14:paraId="2FB00A11" w14:textId="77777777" w:rsidR="00E1342F" w:rsidRDefault="00E1342F">
      <w:pPr>
        <w:rPr>
          <w:rFonts w:cs="Times New Roman"/>
          <w:b/>
          <w:bCs/>
          <w:color w:val="1F3864"/>
          <w:sz w:val="26"/>
          <w:szCs w:val="26"/>
        </w:rPr>
      </w:pPr>
      <w:bookmarkStart w:id="12" w:name="_Toc236231566"/>
      <w:r>
        <w:rPr>
          <w:b/>
          <w:bCs/>
          <w:color w:val="1F3864"/>
          <w:sz w:val="26"/>
          <w:szCs w:val="26"/>
        </w:rPr>
        <w:br w:type="page"/>
      </w:r>
    </w:p>
    <w:p w14:paraId="3D9B7D2D" w14:textId="456786ED" w:rsidR="00C7727A" w:rsidRDefault="00000000">
      <w:pPr>
        <w:pStyle w:val="Heading1"/>
        <w:spacing w:before="320" w:after="160"/>
      </w:pPr>
      <w:r>
        <w:rPr>
          <w:b/>
          <w:bCs/>
          <w:color w:val="1F3864"/>
          <w:sz w:val="26"/>
          <w:szCs w:val="26"/>
        </w:rPr>
        <w:lastRenderedPageBreak/>
        <w:t>5. Items Retained by Solara (Out of Vendor Scope)</w:t>
      </w:r>
      <w:bookmarkEnd w:id="12"/>
    </w:p>
    <w:p w14:paraId="111DFCEB" w14:textId="77777777" w:rsidR="00C7727A" w:rsidRDefault="00000000">
      <w:pPr>
        <w:pStyle w:val="ListParagraph"/>
        <w:numPr>
          <w:ilvl w:val="0"/>
          <w:numId w:val="1"/>
        </w:numPr>
        <w:spacing w:after="80"/>
      </w:pPr>
      <w:r>
        <w:rPr>
          <w:sz w:val="21"/>
          <w:szCs w:val="21"/>
        </w:rPr>
        <w:t>Backend/API development, hosting and the Solara OMS database: Solara's internal platform team maintains this system. Full API specifications for the integrations in Appendix B will be provided after contract award; vendors should note that not every required API may be fully built and stable at that time, and should state in the proposal how this dependency will be managed.</w:t>
      </w:r>
    </w:p>
    <w:p w14:paraId="467C877B" w14:textId="77777777" w:rsidR="00C7727A" w:rsidRDefault="00000000">
      <w:pPr>
        <w:pStyle w:val="ListParagraph"/>
        <w:numPr>
          <w:ilvl w:val="0"/>
          <w:numId w:val="1"/>
        </w:numPr>
        <w:spacing w:after="80"/>
      </w:pPr>
      <w:r>
        <w:rPr>
          <w:sz w:val="21"/>
          <w:szCs w:val="21"/>
        </w:rPr>
        <w:t>Brand guidelines and marketing assets (logos, color palettes, imagery) for each of the five personas: provided by Solara's marketing team, progressively over the project. UX and visual design (wireframes, mockups and the resulting design system) are NOT provided by Solara — this is the vendor's responsibility (Section 4).</w:t>
      </w:r>
    </w:p>
    <w:p w14:paraId="326657CB" w14:textId="77777777" w:rsidR="00C7727A" w:rsidRDefault="00000000">
      <w:pPr>
        <w:pStyle w:val="ListParagraph"/>
        <w:numPr>
          <w:ilvl w:val="0"/>
          <w:numId w:val="1"/>
        </w:numPr>
        <w:spacing w:after="80"/>
      </w:pPr>
      <w:r>
        <w:rPr>
          <w:sz w:val="21"/>
          <w:szCs w:val="21"/>
        </w:rPr>
        <w:t>Data migration of existing resident and lease records into Solara OMS: owned by Solara; the vendor's app consumes this data via API once available.</w:t>
      </w:r>
    </w:p>
    <w:p w14:paraId="1B42E5FC" w14:textId="77777777" w:rsidR="00C7727A" w:rsidRDefault="00000000">
      <w:pPr>
        <w:pStyle w:val="ListParagraph"/>
        <w:numPr>
          <w:ilvl w:val="0"/>
          <w:numId w:val="1"/>
        </w:numPr>
        <w:spacing w:after="80"/>
      </w:pPr>
      <w:r>
        <w:rPr>
          <w:sz w:val="21"/>
          <w:szCs w:val="21"/>
        </w:rPr>
        <w:t>The deeper back-office administration of properties, leases and owners inside Solara OMS itself (a separate enterprise system): remains out of scope. The staff-facing tooling described in Section 4.5 is limited to triaging what residents submit through the app, not full property/lease administration.</w:t>
      </w:r>
    </w:p>
    <w:p w14:paraId="707DA2DA" w14:textId="77777777" w:rsidR="00C7727A" w:rsidRDefault="00000000">
      <w:pPr>
        <w:pStyle w:val="ListParagraph"/>
        <w:numPr>
          <w:ilvl w:val="0"/>
          <w:numId w:val="1"/>
        </w:numPr>
        <w:spacing w:after="80"/>
      </w:pPr>
      <w:r>
        <w:rPr>
          <w:sz w:val="21"/>
          <w:szCs w:val="21"/>
        </w:rPr>
        <w:t>Marketing content, store-listing copy, and legal texts (Terms of Use, Privacy Policy): provided by Solara; the vendor integrates them as static content.</w:t>
      </w:r>
    </w:p>
    <w:p w14:paraId="1EDD68C7" w14:textId="77777777" w:rsidR="00C7727A" w:rsidRDefault="00000000">
      <w:pPr>
        <w:spacing w:after="140"/>
      </w:pPr>
      <w:r>
        <w:rPr>
          <w:sz w:val="21"/>
          <w:szCs w:val="21"/>
        </w:rPr>
        <w:t>Vendors must state in the proposal how they will manage dependencies on the items above.</w:t>
      </w:r>
    </w:p>
    <w:p w14:paraId="2F095D35" w14:textId="77777777" w:rsidR="00C7727A" w:rsidRDefault="00000000">
      <w:pPr>
        <w:pStyle w:val="Heading1"/>
        <w:spacing w:before="320" w:after="160"/>
      </w:pPr>
      <w:bookmarkStart w:id="13" w:name="_Toc236231567"/>
      <w:r>
        <w:rPr>
          <w:b/>
          <w:bCs/>
          <w:color w:val="1F3864"/>
          <w:sz w:val="26"/>
          <w:szCs w:val="26"/>
        </w:rPr>
        <w:t>6. Functional Requirements</w:t>
      </w:r>
      <w:bookmarkEnd w:id="13"/>
    </w:p>
    <w:p w14:paraId="1549759A" w14:textId="77777777" w:rsidR="00C7727A" w:rsidRDefault="00000000">
      <w:pPr>
        <w:spacing w:after="140"/>
      </w:pPr>
      <w:r>
        <w:rPr>
          <w:sz w:val="21"/>
          <w:szCs w:val="21"/>
        </w:rPr>
        <w:t>The required features and their expected functions and logic are elaborated in Appendix B. F-11 (Persona &amp; Brand Configuration), F-12 (Usage Analytics Instrumentation), F-13 (Activity &amp; Audit Log), F-16 (Resident Request Management), F-17 (Communication &amp; Configuration Management) and F-18 (Service/Maintenance Type &amp; Dynamic Form Management) are mandatory for launch and cannot be descoped. The list represents Solara's current understanding; vendors should confirm and refine open points in writing during the RfP period. We expect the resident app and the staff-facing tooling together to be in the range of approximately 35 screens.</w:t>
      </w:r>
    </w:p>
    <w:p w14:paraId="3E314307" w14:textId="77777777" w:rsidR="00C7727A" w:rsidRDefault="00000000">
      <w:pPr>
        <w:pStyle w:val="Heading1"/>
        <w:spacing w:before="320" w:after="160"/>
      </w:pPr>
      <w:bookmarkStart w:id="14" w:name="_Toc236231568"/>
      <w:r>
        <w:rPr>
          <w:b/>
          <w:bCs/>
          <w:color w:val="1F3864"/>
          <w:sz w:val="26"/>
          <w:szCs w:val="26"/>
        </w:rPr>
        <w:t>7. Non-Functional Requirements</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C7727A" w14:paraId="6145771C" w14:textId="77777777">
        <w:trPr>
          <w:tblHeader/>
        </w:trPr>
        <w:tc>
          <w:tcPr>
            <w:tcW w:w="2400" w:type="dxa"/>
            <w:shd w:val="clear" w:color="auto" w:fill="1F3864"/>
            <w:tcMar>
              <w:top w:w="80" w:type="dxa"/>
              <w:left w:w="100" w:type="dxa"/>
              <w:bottom w:w="80" w:type="dxa"/>
              <w:right w:w="100" w:type="dxa"/>
            </w:tcMar>
            <w:vAlign w:val="center"/>
          </w:tcPr>
          <w:p w14:paraId="02E53239" w14:textId="77777777" w:rsidR="00C7727A" w:rsidRDefault="00000000">
            <w:r>
              <w:rPr>
                <w:b/>
                <w:bCs/>
                <w:color w:val="FFFFFF"/>
                <w:sz w:val="19"/>
                <w:szCs w:val="19"/>
              </w:rPr>
              <w:t>Aspect</w:t>
            </w:r>
          </w:p>
        </w:tc>
        <w:tc>
          <w:tcPr>
            <w:tcW w:w="6950" w:type="dxa"/>
            <w:shd w:val="clear" w:color="auto" w:fill="1F3864"/>
            <w:tcMar>
              <w:top w:w="80" w:type="dxa"/>
              <w:left w:w="100" w:type="dxa"/>
              <w:bottom w:w="80" w:type="dxa"/>
              <w:right w:w="100" w:type="dxa"/>
            </w:tcMar>
            <w:vAlign w:val="center"/>
          </w:tcPr>
          <w:p w14:paraId="2DC45D8B" w14:textId="77777777" w:rsidR="00C7727A" w:rsidRDefault="00000000">
            <w:r>
              <w:rPr>
                <w:b/>
                <w:bCs/>
                <w:color w:val="FFFFFF"/>
                <w:sz w:val="19"/>
                <w:szCs w:val="19"/>
              </w:rPr>
              <w:t>Requirement</w:t>
            </w:r>
          </w:p>
        </w:tc>
      </w:tr>
      <w:tr w:rsidR="00C7727A" w14:paraId="1A31CC1C" w14:textId="77777777">
        <w:tc>
          <w:tcPr>
            <w:tcW w:w="2400" w:type="dxa"/>
            <w:tcMar>
              <w:top w:w="80" w:type="dxa"/>
              <w:left w:w="100" w:type="dxa"/>
              <w:bottom w:w="80" w:type="dxa"/>
              <w:right w:w="100" w:type="dxa"/>
            </w:tcMar>
            <w:vAlign w:val="center"/>
          </w:tcPr>
          <w:p w14:paraId="40F7674E" w14:textId="77777777" w:rsidR="00C7727A" w:rsidRDefault="00000000">
            <w:r>
              <w:rPr>
                <w:color w:val="000000"/>
                <w:sz w:val="19"/>
                <w:szCs w:val="19"/>
              </w:rPr>
              <w:t>Availability</w:t>
            </w:r>
          </w:p>
        </w:tc>
        <w:tc>
          <w:tcPr>
            <w:tcW w:w="6950" w:type="dxa"/>
            <w:tcMar>
              <w:top w:w="80" w:type="dxa"/>
              <w:left w:w="100" w:type="dxa"/>
              <w:bottom w:w="80" w:type="dxa"/>
              <w:right w:w="100" w:type="dxa"/>
            </w:tcMar>
            <w:vAlign w:val="center"/>
          </w:tcPr>
          <w:p w14:paraId="6E42F805" w14:textId="77777777" w:rsidR="00C7727A" w:rsidRDefault="00000000">
            <w:r>
              <w:rPr>
                <w:color w:val="000000"/>
                <w:sz w:val="19"/>
                <w:szCs w:val="19"/>
              </w:rPr>
              <w:t>The app must handle Solara OMS API unavailability gracefully (cached/last-known-good data with a visible as-of timestamp); target 99.5% crash-free session rate.</w:t>
            </w:r>
          </w:p>
        </w:tc>
      </w:tr>
      <w:tr w:rsidR="00C7727A" w14:paraId="05A38B76" w14:textId="77777777">
        <w:tc>
          <w:tcPr>
            <w:tcW w:w="2400" w:type="dxa"/>
            <w:shd w:val="clear" w:color="auto" w:fill="F2F2F2"/>
            <w:tcMar>
              <w:top w:w="80" w:type="dxa"/>
              <w:left w:w="100" w:type="dxa"/>
              <w:bottom w:w="80" w:type="dxa"/>
              <w:right w:w="100" w:type="dxa"/>
            </w:tcMar>
            <w:vAlign w:val="center"/>
          </w:tcPr>
          <w:p w14:paraId="036FFE0E" w14:textId="77777777" w:rsidR="00C7727A" w:rsidRDefault="00000000">
            <w:r>
              <w:rPr>
                <w:color w:val="000000"/>
                <w:sz w:val="19"/>
                <w:szCs w:val="19"/>
              </w:rPr>
              <w:t>Performance</w:t>
            </w:r>
          </w:p>
        </w:tc>
        <w:tc>
          <w:tcPr>
            <w:tcW w:w="6950" w:type="dxa"/>
            <w:shd w:val="clear" w:color="auto" w:fill="F2F2F2"/>
            <w:tcMar>
              <w:top w:w="80" w:type="dxa"/>
              <w:left w:w="100" w:type="dxa"/>
              <w:bottom w:w="80" w:type="dxa"/>
              <w:right w:w="100" w:type="dxa"/>
            </w:tcMar>
            <w:vAlign w:val="center"/>
          </w:tcPr>
          <w:p w14:paraId="7A72152E" w14:textId="77777777" w:rsidR="00C7727A" w:rsidRDefault="00000000">
            <w:r>
              <w:rPr>
                <w:color w:val="000000"/>
                <w:sz w:val="19"/>
                <w:szCs w:val="19"/>
              </w:rPr>
              <w:t>Cold start ≤ 2.5s on a mid-tier device; screen transitions ≤ 1.5s. The app must remain stable during renewal-season peak usage; the vendor shall state the concurrent active-session load its design is validated for and provide load-test evidence before launch.</w:t>
            </w:r>
          </w:p>
        </w:tc>
      </w:tr>
      <w:tr w:rsidR="00C7727A" w14:paraId="6D314210" w14:textId="77777777">
        <w:tc>
          <w:tcPr>
            <w:tcW w:w="2400" w:type="dxa"/>
            <w:tcMar>
              <w:top w:w="80" w:type="dxa"/>
              <w:left w:w="100" w:type="dxa"/>
              <w:bottom w:w="80" w:type="dxa"/>
              <w:right w:w="100" w:type="dxa"/>
            </w:tcMar>
            <w:vAlign w:val="center"/>
          </w:tcPr>
          <w:p w14:paraId="6E29EA2F" w14:textId="77777777" w:rsidR="00C7727A" w:rsidRDefault="00000000">
            <w:r>
              <w:rPr>
                <w:color w:val="000000"/>
                <w:sz w:val="19"/>
                <w:szCs w:val="19"/>
              </w:rPr>
              <w:t>Security</w:t>
            </w:r>
          </w:p>
        </w:tc>
        <w:tc>
          <w:tcPr>
            <w:tcW w:w="6950" w:type="dxa"/>
            <w:tcMar>
              <w:top w:w="80" w:type="dxa"/>
              <w:left w:w="100" w:type="dxa"/>
              <w:bottom w:w="80" w:type="dxa"/>
              <w:right w:w="100" w:type="dxa"/>
            </w:tcMar>
            <w:vAlign w:val="center"/>
          </w:tcPr>
          <w:p w14:paraId="5909EF61" w14:textId="77777777" w:rsidR="00C7727A" w:rsidRDefault="00000000">
            <w:r>
              <w:rPr>
                <w:color w:val="000000"/>
                <w:sz w:val="19"/>
                <w:szCs w:val="19"/>
              </w:rPr>
              <w:t>Secure by design; conformance to OWASP MASVS Level 2 for mobile applications; SMS one-time-password required for two-factor authentication (see F-02); secrets/tokens stored via platform secure storage (Keychain/Keystore); TLS 1.2+ in transit; resident personal data handled per applicable data-privacy regulation.</w:t>
            </w:r>
          </w:p>
        </w:tc>
      </w:tr>
      <w:tr w:rsidR="00C7727A" w14:paraId="7C910A6E" w14:textId="77777777">
        <w:tc>
          <w:tcPr>
            <w:tcW w:w="2400" w:type="dxa"/>
            <w:shd w:val="clear" w:color="auto" w:fill="F2F2F2"/>
            <w:tcMar>
              <w:top w:w="80" w:type="dxa"/>
              <w:left w:w="100" w:type="dxa"/>
              <w:bottom w:w="80" w:type="dxa"/>
              <w:right w:w="100" w:type="dxa"/>
            </w:tcMar>
            <w:vAlign w:val="center"/>
          </w:tcPr>
          <w:p w14:paraId="15C05A40" w14:textId="77777777" w:rsidR="00C7727A" w:rsidRDefault="00000000">
            <w:r>
              <w:rPr>
                <w:color w:val="000000"/>
                <w:sz w:val="19"/>
                <w:szCs w:val="19"/>
              </w:rPr>
              <w:t>Offline behavior</w:t>
            </w:r>
          </w:p>
        </w:tc>
        <w:tc>
          <w:tcPr>
            <w:tcW w:w="6950" w:type="dxa"/>
            <w:shd w:val="clear" w:color="auto" w:fill="F2F2F2"/>
            <w:tcMar>
              <w:top w:w="80" w:type="dxa"/>
              <w:left w:w="100" w:type="dxa"/>
              <w:bottom w:w="80" w:type="dxa"/>
              <w:right w:w="100" w:type="dxa"/>
            </w:tcMar>
            <w:vAlign w:val="center"/>
          </w:tcPr>
          <w:p w14:paraId="0F52F516" w14:textId="77777777" w:rsidR="00C7727A" w:rsidRDefault="00000000">
            <w:r>
              <w:rPr>
                <w:color w:val="000000"/>
                <w:sz w:val="19"/>
                <w:szCs w:val="19"/>
              </w:rPr>
              <w:t>Core resident information (dashboard, documents, service-request history) must remain viewable offline, with a local queue for actions taken offline that syncs automatically on reconnect.</w:t>
            </w:r>
          </w:p>
        </w:tc>
      </w:tr>
      <w:tr w:rsidR="00C7727A" w14:paraId="46F088C8" w14:textId="77777777">
        <w:tc>
          <w:tcPr>
            <w:tcW w:w="2400" w:type="dxa"/>
            <w:tcMar>
              <w:top w:w="80" w:type="dxa"/>
              <w:left w:w="100" w:type="dxa"/>
              <w:bottom w:w="80" w:type="dxa"/>
              <w:right w:w="100" w:type="dxa"/>
            </w:tcMar>
            <w:vAlign w:val="center"/>
          </w:tcPr>
          <w:p w14:paraId="634A1C10" w14:textId="77777777" w:rsidR="00C7727A" w:rsidRDefault="00000000">
            <w:r>
              <w:rPr>
                <w:color w:val="000000"/>
                <w:sz w:val="19"/>
                <w:szCs w:val="19"/>
              </w:rPr>
              <w:t>Dynamic form rendering</w:t>
            </w:r>
          </w:p>
        </w:tc>
        <w:tc>
          <w:tcPr>
            <w:tcW w:w="6950" w:type="dxa"/>
            <w:tcMar>
              <w:top w:w="80" w:type="dxa"/>
              <w:left w:w="100" w:type="dxa"/>
              <w:bottom w:w="80" w:type="dxa"/>
              <w:right w:w="100" w:type="dxa"/>
            </w:tcMar>
            <w:vAlign w:val="center"/>
          </w:tcPr>
          <w:p w14:paraId="2D2386A1" w14:textId="77777777" w:rsidR="00C7727A" w:rsidRDefault="00000000">
            <w:r>
              <w:rPr>
                <w:color w:val="000000"/>
                <w:sz w:val="19"/>
                <w:szCs w:val="19"/>
              </w:rPr>
              <w:t>New or changed service/maintenance categories and forms (F-18) must render in the resident app without a new app build or store/Play submission. The app must cache the latest known form definitions locally and behave gracefully if the form service is unreachable.</w:t>
            </w:r>
          </w:p>
        </w:tc>
      </w:tr>
      <w:tr w:rsidR="00C7727A" w14:paraId="7D1E3FDF" w14:textId="77777777">
        <w:tc>
          <w:tcPr>
            <w:tcW w:w="2400" w:type="dxa"/>
            <w:shd w:val="clear" w:color="auto" w:fill="F2F2F2"/>
            <w:tcMar>
              <w:top w:w="80" w:type="dxa"/>
              <w:left w:w="100" w:type="dxa"/>
              <w:bottom w:w="80" w:type="dxa"/>
              <w:right w:w="100" w:type="dxa"/>
            </w:tcMar>
            <w:vAlign w:val="center"/>
          </w:tcPr>
          <w:p w14:paraId="14BC46A3" w14:textId="77777777" w:rsidR="00C7727A" w:rsidRDefault="00000000">
            <w:r>
              <w:rPr>
                <w:color w:val="000000"/>
                <w:sz w:val="19"/>
                <w:szCs w:val="19"/>
              </w:rPr>
              <w:t>Client environment</w:t>
            </w:r>
          </w:p>
        </w:tc>
        <w:tc>
          <w:tcPr>
            <w:tcW w:w="6950" w:type="dxa"/>
            <w:shd w:val="clear" w:color="auto" w:fill="F2F2F2"/>
            <w:tcMar>
              <w:top w:w="80" w:type="dxa"/>
              <w:left w:w="100" w:type="dxa"/>
              <w:bottom w:w="80" w:type="dxa"/>
              <w:right w:w="100" w:type="dxa"/>
            </w:tcMar>
            <w:vAlign w:val="center"/>
          </w:tcPr>
          <w:p w14:paraId="15EE96DC" w14:textId="77777777" w:rsidR="00C7727A" w:rsidRDefault="00000000">
            <w:r>
              <w:rPr>
                <w:color w:val="000000"/>
                <w:sz w:val="19"/>
                <w:szCs w:val="19"/>
              </w:rPr>
              <w:t>OS: iOS 15 or later, Android 8.0 (API 26) or later; smartphone-first. Tablet layout is a stretch goal, not required at launch.</w:t>
            </w:r>
          </w:p>
        </w:tc>
      </w:tr>
      <w:tr w:rsidR="00C7727A" w14:paraId="1C9BB76D" w14:textId="77777777">
        <w:tc>
          <w:tcPr>
            <w:tcW w:w="2400" w:type="dxa"/>
            <w:tcMar>
              <w:top w:w="80" w:type="dxa"/>
              <w:left w:w="100" w:type="dxa"/>
              <w:bottom w:w="80" w:type="dxa"/>
              <w:right w:w="100" w:type="dxa"/>
            </w:tcMar>
            <w:vAlign w:val="center"/>
          </w:tcPr>
          <w:p w14:paraId="0C8558EF" w14:textId="77777777" w:rsidR="00C7727A" w:rsidRDefault="00000000">
            <w:r>
              <w:rPr>
                <w:color w:val="000000"/>
                <w:sz w:val="19"/>
                <w:szCs w:val="19"/>
              </w:rPr>
              <w:t>Accessibility</w:t>
            </w:r>
          </w:p>
        </w:tc>
        <w:tc>
          <w:tcPr>
            <w:tcW w:w="6950" w:type="dxa"/>
            <w:tcMar>
              <w:top w:w="80" w:type="dxa"/>
              <w:left w:w="100" w:type="dxa"/>
              <w:bottom w:w="80" w:type="dxa"/>
              <w:right w:w="100" w:type="dxa"/>
            </w:tcMar>
            <w:vAlign w:val="center"/>
          </w:tcPr>
          <w:p w14:paraId="72B17328" w14:textId="77777777" w:rsidR="00C7727A" w:rsidRDefault="00000000">
            <w:r>
              <w:rPr>
                <w:color w:val="000000"/>
                <w:sz w:val="19"/>
                <w:szCs w:val="19"/>
              </w:rPr>
              <w:t>Conformance with WCAG 2.1 Level AA equivalent mobile accessibility guidance for resident-facing screens.</w:t>
            </w:r>
          </w:p>
        </w:tc>
      </w:tr>
      <w:tr w:rsidR="00C7727A" w14:paraId="6BB7218B" w14:textId="77777777">
        <w:tc>
          <w:tcPr>
            <w:tcW w:w="2400" w:type="dxa"/>
            <w:shd w:val="clear" w:color="auto" w:fill="F2F2F2"/>
            <w:tcMar>
              <w:top w:w="80" w:type="dxa"/>
              <w:left w:w="100" w:type="dxa"/>
              <w:bottom w:w="80" w:type="dxa"/>
              <w:right w:w="100" w:type="dxa"/>
            </w:tcMar>
            <w:vAlign w:val="center"/>
          </w:tcPr>
          <w:p w14:paraId="1CD887AC" w14:textId="77777777" w:rsidR="00C7727A" w:rsidRDefault="00000000">
            <w:r>
              <w:rPr>
                <w:color w:val="000000"/>
                <w:sz w:val="19"/>
                <w:szCs w:val="19"/>
              </w:rPr>
              <w:t>Language</w:t>
            </w:r>
          </w:p>
        </w:tc>
        <w:tc>
          <w:tcPr>
            <w:tcW w:w="6950" w:type="dxa"/>
            <w:shd w:val="clear" w:color="auto" w:fill="F2F2F2"/>
            <w:tcMar>
              <w:top w:w="80" w:type="dxa"/>
              <w:left w:w="100" w:type="dxa"/>
              <w:bottom w:w="80" w:type="dxa"/>
              <w:right w:w="100" w:type="dxa"/>
            </w:tcMar>
            <w:vAlign w:val="center"/>
          </w:tcPr>
          <w:p w14:paraId="39D9985E" w14:textId="77777777" w:rsidR="00C7727A" w:rsidRDefault="00000000">
            <w:r>
              <w:rPr>
                <w:color w:val="000000"/>
                <w:sz w:val="19"/>
                <w:szCs w:val="19"/>
              </w:rPr>
              <w:t>English is mandatory. Additional languages are desirable.</w:t>
            </w:r>
          </w:p>
        </w:tc>
      </w:tr>
      <w:tr w:rsidR="00C7727A" w14:paraId="3DE2BA2E" w14:textId="77777777">
        <w:tc>
          <w:tcPr>
            <w:tcW w:w="2400" w:type="dxa"/>
            <w:tcMar>
              <w:top w:w="80" w:type="dxa"/>
              <w:left w:w="100" w:type="dxa"/>
              <w:bottom w:w="80" w:type="dxa"/>
              <w:right w:w="100" w:type="dxa"/>
            </w:tcMar>
            <w:vAlign w:val="center"/>
          </w:tcPr>
          <w:p w14:paraId="6B8EB1B4" w14:textId="77777777" w:rsidR="00C7727A" w:rsidRDefault="00000000">
            <w:r>
              <w:rPr>
                <w:color w:val="000000"/>
                <w:sz w:val="19"/>
                <w:szCs w:val="19"/>
              </w:rPr>
              <w:lastRenderedPageBreak/>
              <w:t>Auditability</w:t>
            </w:r>
          </w:p>
        </w:tc>
        <w:tc>
          <w:tcPr>
            <w:tcW w:w="6950" w:type="dxa"/>
            <w:tcMar>
              <w:top w:w="80" w:type="dxa"/>
              <w:left w:w="100" w:type="dxa"/>
              <w:bottom w:w="80" w:type="dxa"/>
              <w:right w:w="100" w:type="dxa"/>
            </w:tcMar>
            <w:vAlign w:val="center"/>
          </w:tcPr>
          <w:p w14:paraId="5C4428EC" w14:textId="77777777" w:rsidR="00C7727A" w:rsidRDefault="00000000">
            <w:r>
              <w:rPr>
                <w:color w:val="000000"/>
                <w:sz w:val="19"/>
                <w:szCs w:val="19"/>
              </w:rPr>
              <w:t>All sensitive actions logged per F-12, with device and timestamp metadata; device clocks reconciled via NTP-based time sync.</w:t>
            </w:r>
          </w:p>
        </w:tc>
      </w:tr>
    </w:tbl>
    <w:p w14:paraId="3E0D4563" w14:textId="77777777" w:rsidR="00C7727A" w:rsidRDefault="00000000">
      <w:pPr>
        <w:pStyle w:val="Heading1"/>
        <w:spacing w:before="320" w:after="160"/>
      </w:pPr>
      <w:bookmarkStart w:id="15" w:name="_Toc236231569"/>
      <w:r>
        <w:rPr>
          <w:b/>
          <w:bCs/>
          <w:color w:val="1F3864"/>
          <w:sz w:val="26"/>
          <w:szCs w:val="26"/>
        </w:rPr>
        <w:t>8. Timeline Expectation</w:t>
      </w:r>
      <w:bookmarkEnd w:id="15"/>
    </w:p>
    <w:p w14:paraId="1E2BB62B" w14:textId="77777777" w:rsidR="00C7727A" w:rsidRDefault="00000000">
      <w:pPr>
        <w:spacing w:after="140"/>
      </w:pPr>
      <w:r>
        <w:rPr>
          <w:sz w:val="21"/>
          <w:szCs w:val="21"/>
        </w:rPr>
        <w:t>Vendors shall present their own sprint-level schedule with key milestones and clearly state any conditions attached to 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C7727A" w14:paraId="591E72D4" w14:textId="77777777">
        <w:trPr>
          <w:tblHeader/>
        </w:trPr>
        <w:tc>
          <w:tcPr>
            <w:tcW w:w="3400" w:type="dxa"/>
            <w:shd w:val="clear" w:color="auto" w:fill="1F3864"/>
            <w:tcMar>
              <w:top w:w="80" w:type="dxa"/>
              <w:left w:w="100" w:type="dxa"/>
              <w:bottom w:w="80" w:type="dxa"/>
              <w:right w:w="100" w:type="dxa"/>
            </w:tcMar>
            <w:vAlign w:val="center"/>
          </w:tcPr>
          <w:p w14:paraId="0DF842E0" w14:textId="77777777" w:rsidR="00C7727A" w:rsidRDefault="00000000">
            <w:r>
              <w:rPr>
                <w:b/>
                <w:bCs/>
                <w:color w:val="FFFFFF"/>
                <w:sz w:val="19"/>
                <w:szCs w:val="19"/>
              </w:rPr>
              <w:t>Milestone</w:t>
            </w:r>
          </w:p>
        </w:tc>
        <w:tc>
          <w:tcPr>
            <w:tcW w:w="5950" w:type="dxa"/>
            <w:shd w:val="clear" w:color="auto" w:fill="1F3864"/>
            <w:tcMar>
              <w:top w:w="80" w:type="dxa"/>
              <w:left w:w="100" w:type="dxa"/>
              <w:bottom w:w="80" w:type="dxa"/>
              <w:right w:w="100" w:type="dxa"/>
            </w:tcMar>
            <w:vAlign w:val="center"/>
          </w:tcPr>
          <w:p w14:paraId="082A4825" w14:textId="77777777" w:rsidR="00C7727A" w:rsidRDefault="00000000">
            <w:r>
              <w:rPr>
                <w:b/>
                <w:bCs/>
                <w:color w:val="FFFFFF"/>
                <w:sz w:val="19"/>
                <w:szCs w:val="19"/>
              </w:rPr>
              <w:t>Expectation</w:t>
            </w:r>
          </w:p>
        </w:tc>
      </w:tr>
      <w:tr w:rsidR="00C7727A" w14:paraId="3843A66F" w14:textId="77777777">
        <w:tc>
          <w:tcPr>
            <w:tcW w:w="3400" w:type="dxa"/>
            <w:tcMar>
              <w:top w:w="80" w:type="dxa"/>
              <w:left w:w="100" w:type="dxa"/>
              <w:bottom w:w="80" w:type="dxa"/>
              <w:right w:w="100" w:type="dxa"/>
            </w:tcMar>
            <w:vAlign w:val="center"/>
          </w:tcPr>
          <w:p w14:paraId="0028227C" w14:textId="77777777" w:rsidR="00C7727A" w:rsidRDefault="00000000">
            <w:r>
              <w:rPr>
                <w:color w:val="000000"/>
                <w:sz w:val="19"/>
                <w:szCs w:val="19"/>
              </w:rPr>
              <w:t>Contract &amp; kick-off (Sprint 0)</w:t>
            </w:r>
          </w:p>
        </w:tc>
        <w:tc>
          <w:tcPr>
            <w:tcW w:w="5950" w:type="dxa"/>
            <w:tcMar>
              <w:top w:w="80" w:type="dxa"/>
              <w:left w:w="100" w:type="dxa"/>
              <w:bottom w:w="80" w:type="dxa"/>
              <w:right w:w="100" w:type="dxa"/>
            </w:tcMar>
            <w:vAlign w:val="center"/>
          </w:tcPr>
          <w:p w14:paraId="1EBF9F01" w14:textId="77777777" w:rsidR="00C7727A" w:rsidRDefault="00000000">
            <w:r>
              <w:rPr>
                <w:color w:val="000000"/>
                <w:sz w:val="19"/>
                <w:szCs w:val="19"/>
              </w:rPr>
              <w:t>Early September 2026</w:t>
            </w:r>
          </w:p>
        </w:tc>
      </w:tr>
      <w:tr w:rsidR="00C7727A" w14:paraId="7633C8C2" w14:textId="77777777">
        <w:tc>
          <w:tcPr>
            <w:tcW w:w="3400" w:type="dxa"/>
            <w:shd w:val="clear" w:color="auto" w:fill="F2F2F2"/>
            <w:tcMar>
              <w:top w:w="80" w:type="dxa"/>
              <w:left w:w="100" w:type="dxa"/>
              <w:bottom w:w="80" w:type="dxa"/>
              <w:right w:w="100" w:type="dxa"/>
            </w:tcMar>
            <w:vAlign w:val="center"/>
          </w:tcPr>
          <w:p w14:paraId="1654B39D" w14:textId="77777777" w:rsidR="00C7727A" w:rsidRDefault="00000000">
            <w:r>
              <w:rPr>
                <w:color w:val="000000"/>
                <w:sz w:val="19"/>
                <w:szCs w:val="19"/>
              </w:rPr>
              <w:t>Requirement finalization</w:t>
            </w:r>
          </w:p>
        </w:tc>
        <w:tc>
          <w:tcPr>
            <w:tcW w:w="5950" w:type="dxa"/>
            <w:shd w:val="clear" w:color="auto" w:fill="F2F2F2"/>
            <w:tcMar>
              <w:top w:w="80" w:type="dxa"/>
              <w:left w:w="100" w:type="dxa"/>
              <w:bottom w:w="80" w:type="dxa"/>
              <w:right w:w="100" w:type="dxa"/>
            </w:tcMar>
            <w:vAlign w:val="center"/>
          </w:tcPr>
          <w:p w14:paraId="4A7B45DB" w14:textId="77777777" w:rsidR="00C7727A" w:rsidRDefault="00000000">
            <w:r>
              <w:rPr>
                <w:color w:val="000000"/>
                <w:sz w:val="19"/>
                <w:szCs w:val="19"/>
              </w:rPr>
              <w:t>September 2026, running alongside early sprints. Detailed requirements may continue to be refined during development based on internal feedback.</w:t>
            </w:r>
          </w:p>
        </w:tc>
      </w:tr>
      <w:tr w:rsidR="00C7727A" w14:paraId="40A42AEB" w14:textId="77777777">
        <w:tc>
          <w:tcPr>
            <w:tcW w:w="3400" w:type="dxa"/>
            <w:tcMar>
              <w:top w:w="80" w:type="dxa"/>
              <w:left w:w="100" w:type="dxa"/>
              <w:bottom w:w="80" w:type="dxa"/>
              <w:right w:w="100" w:type="dxa"/>
            </w:tcMar>
            <w:vAlign w:val="center"/>
          </w:tcPr>
          <w:p w14:paraId="3BA9B163" w14:textId="77777777" w:rsidR="00C7727A" w:rsidRDefault="00000000">
            <w:r>
              <w:rPr>
                <w:color w:val="000000"/>
                <w:sz w:val="19"/>
                <w:szCs w:val="19"/>
              </w:rPr>
              <w:t>Development &amp; testing complete</w:t>
            </w:r>
          </w:p>
        </w:tc>
        <w:tc>
          <w:tcPr>
            <w:tcW w:w="5950" w:type="dxa"/>
            <w:tcMar>
              <w:top w:w="80" w:type="dxa"/>
              <w:left w:w="100" w:type="dxa"/>
              <w:bottom w:w="80" w:type="dxa"/>
              <w:right w:w="100" w:type="dxa"/>
            </w:tcMar>
            <w:vAlign w:val="center"/>
          </w:tcPr>
          <w:p w14:paraId="780706FE" w14:textId="77777777" w:rsidR="00C7727A" w:rsidRDefault="00000000">
            <w:r>
              <w:rPr>
                <w:color w:val="000000"/>
                <w:sz w:val="19"/>
                <w:szCs w:val="19"/>
              </w:rPr>
              <w:t>End of November 2026</w:t>
            </w:r>
          </w:p>
        </w:tc>
      </w:tr>
      <w:tr w:rsidR="00C7727A" w14:paraId="43F1FF10" w14:textId="77777777">
        <w:tc>
          <w:tcPr>
            <w:tcW w:w="3400" w:type="dxa"/>
            <w:shd w:val="clear" w:color="auto" w:fill="F2F2F2"/>
            <w:tcMar>
              <w:top w:w="80" w:type="dxa"/>
              <w:left w:w="100" w:type="dxa"/>
              <w:bottom w:w="80" w:type="dxa"/>
              <w:right w:w="100" w:type="dxa"/>
            </w:tcMar>
            <w:vAlign w:val="center"/>
          </w:tcPr>
          <w:p w14:paraId="750F61BE" w14:textId="77777777" w:rsidR="00C7727A" w:rsidRDefault="00000000">
            <w:r>
              <w:rPr>
                <w:color w:val="000000"/>
                <w:sz w:val="19"/>
                <w:szCs w:val="19"/>
              </w:rPr>
              <w:t>UAT by Solara</w:t>
            </w:r>
          </w:p>
        </w:tc>
        <w:tc>
          <w:tcPr>
            <w:tcW w:w="5950" w:type="dxa"/>
            <w:shd w:val="clear" w:color="auto" w:fill="F2F2F2"/>
            <w:tcMar>
              <w:top w:w="80" w:type="dxa"/>
              <w:left w:w="100" w:type="dxa"/>
              <w:bottom w:w="80" w:type="dxa"/>
              <w:right w:w="100" w:type="dxa"/>
            </w:tcMar>
            <w:vAlign w:val="center"/>
          </w:tcPr>
          <w:p w14:paraId="6A25B733" w14:textId="77777777" w:rsidR="00C7727A" w:rsidRDefault="00000000">
            <w:r>
              <w:rPr>
                <w:color w:val="000000"/>
                <w:sz w:val="19"/>
                <w:szCs w:val="19"/>
              </w:rPr>
              <w:t>December 2026 (vendor support expected)</w:t>
            </w:r>
          </w:p>
        </w:tc>
      </w:tr>
      <w:tr w:rsidR="00C7727A" w14:paraId="1FDA59D9" w14:textId="77777777">
        <w:tc>
          <w:tcPr>
            <w:tcW w:w="3400" w:type="dxa"/>
            <w:tcMar>
              <w:top w:w="80" w:type="dxa"/>
              <w:left w:w="100" w:type="dxa"/>
              <w:bottom w:w="80" w:type="dxa"/>
              <w:right w:w="100" w:type="dxa"/>
            </w:tcMar>
            <w:vAlign w:val="center"/>
          </w:tcPr>
          <w:p w14:paraId="35D2D2FE" w14:textId="77777777" w:rsidR="00C7727A" w:rsidRDefault="00000000">
            <w:r>
              <w:rPr>
                <w:color w:val="000000"/>
                <w:sz w:val="19"/>
                <w:szCs w:val="19"/>
              </w:rPr>
              <w:t>App store submission &amp; launch preparation</w:t>
            </w:r>
          </w:p>
        </w:tc>
        <w:tc>
          <w:tcPr>
            <w:tcW w:w="5950" w:type="dxa"/>
            <w:tcMar>
              <w:top w:w="80" w:type="dxa"/>
              <w:left w:w="100" w:type="dxa"/>
              <w:bottom w:w="80" w:type="dxa"/>
              <w:right w:w="100" w:type="dxa"/>
            </w:tcMar>
            <w:vAlign w:val="center"/>
          </w:tcPr>
          <w:p w14:paraId="73F52D5E" w14:textId="77777777" w:rsidR="00C7727A" w:rsidRDefault="00000000">
            <w:r>
              <w:rPr>
                <w:color w:val="000000"/>
                <w:sz w:val="19"/>
                <w:szCs w:val="19"/>
              </w:rPr>
              <w:t>January 2027</w:t>
            </w:r>
          </w:p>
        </w:tc>
      </w:tr>
      <w:tr w:rsidR="00C7727A" w14:paraId="690FCE29" w14:textId="77777777">
        <w:tc>
          <w:tcPr>
            <w:tcW w:w="3400" w:type="dxa"/>
            <w:shd w:val="clear" w:color="auto" w:fill="F2F2F2"/>
            <w:tcMar>
              <w:top w:w="80" w:type="dxa"/>
              <w:left w:w="100" w:type="dxa"/>
              <w:bottom w:w="80" w:type="dxa"/>
              <w:right w:w="100" w:type="dxa"/>
            </w:tcMar>
            <w:vAlign w:val="center"/>
          </w:tcPr>
          <w:p w14:paraId="16B5A67D" w14:textId="77777777" w:rsidR="00C7727A" w:rsidRDefault="00000000">
            <w:r>
              <w:rPr>
                <w:color w:val="000000"/>
                <w:sz w:val="19"/>
                <w:szCs w:val="19"/>
              </w:rPr>
              <w:t>Public launch</w:t>
            </w:r>
          </w:p>
        </w:tc>
        <w:tc>
          <w:tcPr>
            <w:tcW w:w="5950" w:type="dxa"/>
            <w:shd w:val="clear" w:color="auto" w:fill="F2F2F2"/>
            <w:tcMar>
              <w:top w:w="80" w:type="dxa"/>
              <w:left w:w="100" w:type="dxa"/>
              <w:bottom w:w="80" w:type="dxa"/>
              <w:right w:w="100" w:type="dxa"/>
            </w:tcMar>
            <w:vAlign w:val="center"/>
          </w:tcPr>
          <w:p w14:paraId="51C0B5EB" w14:textId="77777777" w:rsidR="00C7727A" w:rsidRDefault="00000000">
            <w:r>
              <w:rPr>
                <w:color w:val="000000"/>
                <w:sz w:val="19"/>
                <w:szCs w:val="19"/>
              </w:rPr>
              <w:t>1 March 2027 — fixed; delay is not acceptable</w:t>
            </w:r>
          </w:p>
        </w:tc>
      </w:tr>
    </w:tbl>
    <w:p w14:paraId="1E64FA46" w14:textId="77777777" w:rsidR="00C7727A" w:rsidRDefault="00000000">
      <w:pPr>
        <w:pStyle w:val="Heading1"/>
        <w:spacing w:before="320" w:after="160"/>
      </w:pPr>
      <w:bookmarkStart w:id="16" w:name="_Toc236231570"/>
      <w:r>
        <w:rPr>
          <w:b/>
          <w:bCs/>
          <w:color w:val="1F3864"/>
          <w:sz w:val="26"/>
          <w:szCs w:val="26"/>
        </w:rPr>
        <w:t>9. Project Structure and Communication</w:t>
      </w:r>
      <w:bookmarkEnd w:id="16"/>
    </w:p>
    <w:p w14:paraId="22E2212E" w14:textId="77777777" w:rsidR="00C7727A" w:rsidRDefault="00000000">
      <w:pPr>
        <w:spacing w:after="140"/>
      </w:pPr>
      <w:r>
        <w:rPr>
          <w:sz w:val="21"/>
          <w:szCs w:val="21"/>
        </w:rPr>
        <w:t>All communication with Solara is remote (chat and online meetings) and in English, through the technology partnerships office.</w:t>
      </w:r>
    </w:p>
    <w:p w14:paraId="581F9BB4" w14:textId="77777777" w:rsidR="00C7727A" w:rsidRDefault="00000000">
      <w:pPr>
        <w:spacing w:after="140"/>
      </w:pPr>
      <w:r>
        <w:rPr>
          <w:sz w:val="21"/>
          <w:szCs w:val="21"/>
        </w:rPr>
        <w:t>A written Q&amp;A window (grooming Q&amp;A session) is open 31 July – 1 August 2026, closing 10:00 BST. Questions must be submitted in writing only, from the Proponent's actual e-mail address, through the designated channel. Solara shares answers in writing with all Proponents. Only written agreements are valid; verbal exchanges are non-binding.</w:t>
      </w:r>
    </w:p>
    <w:p w14:paraId="4FA538DB" w14:textId="77777777" w:rsidR="00C7727A" w:rsidRDefault="00000000">
      <w:pPr>
        <w:spacing w:after="140"/>
      </w:pPr>
      <w:r>
        <w:rPr>
          <w:sz w:val="21"/>
          <w:szCs w:val="21"/>
        </w:rPr>
        <w:t>Weekly progress reporting is required in addition to Scrum ceremonies; risks, issues and dependencies must be visible in every report.</w:t>
      </w:r>
    </w:p>
    <w:p w14:paraId="10831C0D" w14:textId="77777777" w:rsidR="00C7727A" w:rsidRDefault="00000000">
      <w:pPr>
        <w:spacing w:after="140"/>
      </w:pPr>
      <w:r>
        <w:rPr>
          <w:sz w:val="21"/>
          <w:szCs w:val="21"/>
        </w:rPr>
        <w:t>Solara stakeholders: Resident Experience Office (product owner), Solara OMS Platform Team, Property Operations, Compliance/Privacy, and the Marketing/Brand Team (source of the per-persona brand assets in Section 5).</w:t>
      </w:r>
    </w:p>
    <w:p w14:paraId="10D7E72E" w14:textId="77777777" w:rsidR="00C7727A" w:rsidRDefault="00000000">
      <w:pPr>
        <w:pStyle w:val="Heading1"/>
        <w:spacing w:before="320" w:after="160"/>
      </w:pPr>
      <w:bookmarkStart w:id="17" w:name="_Toc236231571"/>
      <w:r>
        <w:rPr>
          <w:b/>
          <w:bCs/>
          <w:color w:val="1F3864"/>
          <w:sz w:val="26"/>
          <w:szCs w:val="26"/>
        </w:rPr>
        <w:t>10. Proposal Requirements</w:t>
      </w:r>
      <w:bookmarkEnd w:id="17"/>
    </w:p>
    <w:p w14:paraId="45CC9BFD" w14:textId="77777777" w:rsidR="00C7727A" w:rsidRDefault="00000000">
      <w:pPr>
        <w:spacing w:after="140"/>
      </w:pPr>
      <w:r>
        <w:rPr>
          <w:sz w:val="21"/>
          <w:szCs w:val="21"/>
        </w:rPr>
        <w:t>The Complete Technical Proposal must be in English and must contain, at minimum, the twelve elements below. Format is free.</w:t>
      </w:r>
    </w:p>
    <w:p w14:paraId="55890F4D" w14:textId="77777777" w:rsidR="00C7727A" w:rsidRDefault="00000000">
      <w:pPr>
        <w:pStyle w:val="ListParagraph"/>
        <w:numPr>
          <w:ilvl w:val="0"/>
          <w:numId w:val="1"/>
        </w:numPr>
        <w:spacing w:after="80"/>
      </w:pPr>
      <w:r>
        <w:rPr>
          <w:sz w:val="21"/>
          <w:szCs w:val="21"/>
        </w:rPr>
        <w:t>Executive summary</w:t>
      </w:r>
    </w:p>
    <w:p w14:paraId="061CE760" w14:textId="77777777" w:rsidR="00C7727A" w:rsidRDefault="00000000">
      <w:pPr>
        <w:pStyle w:val="ListParagraph"/>
        <w:numPr>
          <w:ilvl w:val="0"/>
          <w:numId w:val="1"/>
        </w:numPr>
        <w:spacing w:after="80"/>
      </w:pPr>
      <w:r>
        <w:rPr>
          <w:sz w:val="21"/>
          <w:szCs w:val="21"/>
        </w:rPr>
        <w:t>Scope</w:t>
      </w:r>
    </w:p>
    <w:p w14:paraId="1DE4FEA8" w14:textId="77777777" w:rsidR="00C7727A" w:rsidRDefault="00000000">
      <w:pPr>
        <w:pStyle w:val="ListParagraph"/>
        <w:numPr>
          <w:ilvl w:val="0"/>
          <w:numId w:val="1"/>
        </w:numPr>
        <w:spacing w:after="80"/>
      </w:pPr>
      <w:r>
        <w:rPr>
          <w:sz w:val="21"/>
          <w:szCs w:val="21"/>
        </w:rPr>
        <w:t>Out of scope</w:t>
      </w:r>
    </w:p>
    <w:p w14:paraId="750A3005" w14:textId="77777777" w:rsidR="00C7727A" w:rsidRDefault="00000000">
      <w:pPr>
        <w:pStyle w:val="ListParagraph"/>
        <w:numPr>
          <w:ilvl w:val="0"/>
          <w:numId w:val="1"/>
        </w:numPr>
        <w:spacing w:after="80"/>
      </w:pPr>
      <w:r>
        <w:rPr>
          <w:sz w:val="21"/>
          <w:szCs w:val="21"/>
        </w:rPr>
        <w:t>Solution with tech stack (architecture and technology choices for both the resident app and the staff-facing tooling, justified against Section 4.1, your UI/UX design approach and tooling, and how AI tools will be leveraged to reduce cost and improve quality — concrete, verifiable claims expected)</w:t>
      </w:r>
    </w:p>
    <w:p w14:paraId="22E12A7A" w14:textId="77777777" w:rsidR="00C7727A" w:rsidRDefault="00000000">
      <w:pPr>
        <w:pStyle w:val="ListParagraph"/>
        <w:numPr>
          <w:ilvl w:val="0"/>
          <w:numId w:val="1"/>
        </w:numPr>
        <w:spacing w:after="80"/>
      </w:pPr>
      <w:r>
        <w:rPr>
          <w:sz w:val="21"/>
          <w:szCs w:val="21"/>
        </w:rPr>
        <w:t>Estimation (with its basis)</w:t>
      </w:r>
    </w:p>
    <w:p w14:paraId="33274B22" w14:textId="77777777" w:rsidR="00C7727A" w:rsidRDefault="00000000">
      <w:pPr>
        <w:pStyle w:val="ListParagraph"/>
        <w:numPr>
          <w:ilvl w:val="0"/>
          <w:numId w:val="1"/>
        </w:numPr>
        <w:spacing w:after="80"/>
      </w:pPr>
      <w:r>
        <w:rPr>
          <w:sz w:val="21"/>
          <w:szCs w:val="21"/>
        </w:rPr>
        <w:t>Schedule with key milestones (sprint-level)</w:t>
      </w:r>
    </w:p>
    <w:p w14:paraId="057A35C4" w14:textId="77777777" w:rsidR="00C7727A" w:rsidRDefault="00000000">
      <w:pPr>
        <w:pStyle w:val="ListParagraph"/>
        <w:numPr>
          <w:ilvl w:val="0"/>
          <w:numId w:val="1"/>
        </w:numPr>
        <w:spacing w:after="80"/>
      </w:pPr>
      <w:r>
        <w:rPr>
          <w:sz w:val="21"/>
          <w:szCs w:val="21"/>
        </w:rPr>
        <w:t>Meeting cadence</w:t>
      </w:r>
    </w:p>
    <w:p w14:paraId="3C6D4E96" w14:textId="77777777" w:rsidR="00C7727A" w:rsidRDefault="00000000">
      <w:pPr>
        <w:pStyle w:val="ListParagraph"/>
        <w:numPr>
          <w:ilvl w:val="0"/>
          <w:numId w:val="1"/>
        </w:numPr>
        <w:spacing w:after="80"/>
      </w:pPr>
      <w:r>
        <w:rPr>
          <w:sz w:val="21"/>
          <w:szCs w:val="21"/>
        </w:rPr>
        <w:t>Reporting</w:t>
      </w:r>
    </w:p>
    <w:p w14:paraId="486C94AD" w14:textId="77777777" w:rsidR="00C7727A" w:rsidRDefault="00000000">
      <w:pPr>
        <w:pStyle w:val="ListParagraph"/>
        <w:numPr>
          <w:ilvl w:val="0"/>
          <w:numId w:val="1"/>
        </w:numPr>
        <w:spacing w:after="80"/>
      </w:pPr>
      <w:r>
        <w:rPr>
          <w:sz w:val="21"/>
          <w:szCs w:val="21"/>
        </w:rPr>
        <w:t>Risk / Issue / Dependency (management approach, including your assumptions and your change-control approach for scope changes raised during the engagement)</w:t>
      </w:r>
    </w:p>
    <w:p w14:paraId="089095EE" w14:textId="77777777" w:rsidR="00C7727A" w:rsidRDefault="00000000">
      <w:pPr>
        <w:pStyle w:val="ListParagraph"/>
        <w:numPr>
          <w:ilvl w:val="0"/>
          <w:numId w:val="1"/>
        </w:numPr>
        <w:spacing w:after="80"/>
      </w:pPr>
      <w:r>
        <w:rPr>
          <w:sz w:val="21"/>
          <w:szCs w:val="21"/>
        </w:rPr>
        <w:lastRenderedPageBreak/>
        <w:t>Approval &amp; version history (of the proposal document)</w:t>
      </w:r>
    </w:p>
    <w:p w14:paraId="2DD48036" w14:textId="77777777" w:rsidR="00C7727A" w:rsidRDefault="00000000">
      <w:pPr>
        <w:pStyle w:val="ListParagraph"/>
        <w:numPr>
          <w:ilvl w:val="0"/>
          <w:numId w:val="1"/>
        </w:numPr>
        <w:spacing w:after="80"/>
      </w:pPr>
      <w:r>
        <w:rPr>
          <w:sz w:val="21"/>
          <w:szCs w:val="21"/>
        </w:rPr>
        <w:t>Team structure</w:t>
      </w:r>
    </w:p>
    <w:p w14:paraId="4C476CA9" w14:textId="77777777" w:rsidR="00C7727A" w:rsidRDefault="00000000">
      <w:pPr>
        <w:pStyle w:val="ListParagraph"/>
        <w:numPr>
          <w:ilvl w:val="0"/>
          <w:numId w:val="1"/>
        </w:numPr>
        <w:spacing w:after="80"/>
      </w:pPr>
      <w:r>
        <w:rPr>
          <w:sz w:val="21"/>
          <w:szCs w:val="21"/>
        </w:rPr>
        <w:t>Resource allocation plan</w:t>
      </w:r>
    </w:p>
    <w:p w14:paraId="6B206F73" w14:textId="77777777" w:rsidR="00C7727A" w:rsidRDefault="00000000">
      <w:pPr>
        <w:spacing w:after="140"/>
      </w:pPr>
      <w:r>
        <w:rPr>
          <w:sz w:val="21"/>
          <w:szCs w:val="21"/>
        </w:rPr>
        <w:t>In addition to the twelve elements above, Solara also asks for an outline of your firm's standard post-launch Application Management Services (AMS) / long-term maintenance offering, for future planning (do not price this into the core proposal).</w:t>
      </w:r>
    </w:p>
    <w:p w14:paraId="566089BC" w14:textId="77777777" w:rsidR="00C7727A" w:rsidRDefault="00000000">
      <w:pPr>
        <w:spacing w:after="140"/>
      </w:pPr>
      <w:r>
        <w:rPr>
          <w:sz w:val="21"/>
          <w:szCs w:val="21"/>
        </w:rPr>
        <w:t>Presentation: 1 August 2026, 14:00 BST — 10 minutes per vendor, hard stop, strictly enforced (suggested split: 8 minutes presentation + 2 minutes Q&amp;A/changeover), plenary session, in English.</w:t>
      </w:r>
    </w:p>
    <w:p w14:paraId="5090CDFC" w14:textId="77777777" w:rsidR="00C7727A" w:rsidRDefault="00000000">
      <w:pPr>
        <w:spacing w:after="140"/>
      </w:pPr>
      <w:r>
        <w:rPr>
          <w:sz w:val="21"/>
          <w:szCs w:val="21"/>
        </w:rPr>
        <w:t>Submission: upload the Complete Technical Proposal together with the Submission Pack (Section 10.1) to the designated procurement folder by 1 August 2026, 13:00 BST (the deadline on the cover); late proposals are accepted but recorded as late.</w:t>
      </w:r>
    </w:p>
    <w:p w14:paraId="5E3B0A79" w14:textId="77777777" w:rsidR="00C7727A" w:rsidRDefault="00000000">
      <w:pPr>
        <w:pStyle w:val="Heading2"/>
        <w:spacing w:before="240" w:after="120"/>
      </w:pPr>
      <w:bookmarkStart w:id="18" w:name="_Toc236231572"/>
      <w:r>
        <w:rPr>
          <w:b/>
          <w:bCs/>
          <w:color w:val="1F3864"/>
          <w:sz w:val="22"/>
          <w:szCs w:val="22"/>
        </w:rPr>
        <w:t>10.1 Submission Pack — 12 Mandatory Artifacts</w:t>
      </w:r>
      <w:bookmarkEnd w:id="18"/>
    </w:p>
    <w:p w14:paraId="1A0D9A34" w14:textId="77777777" w:rsidR="00C7727A" w:rsidRDefault="00000000">
      <w:pPr>
        <w:spacing w:after="140"/>
      </w:pPr>
      <w:r>
        <w:rPr>
          <w:sz w:val="21"/>
          <w:szCs w:val="21"/>
        </w:rPr>
        <w:t>In addition to the Complete Technical Proposal, upload the following twelve supporting artifacts to the designated procurement folder before the deadline on the cover. Each artifact anchors to a specific point in the engagement's governance framework (Section 10.2):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3250"/>
      </w:tblGrid>
      <w:tr w:rsidR="00C7727A" w14:paraId="6146D488" w14:textId="77777777">
        <w:trPr>
          <w:tblHeader/>
        </w:trPr>
        <w:tc>
          <w:tcPr>
            <w:tcW w:w="700" w:type="dxa"/>
            <w:shd w:val="clear" w:color="auto" w:fill="1F3864"/>
            <w:tcMar>
              <w:top w:w="80" w:type="dxa"/>
              <w:left w:w="100" w:type="dxa"/>
              <w:bottom w:w="80" w:type="dxa"/>
              <w:right w:w="100" w:type="dxa"/>
            </w:tcMar>
            <w:vAlign w:val="center"/>
          </w:tcPr>
          <w:p w14:paraId="16E172FE" w14:textId="77777777" w:rsidR="00C7727A" w:rsidRDefault="00000000">
            <w:r>
              <w:rPr>
                <w:b/>
                <w:bCs/>
                <w:color w:val="FFFFFF"/>
                <w:sz w:val="19"/>
                <w:szCs w:val="19"/>
              </w:rPr>
              <w:t>#</w:t>
            </w:r>
          </w:p>
        </w:tc>
        <w:tc>
          <w:tcPr>
            <w:tcW w:w="5400" w:type="dxa"/>
            <w:shd w:val="clear" w:color="auto" w:fill="1F3864"/>
            <w:tcMar>
              <w:top w:w="80" w:type="dxa"/>
              <w:left w:w="100" w:type="dxa"/>
              <w:bottom w:w="80" w:type="dxa"/>
              <w:right w:w="100" w:type="dxa"/>
            </w:tcMar>
            <w:vAlign w:val="center"/>
          </w:tcPr>
          <w:p w14:paraId="6205334B" w14:textId="77777777" w:rsidR="00C7727A" w:rsidRDefault="00000000">
            <w:r>
              <w:rPr>
                <w:b/>
                <w:bCs/>
                <w:color w:val="FFFFFF"/>
                <w:sz w:val="19"/>
                <w:szCs w:val="19"/>
              </w:rPr>
              <w:t>Artifact</w:t>
            </w:r>
          </w:p>
        </w:tc>
        <w:tc>
          <w:tcPr>
            <w:tcW w:w="3250" w:type="dxa"/>
            <w:shd w:val="clear" w:color="auto" w:fill="1F3864"/>
            <w:tcMar>
              <w:top w:w="80" w:type="dxa"/>
              <w:left w:w="100" w:type="dxa"/>
              <w:bottom w:w="80" w:type="dxa"/>
              <w:right w:w="100" w:type="dxa"/>
            </w:tcMar>
            <w:vAlign w:val="center"/>
          </w:tcPr>
          <w:p w14:paraId="7C8DA6D9" w14:textId="77777777" w:rsidR="00C7727A" w:rsidRDefault="00000000">
            <w:r>
              <w:rPr>
                <w:b/>
                <w:bCs/>
                <w:color w:val="FFFFFF"/>
                <w:sz w:val="19"/>
                <w:szCs w:val="19"/>
              </w:rPr>
              <w:t>Anchors To</w:t>
            </w:r>
          </w:p>
        </w:tc>
      </w:tr>
      <w:tr w:rsidR="00C7727A" w14:paraId="4F8C5BA1" w14:textId="77777777">
        <w:tc>
          <w:tcPr>
            <w:tcW w:w="700" w:type="dxa"/>
            <w:tcMar>
              <w:top w:w="80" w:type="dxa"/>
              <w:left w:w="100" w:type="dxa"/>
              <w:bottom w:w="80" w:type="dxa"/>
              <w:right w:w="100" w:type="dxa"/>
            </w:tcMar>
            <w:vAlign w:val="center"/>
          </w:tcPr>
          <w:p w14:paraId="75544F6D" w14:textId="77777777" w:rsidR="00C7727A" w:rsidRDefault="00000000">
            <w:r>
              <w:rPr>
                <w:color w:val="000000"/>
                <w:sz w:val="19"/>
                <w:szCs w:val="19"/>
              </w:rPr>
              <w:t>1</w:t>
            </w:r>
          </w:p>
        </w:tc>
        <w:tc>
          <w:tcPr>
            <w:tcW w:w="5400" w:type="dxa"/>
            <w:tcMar>
              <w:top w:w="80" w:type="dxa"/>
              <w:left w:w="100" w:type="dxa"/>
              <w:bottom w:w="80" w:type="dxa"/>
              <w:right w:w="100" w:type="dxa"/>
            </w:tcMar>
            <w:vAlign w:val="center"/>
          </w:tcPr>
          <w:p w14:paraId="3E7809A0" w14:textId="77777777" w:rsidR="00C7727A" w:rsidRDefault="00000000">
            <w:r>
              <w:rPr>
                <w:color w:val="000000"/>
                <w:sz w:val="19"/>
                <w:szCs w:val="19"/>
              </w:rPr>
              <w:t>Requirement Package (consolidated from this RfP)</w:t>
            </w:r>
          </w:p>
        </w:tc>
        <w:tc>
          <w:tcPr>
            <w:tcW w:w="3250" w:type="dxa"/>
            <w:tcMar>
              <w:top w:w="80" w:type="dxa"/>
              <w:left w:w="100" w:type="dxa"/>
              <w:bottom w:w="80" w:type="dxa"/>
              <w:right w:w="100" w:type="dxa"/>
            </w:tcMar>
            <w:vAlign w:val="center"/>
          </w:tcPr>
          <w:p w14:paraId="1E1610B9" w14:textId="77777777" w:rsidR="00C7727A" w:rsidRDefault="00000000">
            <w:r>
              <w:rPr>
                <w:color w:val="000000"/>
                <w:sz w:val="19"/>
                <w:szCs w:val="19"/>
              </w:rPr>
              <w:t>Requirement Clarification</w:t>
            </w:r>
          </w:p>
        </w:tc>
      </w:tr>
      <w:tr w:rsidR="00C7727A" w14:paraId="0517B60B" w14:textId="77777777">
        <w:tc>
          <w:tcPr>
            <w:tcW w:w="700" w:type="dxa"/>
            <w:shd w:val="clear" w:color="auto" w:fill="F2F2F2"/>
            <w:tcMar>
              <w:top w:w="80" w:type="dxa"/>
              <w:left w:w="100" w:type="dxa"/>
              <w:bottom w:w="80" w:type="dxa"/>
              <w:right w:w="100" w:type="dxa"/>
            </w:tcMar>
            <w:vAlign w:val="center"/>
          </w:tcPr>
          <w:p w14:paraId="56A401D5" w14:textId="77777777" w:rsidR="00C7727A" w:rsidRDefault="00000000">
            <w:r>
              <w:rPr>
                <w:color w:val="000000"/>
                <w:sz w:val="19"/>
                <w:szCs w:val="19"/>
              </w:rPr>
              <w:t>2</w:t>
            </w:r>
          </w:p>
        </w:tc>
        <w:tc>
          <w:tcPr>
            <w:tcW w:w="5400" w:type="dxa"/>
            <w:shd w:val="clear" w:color="auto" w:fill="F2F2F2"/>
            <w:tcMar>
              <w:top w:w="80" w:type="dxa"/>
              <w:left w:w="100" w:type="dxa"/>
              <w:bottom w:w="80" w:type="dxa"/>
              <w:right w:w="100" w:type="dxa"/>
            </w:tcMar>
            <w:vAlign w:val="center"/>
          </w:tcPr>
          <w:p w14:paraId="6CE73A1E" w14:textId="77777777" w:rsidR="00C7727A" w:rsidRDefault="00000000">
            <w:r>
              <w:rPr>
                <w:color w:val="000000"/>
                <w:sz w:val="19"/>
                <w:szCs w:val="19"/>
              </w:rPr>
              <w:t>Open Questions Register</w:t>
            </w:r>
          </w:p>
        </w:tc>
        <w:tc>
          <w:tcPr>
            <w:tcW w:w="3250" w:type="dxa"/>
            <w:shd w:val="clear" w:color="auto" w:fill="F2F2F2"/>
            <w:tcMar>
              <w:top w:w="80" w:type="dxa"/>
              <w:left w:w="100" w:type="dxa"/>
              <w:bottom w:w="80" w:type="dxa"/>
              <w:right w:w="100" w:type="dxa"/>
            </w:tcMar>
            <w:vAlign w:val="center"/>
          </w:tcPr>
          <w:p w14:paraId="7DAD86C2" w14:textId="77777777" w:rsidR="00C7727A" w:rsidRDefault="00000000">
            <w:r>
              <w:rPr>
                <w:color w:val="000000"/>
                <w:sz w:val="19"/>
                <w:szCs w:val="19"/>
              </w:rPr>
              <w:t>Requirement Clarification</w:t>
            </w:r>
          </w:p>
        </w:tc>
      </w:tr>
      <w:tr w:rsidR="00C7727A" w14:paraId="6A13788E" w14:textId="77777777">
        <w:tc>
          <w:tcPr>
            <w:tcW w:w="700" w:type="dxa"/>
            <w:tcMar>
              <w:top w:w="80" w:type="dxa"/>
              <w:left w:w="100" w:type="dxa"/>
              <w:bottom w:w="80" w:type="dxa"/>
              <w:right w:w="100" w:type="dxa"/>
            </w:tcMar>
            <w:vAlign w:val="center"/>
          </w:tcPr>
          <w:p w14:paraId="79AF7752" w14:textId="77777777" w:rsidR="00C7727A" w:rsidRDefault="00000000">
            <w:r>
              <w:rPr>
                <w:color w:val="000000"/>
                <w:sz w:val="19"/>
                <w:szCs w:val="19"/>
              </w:rPr>
              <w:t>3</w:t>
            </w:r>
          </w:p>
        </w:tc>
        <w:tc>
          <w:tcPr>
            <w:tcW w:w="5400" w:type="dxa"/>
            <w:tcMar>
              <w:top w:w="80" w:type="dxa"/>
              <w:left w:w="100" w:type="dxa"/>
              <w:bottom w:w="80" w:type="dxa"/>
              <w:right w:w="100" w:type="dxa"/>
            </w:tcMar>
            <w:vAlign w:val="center"/>
          </w:tcPr>
          <w:p w14:paraId="5B816EE3" w14:textId="77777777" w:rsidR="00C7727A" w:rsidRDefault="00000000">
            <w:r>
              <w:rPr>
                <w:color w:val="000000"/>
                <w:sz w:val="19"/>
                <w:szCs w:val="19"/>
              </w:rPr>
              <w:t>Requirement Maturity Level (RML) status per requirement (≥ 2 required to estimate)</w:t>
            </w:r>
          </w:p>
        </w:tc>
        <w:tc>
          <w:tcPr>
            <w:tcW w:w="3250" w:type="dxa"/>
            <w:tcMar>
              <w:top w:w="80" w:type="dxa"/>
              <w:left w:w="100" w:type="dxa"/>
              <w:bottom w:w="80" w:type="dxa"/>
              <w:right w:w="100" w:type="dxa"/>
            </w:tcMar>
            <w:vAlign w:val="center"/>
          </w:tcPr>
          <w:p w14:paraId="0F87DC1A" w14:textId="77777777" w:rsidR="00C7727A" w:rsidRDefault="00000000">
            <w:r>
              <w:rPr>
                <w:color w:val="000000"/>
                <w:sz w:val="19"/>
                <w:szCs w:val="19"/>
              </w:rPr>
              <w:t>Estimation Entry Gate</w:t>
            </w:r>
          </w:p>
        </w:tc>
      </w:tr>
      <w:tr w:rsidR="00C7727A" w14:paraId="0293F77D" w14:textId="77777777">
        <w:tc>
          <w:tcPr>
            <w:tcW w:w="700" w:type="dxa"/>
            <w:shd w:val="clear" w:color="auto" w:fill="F2F2F2"/>
            <w:tcMar>
              <w:top w:w="80" w:type="dxa"/>
              <w:left w:w="100" w:type="dxa"/>
              <w:bottom w:w="80" w:type="dxa"/>
              <w:right w:w="100" w:type="dxa"/>
            </w:tcMar>
            <w:vAlign w:val="center"/>
          </w:tcPr>
          <w:p w14:paraId="0804D8C0" w14:textId="77777777" w:rsidR="00C7727A" w:rsidRDefault="00000000">
            <w:r>
              <w:rPr>
                <w:color w:val="000000"/>
                <w:sz w:val="19"/>
                <w:szCs w:val="19"/>
              </w:rPr>
              <w:t>4</w:t>
            </w:r>
          </w:p>
        </w:tc>
        <w:tc>
          <w:tcPr>
            <w:tcW w:w="5400" w:type="dxa"/>
            <w:shd w:val="clear" w:color="auto" w:fill="F2F2F2"/>
            <w:tcMar>
              <w:top w:w="80" w:type="dxa"/>
              <w:left w:w="100" w:type="dxa"/>
              <w:bottom w:w="80" w:type="dxa"/>
              <w:right w:w="100" w:type="dxa"/>
            </w:tcMar>
            <w:vAlign w:val="center"/>
          </w:tcPr>
          <w:p w14:paraId="3CFBE636" w14:textId="77777777" w:rsidR="00C7727A" w:rsidRDefault="00000000">
            <w:r>
              <w:rPr>
                <w:color w:val="000000"/>
                <w:sz w:val="19"/>
                <w:szCs w:val="19"/>
              </w:rPr>
              <w:t>Uncertainty classification per requirement (Stable / Partially Defined / High Uncertainty / R&amp;D)</w:t>
            </w:r>
          </w:p>
        </w:tc>
        <w:tc>
          <w:tcPr>
            <w:tcW w:w="3250" w:type="dxa"/>
            <w:shd w:val="clear" w:color="auto" w:fill="F2F2F2"/>
            <w:tcMar>
              <w:top w:w="80" w:type="dxa"/>
              <w:left w:w="100" w:type="dxa"/>
              <w:bottom w:w="80" w:type="dxa"/>
              <w:right w:w="100" w:type="dxa"/>
            </w:tcMar>
            <w:vAlign w:val="center"/>
          </w:tcPr>
          <w:p w14:paraId="26BB82C1" w14:textId="77777777" w:rsidR="00C7727A" w:rsidRDefault="00000000">
            <w:r>
              <w:rPr>
                <w:color w:val="000000"/>
                <w:sz w:val="19"/>
                <w:szCs w:val="19"/>
              </w:rPr>
              <w:t>Estimation</w:t>
            </w:r>
          </w:p>
        </w:tc>
      </w:tr>
      <w:tr w:rsidR="00C7727A" w14:paraId="36169F08" w14:textId="77777777">
        <w:tc>
          <w:tcPr>
            <w:tcW w:w="700" w:type="dxa"/>
            <w:tcMar>
              <w:top w:w="80" w:type="dxa"/>
              <w:left w:w="100" w:type="dxa"/>
              <w:bottom w:w="80" w:type="dxa"/>
              <w:right w:w="100" w:type="dxa"/>
            </w:tcMar>
            <w:vAlign w:val="center"/>
          </w:tcPr>
          <w:p w14:paraId="018A33EE" w14:textId="77777777" w:rsidR="00C7727A" w:rsidRDefault="00000000">
            <w:r>
              <w:rPr>
                <w:color w:val="000000"/>
                <w:sz w:val="19"/>
                <w:szCs w:val="19"/>
              </w:rPr>
              <w:t>5</w:t>
            </w:r>
          </w:p>
        </w:tc>
        <w:tc>
          <w:tcPr>
            <w:tcW w:w="5400" w:type="dxa"/>
            <w:tcMar>
              <w:top w:w="80" w:type="dxa"/>
              <w:left w:w="100" w:type="dxa"/>
              <w:bottom w:w="80" w:type="dxa"/>
              <w:right w:w="100" w:type="dxa"/>
            </w:tcMar>
            <w:vAlign w:val="center"/>
          </w:tcPr>
          <w:p w14:paraId="2DF6E9D0" w14:textId="77777777" w:rsidR="00C7727A" w:rsidRDefault="00000000">
            <w:r>
              <w:rPr>
                <w:color w:val="000000"/>
                <w:sz w:val="19"/>
                <w:szCs w:val="19"/>
              </w:rPr>
              <w:t>Reverse Validation Workshop record</w:t>
            </w:r>
          </w:p>
        </w:tc>
        <w:tc>
          <w:tcPr>
            <w:tcW w:w="3250" w:type="dxa"/>
            <w:tcMar>
              <w:top w:w="80" w:type="dxa"/>
              <w:left w:w="100" w:type="dxa"/>
              <w:bottom w:w="80" w:type="dxa"/>
              <w:right w:w="100" w:type="dxa"/>
            </w:tcMar>
            <w:vAlign w:val="center"/>
          </w:tcPr>
          <w:p w14:paraId="74748B73" w14:textId="77777777" w:rsidR="00C7727A" w:rsidRDefault="00000000">
            <w:r>
              <w:rPr>
                <w:color w:val="000000"/>
                <w:sz w:val="19"/>
                <w:szCs w:val="19"/>
              </w:rPr>
              <w:t>Critical control — before proposal submission</w:t>
            </w:r>
          </w:p>
        </w:tc>
      </w:tr>
      <w:tr w:rsidR="00C7727A" w14:paraId="2AA425FB" w14:textId="77777777">
        <w:tc>
          <w:tcPr>
            <w:tcW w:w="700" w:type="dxa"/>
            <w:shd w:val="clear" w:color="auto" w:fill="F2F2F2"/>
            <w:tcMar>
              <w:top w:w="80" w:type="dxa"/>
              <w:left w:w="100" w:type="dxa"/>
              <w:bottom w:w="80" w:type="dxa"/>
              <w:right w:w="100" w:type="dxa"/>
            </w:tcMar>
            <w:vAlign w:val="center"/>
          </w:tcPr>
          <w:p w14:paraId="1CDFD119" w14:textId="77777777" w:rsidR="00C7727A" w:rsidRDefault="00000000">
            <w:r>
              <w:rPr>
                <w:color w:val="000000"/>
                <w:sz w:val="19"/>
                <w:szCs w:val="19"/>
              </w:rPr>
              <w:t>6</w:t>
            </w:r>
          </w:p>
        </w:tc>
        <w:tc>
          <w:tcPr>
            <w:tcW w:w="5400" w:type="dxa"/>
            <w:shd w:val="clear" w:color="auto" w:fill="F2F2F2"/>
            <w:tcMar>
              <w:top w:w="80" w:type="dxa"/>
              <w:left w:w="100" w:type="dxa"/>
              <w:bottom w:w="80" w:type="dxa"/>
              <w:right w:w="100" w:type="dxa"/>
            </w:tcMar>
            <w:vAlign w:val="center"/>
          </w:tcPr>
          <w:p w14:paraId="516561BB" w14:textId="77777777" w:rsidR="00C7727A" w:rsidRDefault="00000000">
            <w:r>
              <w:rPr>
                <w:color w:val="000000"/>
                <w:sz w:val="19"/>
                <w:szCs w:val="19"/>
              </w:rPr>
              <w:t>Risk / Assumption Register (client-visible)</w:t>
            </w:r>
          </w:p>
        </w:tc>
        <w:tc>
          <w:tcPr>
            <w:tcW w:w="3250" w:type="dxa"/>
            <w:shd w:val="clear" w:color="auto" w:fill="F2F2F2"/>
            <w:tcMar>
              <w:top w:w="80" w:type="dxa"/>
              <w:left w:w="100" w:type="dxa"/>
              <w:bottom w:w="80" w:type="dxa"/>
              <w:right w:w="100" w:type="dxa"/>
            </w:tcMar>
            <w:vAlign w:val="center"/>
          </w:tcPr>
          <w:p w14:paraId="39631EDF" w14:textId="77777777" w:rsidR="00C7727A" w:rsidRDefault="00000000">
            <w:r>
              <w:rPr>
                <w:color w:val="000000"/>
                <w:sz w:val="19"/>
                <w:szCs w:val="19"/>
              </w:rPr>
              <w:t>Bid + Contract</w:t>
            </w:r>
          </w:p>
        </w:tc>
      </w:tr>
      <w:tr w:rsidR="00C7727A" w14:paraId="070251B2" w14:textId="77777777">
        <w:tc>
          <w:tcPr>
            <w:tcW w:w="700" w:type="dxa"/>
            <w:tcMar>
              <w:top w:w="80" w:type="dxa"/>
              <w:left w:w="100" w:type="dxa"/>
              <w:bottom w:w="80" w:type="dxa"/>
              <w:right w:w="100" w:type="dxa"/>
            </w:tcMar>
            <w:vAlign w:val="center"/>
          </w:tcPr>
          <w:p w14:paraId="7651E745" w14:textId="77777777" w:rsidR="00C7727A" w:rsidRDefault="00000000">
            <w:r>
              <w:rPr>
                <w:color w:val="000000"/>
                <w:sz w:val="19"/>
                <w:szCs w:val="19"/>
              </w:rPr>
              <w:t>7</w:t>
            </w:r>
          </w:p>
        </w:tc>
        <w:tc>
          <w:tcPr>
            <w:tcW w:w="5400" w:type="dxa"/>
            <w:tcMar>
              <w:top w:w="80" w:type="dxa"/>
              <w:left w:w="100" w:type="dxa"/>
              <w:bottom w:w="80" w:type="dxa"/>
              <w:right w:w="100" w:type="dxa"/>
            </w:tcMar>
            <w:vAlign w:val="center"/>
          </w:tcPr>
          <w:p w14:paraId="3F224125" w14:textId="77777777" w:rsidR="00C7727A" w:rsidRDefault="00000000">
            <w:r>
              <w:rPr>
                <w:color w:val="000000"/>
                <w:sz w:val="19"/>
                <w:szCs w:val="19"/>
              </w:rPr>
              <w:t>Solution Approval note (+ Technology Risk Assessment)</w:t>
            </w:r>
          </w:p>
        </w:tc>
        <w:tc>
          <w:tcPr>
            <w:tcW w:w="3250" w:type="dxa"/>
            <w:tcMar>
              <w:top w:w="80" w:type="dxa"/>
              <w:left w:w="100" w:type="dxa"/>
              <w:bottom w:w="80" w:type="dxa"/>
              <w:right w:w="100" w:type="dxa"/>
            </w:tcMar>
            <w:vAlign w:val="center"/>
          </w:tcPr>
          <w:p w14:paraId="202A04AE" w14:textId="77777777" w:rsidR="00C7727A" w:rsidRDefault="00000000">
            <w:r>
              <w:rPr>
                <w:color w:val="000000"/>
                <w:sz w:val="19"/>
                <w:szCs w:val="19"/>
              </w:rPr>
              <w:t>Solution Validation Gate</w:t>
            </w:r>
          </w:p>
        </w:tc>
      </w:tr>
      <w:tr w:rsidR="00C7727A" w14:paraId="5FA54EBE" w14:textId="77777777">
        <w:tc>
          <w:tcPr>
            <w:tcW w:w="700" w:type="dxa"/>
            <w:shd w:val="clear" w:color="auto" w:fill="F2F2F2"/>
            <w:tcMar>
              <w:top w:w="80" w:type="dxa"/>
              <w:left w:w="100" w:type="dxa"/>
              <w:bottom w:w="80" w:type="dxa"/>
              <w:right w:w="100" w:type="dxa"/>
            </w:tcMar>
            <w:vAlign w:val="center"/>
          </w:tcPr>
          <w:p w14:paraId="7F04BBE7" w14:textId="77777777" w:rsidR="00C7727A" w:rsidRDefault="00000000">
            <w:r>
              <w:rPr>
                <w:color w:val="000000"/>
                <w:sz w:val="19"/>
                <w:szCs w:val="19"/>
              </w:rPr>
              <w:t>8</w:t>
            </w:r>
          </w:p>
        </w:tc>
        <w:tc>
          <w:tcPr>
            <w:tcW w:w="5400" w:type="dxa"/>
            <w:shd w:val="clear" w:color="auto" w:fill="F2F2F2"/>
            <w:tcMar>
              <w:top w:w="80" w:type="dxa"/>
              <w:left w:w="100" w:type="dxa"/>
              <w:bottom w:w="80" w:type="dxa"/>
              <w:right w:w="100" w:type="dxa"/>
            </w:tcMar>
            <w:vAlign w:val="center"/>
          </w:tcPr>
          <w:p w14:paraId="73A98D7E" w14:textId="77777777" w:rsidR="00C7727A" w:rsidRDefault="00000000">
            <w:r>
              <w:rPr>
                <w:color w:val="000000"/>
                <w:sz w:val="19"/>
                <w:szCs w:val="19"/>
              </w:rPr>
              <w:t>Deliverable-based Work Breakdown Structure (100% traceable to the Requirement Package)</w:t>
            </w:r>
          </w:p>
        </w:tc>
        <w:tc>
          <w:tcPr>
            <w:tcW w:w="3250" w:type="dxa"/>
            <w:shd w:val="clear" w:color="auto" w:fill="F2F2F2"/>
            <w:tcMar>
              <w:top w:w="80" w:type="dxa"/>
              <w:left w:w="100" w:type="dxa"/>
              <w:bottom w:w="80" w:type="dxa"/>
              <w:right w:w="100" w:type="dxa"/>
            </w:tcMar>
            <w:vAlign w:val="center"/>
          </w:tcPr>
          <w:p w14:paraId="4AA60F49" w14:textId="77777777" w:rsidR="00C7727A" w:rsidRDefault="00000000">
            <w:r>
              <w:rPr>
                <w:color w:val="000000"/>
                <w:sz w:val="19"/>
                <w:szCs w:val="19"/>
              </w:rPr>
              <w:t>Estimation</w:t>
            </w:r>
          </w:p>
        </w:tc>
      </w:tr>
      <w:tr w:rsidR="00C7727A" w14:paraId="2D2E986A" w14:textId="77777777">
        <w:tc>
          <w:tcPr>
            <w:tcW w:w="700" w:type="dxa"/>
            <w:tcMar>
              <w:top w:w="80" w:type="dxa"/>
              <w:left w:w="100" w:type="dxa"/>
              <w:bottom w:w="80" w:type="dxa"/>
              <w:right w:w="100" w:type="dxa"/>
            </w:tcMar>
            <w:vAlign w:val="center"/>
          </w:tcPr>
          <w:p w14:paraId="63CAA617" w14:textId="77777777" w:rsidR="00C7727A" w:rsidRDefault="00000000">
            <w:r>
              <w:rPr>
                <w:color w:val="000000"/>
                <w:sz w:val="19"/>
                <w:szCs w:val="19"/>
              </w:rPr>
              <w:t>9</w:t>
            </w:r>
          </w:p>
        </w:tc>
        <w:tc>
          <w:tcPr>
            <w:tcW w:w="5400" w:type="dxa"/>
            <w:tcMar>
              <w:top w:w="80" w:type="dxa"/>
              <w:left w:w="100" w:type="dxa"/>
              <w:bottom w:w="80" w:type="dxa"/>
              <w:right w:w="100" w:type="dxa"/>
            </w:tcMar>
            <w:vAlign w:val="center"/>
          </w:tcPr>
          <w:p w14:paraId="70529CBD" w14:textId="77777777" w:rsidR="00C7727A" w:rsidRDefault="00000000">
            <w:r>
              <w:rPr>
                <w:color w:val="000000"/>
                <w:sz w:val="19"/>
                <w:szCs w:val="19"/>
              </w:rPr>
              <w:t>Risk Buffer calculation + Estimation Assumptions Log</w:t>
            </w:r>
          </w:p>
        </w:tc>
        <w:tc>
          <w:tcPr>
            <w:tcW w:w="3250" w:type="dxa"/>
            <w:tcMar>
              <w:top w:w="80" w:type="dxa"/>
              <w:left w:w="100" w:type="dxa"/>
              <w:bottom w:w="80" w:type="dxa"/>
              <w:right w:w="100" w:type="dxa"/>
            </w:tcMar>
            <w:vAlign w:val="center"/>
          </w:tcPr>
          <w:p w14:paraId="2C53FD71" w14:textId="77777777" w:rsidR="00C7727A" w:rsidRDefault="00000000">
            <w:r>
              <w:rPr>
                <w:color w:val="000000"/>
                <w:sz w:val="19"/>
                <w:szCs w:val="19"/>
              </w:rPr>
              <w:t>Estimation Validation Gate</w:t>
            </w:r>
          </w:p>
        </w:tc>
      </w:tr>
      <w:tr w:rsidR="00C7727A" w14:paraId="0DEB1C41" w14:textId="77777777">
        <w:tc>
          <w:tcPr>
            <w:tcW w:w="700" w:type="dxa"/>
            <w:shd w:val="clear" w:color="auto" w:fill="F2F2F2"/>
            <w:tcMar>
              <w:top w:w="80" w:type="dxa"/>
              <w:left w:w="100" w:type="dxa"/>
              <w:bottom w:w="80" w:type="dxa"/>
              <w:right w:w="100" w:type="dxa"/>
            </w:tcMar>
            <w:vAlign w:val="center"/>
          </w:tcPr>
          <w:p w14:paraId="6F99F578" w14:textId="77777777" w:rsidR="00C7727A" w:rsidRDefault="00000000">
            <w:r>
              <w:rPr>
                <w:color w:val="000000"/>
                <w:sz w:val="19"/>
                <w:szCs w:val="19"/>
              </w:rPr>
              <w:t>10</w:t>
            </w:r>
          </w:p>
        </w:tc>
        <w:tc>
          <w:tcPr>
            <w:tcW w:w="5400" w:type="dxa"/>
            <w:shd w:val="clear" w:color="auto" w:fill="F2F2F2"/>
            <w:tcMar>
              <w:top w:w="80" w:type="dxa"/>
              <w:left w:w="100" w:type="dxa"/>
              <w:bottom w:w="80" w:type="dxa"/>
              <w:right w:w="100" w:type="dxa"/>
            </w:tcMar>
            <w:vAlign w:val="center"/>
          </w:tcPr>
          <w:p w14:paraId="006AEA11" w14:textId="77777777" w:rsidR="00C7727A" w:rsidRDefault="00000000">
            <w:r>
              <w:rPr>
                <w:color w:val="000000"/>
                <w:sz w:val="19"/>
                <w:szCs w:val="19"/>
              </w:rPr>
              <w:t>Scope Baseline + Margin Baseline (against the Workshop Rate Card)</w:t>
            </w:r>
          </w:p>
        </w:tc>
        <w:tc>
          <w:tcPr>
            <w:tcW w:w="3250" w:type="dxa"/>
            <w:shd w:val="clear" w:color="auto" w:fill="F2F2F2"/>
            <w:tcMar>
              <w:top w:w="80" w:type="dxa"/>
              <w:left w:w="100" w:type="dxa"/>
              <w:bottom w:w="80" w:type="dxa"/>
              <w:right w:w="100" w:type="dxa"/>
            </w:tcMar>
            <w:vAlign w:val="center"/>
          </w:tcPr>
          <w:p w14:paraId="20A25031" w14:textId="77777777" w:rsidR="00C7727A" w:rsidRDefault="00000000">
            <w:r>
              <w:rPr>
                <w:color w:val="000000"/>
                <w:sz w:val="19"/>
                <w:szCs w:val="19"/>
              </w:rPr>
              <w:t>Contract + Financial Governance</w:t>
            </w:r>
          </w:p>
        </w:tc>
      </w:tr>
      <w:tr w:rsidR="00C7727A" w14:paraId="5A0C2B95" w14:textId="77777777">
        <w:tc>
          <w:tcPr>
            <w:tcW w:w="700" w:type="dxa"/>
            <w:tcMar>
              <w:top w:w="80" w:type="dxa"/>
              <w:left w:w="100" w:type="dxa"/>
              <w:bottom w:w="80" w:type="dxa"/>
              <w:right w:w="100" w:type="dxa"/>
            </w:tcMar>
            <w:vAlign w:val="center"/>
          </w:tcPr>
          <w:p w14:paraId="0FA7AE4A" w14:textId="77777777" w:rsidR="00C7727A" w:rsidRDefault="00000000">
            <w:r>
              <w:rPr>
                <w:color w:val="000000"/>
                <w:sz w:val="19"/>
                <w:szCs w:val="19"/>
              </w:rPr>
              <w:t>11</w:t>
            </w:r>
          </w:p>
        </w:tc>
        <w:tc>
          <w:tcPr>
            <w:tcW w:w="5400" w:type="dxa"/>
            <w:tcMar>
              <w:top w:w="80" w:type="dxa"/>
              <w:left w:w="100" w:type="dxa"/>
              <w:bottom w:w="80" w:type="dxa"/>
              <w:right w:w="100" w:type="dxa"/>
            </w:tcMar>
            <w:vAlign w:val="center"/>
          </w:tcPr>
          <w:p w14:paraId="2ED5FF59" w14:textId="77777777" w:rsidR="00C7727A" w:rsidRDefault="00000000">
            <w:r>
              <w:rPr>
                <w:color w:val="000000"/>
                <w:sz w:val="19"/>
                <w:szCs w:val="19"/>
              </w:rPr>
              <w:t>Bid Review Committee (BRC) decision record (Go / No-Go)</w:t>
            </w:r>
          </w:p>
        </w:tc>
        <w:tc>
          <w:tcPr>
            <w:tcW w:w="3250" w:type="dxa"/>
            <w:tcMar>
              <w:top w:w="80" w:type="dxa"/>
              <w:left w:w="100" w:type="dxa"/>
              <w:bottom w:w="80" w:type="dxa"/>
              <w:right w:w="100" w:type="dxa"/>
            </w:tcMar>
            <w:vAlign w:val="center"/>
          </w:tcPr>
          <w:p w14:paraId="62B1CCD6" w14:textId="77777777" w:rsidR="00C7727A" w:rsidRDefault="00000000">
            <w:r>
              <w:rPr>
                <w:color w:val="000000"/>
                <w:sz w:val="19"/>
                <w:szCs w:val="19"/>
              </w:rPr>
              <w:t>Bid Approval</w:t>
            </w:r>
          </w:p>
        </w:tc>
      </w:tr>
      <w:tr w:rsidR="00C7727A" w14:paraId="62DDD752" w14:textId="77777777">
        <w:tc>
          <w:tcPr>
            <w:tcW w:w="700" w:type="dxa"/>
            <w:shd w:val="clear" w:color="auto" w:fill="F2F2F2"/>
            <w:tcMar>
              <w:top w:w="80" w:type="dxa"/>
              <w:left w:w="100" w:type="dxa"/>
              <w:bottom w:w="80" w:type="dxa"/>
              <w:right w:w="100" w:type="dxa"/>
            </w:tcMar>
            <w:vAlign w:val="center"/>
          </w:tcPr>
          <w:p w14:paraId="1FF0E2B3" w14:textId="77777777" w:rsidR="00C7727A" w:rsidRDefault="00000000">
            <w:r>
              <w:rPr>
                <w:color w:val="000000"/>
                <w:sz w:val="19"/>
                <w:szCs w:val="19"/>
              </w:rPr>
              <w:t>12</w:t>
            </w:r>
          </w:p>
        </w:tc>
        <w:tc>
          <w:tcPr>
            <w:tcW w:w="5400" w:type="dxa"/>
            <w:shd w:val="clear" w:color="auto" w:fill="F2F2F2"/>
            <w:tcMar>
              <w:top w:w="80" w:type="dxa"/>
              <w:left w:w="100" w:type="dxa"/>
              <w:bottom w:w="80" w:type="dxa"/>
              <w:right w:w="100" w:type="dxa"/>
            </w:tcMar>
            <w:vAlign w:val="center"/>
          </w:tcPr>
          <w:p w14:paraId="7735B242" w14:textId="77777777" w:rsidR="00C7727A" w:rsidRDefault="00000000">
            <w:r>
              <w:rPr>
                <w:color w:val="000000"/>
                <w:sz w:val="19"/>
                <w:szCs w:val="19"/>
              </w:rPr>
              <w:t>The Complete Technical Proposal itself (the presented output)</w:t>
            </w:r>
          </w:p>
        </w:tc>
        <w:tc>
          <w:tcPr>
            <w:tcW w:w="3250" w:type="dxa"/>
            <w:shd w:val="clear" w:color="auto" w:fill="F2F2F2"/>
            <w:tcMar>
              <w:top w:w="80" w:type="dxa"/>
              <w:left w:w="100" w:type="dxa"/>
              <w:bottom w:w="80" w:type="dxa"/>
              <w:right w:w="100" w:type="dxa"/>
            </w:tcMar>
            <w:vAlign w:val="center"/>
          </w:tcPr>
          <w:p w14:paraId="620487E2" w14:textId="77777777" w:rsidR="00C7727A" w:rsidRDefault="00000000">
            <w:r>
              <w:rPr>
                <w:color w:val="000000"/>
                <w:sz w:val="19"/>
                <w:szCs w:val="19"/>
              </w:rPr>
              <w:t>Final deliverable</w:t>
            </w:r>
          </w:p>
        </w:tc>
      </w:tr>
    </w:tbl>
    <w:p w14:paraId="739A460B" w14:textId="77777777" w:rsidR="00C7727A" w:rsidRDefault="00000000">
      <w:pPr>
        <w:pStyle w:val="Heading2"/>
        <w:spacing w:before="240" w:after="120"/>
      </w:pPr>
      <w:bookmarkStart w:id="19" w:name="_Toc236231573"/>
      <w:r>
        <w:rPr>
          <w:b/>
          <w:bCs/>
          <w:color w:val="1F3864"/>
          <w:sz w:val="22"/>
          <w:szCs w:val="22"/>
        </w:rPr>
        <w:t>10.2 Governance Gates for This Engagement</w:t>
      </w:r>
      <w:bookmarkEnd w:id="19"/>
    </w:p>
    <w:p w14:paraId="007E0B5C" w14:textId="77777777" w:rsidR="00C7727A" w:rsidRDefault="00000000">
      <w:pPr>
        <w:spacing w:after="140"/>
      </w:pPr>
      <w:r>
        <w:rPr>
          <w:sz w:val="21"/>
          <w:szCs w:val="21"/>
        </w:rPr>
        <w:t>Your proposal preparation is expected to pass through five decision gates before submission:</w:t>
      </w:r>
    </w:p>
    <w:p w14:paraId="7E868988" w14:textId="77777777" w:rsidR="00C7727A" w:rsidRDefault="00000000">
      <w:pPr>
        <w:pStyle w:val="ListParagraph"/>
        <w:numPr>
          <w:ilvl w:val="0"/>
          <w:numId w:val="1"/>
        </w:numPr>
        <w:spacing w:after="80"/>
      </w:pPr>
      <w:r>
        <w:rPr>
          <w:sz w:val="21"/>
          <w:szCs w:val="21"/>
        </w:rPr>
        <w:t>1. Estimation Entry Gate — Requirement Maturity Level (RML) ≥ 2 per requirement before estimation starts</w:t>
      </w:r>
    </w:p>
    <w:p w14:paraId="0A5720B2" w14:textId="77777777" w:rsidR="00C7727A" w:rsidRDefault="00000000">
      <w:pPr>
        <w:pStyle w:val="ListParagraph"/>
        <w:numPr>
          <w:ilvl w:val="0"/>
          <w:numId w:val="1"/>
        </w:numPr>
        <w:spacing w:after="80"/>
      </w:pPr>
      <w:r>
        <w:rPr>
          <w:sz w:val="21"/>
          <w:szCs w:val="21"/>
        </w:rPr>
        <w:t>2. Solution Validation Gate — solution approved with the customer (BrSE role) + Technology Risk Assessment complete</w:t>
      </w:r>
    </w:p>
    <w:p w14:paraId="4B8DF619" w14:textId="77777777" w:rsidR="00C7727A" w:rsidRDefault="00000000">
      <w:pPr>
        <w:pStyle w:val="ListParagraph"/>
        <w:numPr>
          <w:ilvl w:val="0"/>
          <w:numId w:val="1"/>
        </w:numPr>
        <w:spacing w:after="80"/>
      </w:pPr>
      <w:r>
        <w:rPr>
          <w:sz w:val="21"/>
          <w:szCs w:val="21"/>
        </w:rPr>
        <w:t>3. Estimation Validation Gate — risk buffer sized against the uncertainty classification + Estimation Assumptions Log complete</w:t>
      </w:r>
    </w:p>
    <w:p w14:paraId="20270815" w14:textId="77777777" w:rsidR="00C7727A" w:rsidRDefault="00000000">
      <w:pPr>
        <w:pStyle w:val="ListParagraph"/>
        <w:numPr>
          <w:ilvl w:val="0"/>
          <w:numId w:val="1"/>
        </w:numPr>
        <w:spacing w:after="80"/>
      </w:pPr>
      <w:r>
        <w:rPr>
          <w:sz w:val="21"/>
          <w:szCs w:val="21"/>
        </w:rPr>
        <w:t>4. Bid Review Committee (BRC) — Go / No-Go decision recorded</w:t>
      </w:r>
    </w:p>
    <w:p w14:paraId="146DCFCB" w14:textId="77777777" w:rsidR="00C7727A" w:rsidRDefault="00000000">
      <w:pPr>
        <w:pStyle w:val="ListParagraph"/>
        <w:numPr>
          <w:ilvl w:val="0"/>
          <w:numId w:val="1"/>
        </w:numPr>
        <w:spacing w:after="80"/>
      </w:pPr>
      <w:r>
        <w:rPr>
          <w:sz w:val="21"/>
          <w:szCs w:val="21"/>
        </w:rPr>
        <w:t>5. Scope Baseline Confirmation — scope and margin baseline confirmed against the Workshop Rate Card (provided separately)</w:t>
      </w:r>
    </w:p>
    <w:p w14:paraId="53C96122" w14:textId="77777777" w:rsidR="00C7727A" w:rsidRDefault="00000000">
      <w:pPr>
        <w:pStyle w:val="Heading1"/>
        <w:spacing w:before="320" w:after="160"/>
      </w:pPr>
      <w:bookmarkStart w:id="20" w:name="_Toc236231574"/>
      <w:r>
        <w:rPr>
          <w:b/>
          <w:bCs/>
          <w:color w:val="1F3864"/>
          <w:sz w:val="26"/>
          <w:szCs w:val="26"/>
        </w:rPr>
        <w:lastRenderedPageBreak/>
        <w:t xml:space="preserve">11. </w:t>
      </w:r>
      <w:bookmarkStart w:id="21" w:name="OLE_LINK1"/>
      <w:r>
        <w:rPr>
          <w:b/>
          <w:bCs/>
          <w:color w:val="1F3864"/>
          <w:sz w:val="26"/>
          <w:szCs w:val="26"/>
        </w:rPr>
        <w:t>Selection Criteria and Commercial Terms</w:t>
      </w:r>
      <w:bookmarkEnd w:id="20"/>
    </w:p>
    <w:bookmarkEnd w:id="21"/>
    <w:p w14:paraId="6FA02CA4" w14:textId="77777777" w:rsidR="00C7727A" w:rsidRDefault="00000000">
      <w:pPr>
        <w:spacing w:after="140"/>
      </w:pPr>
      <w:r>
        <w:rPr>
          <w:sz w:val="21"/>
          <w:szCs w:val="21"/>
        </w:rPr>
        <w:t>Evaluation: (a) understanding of requirements and quality of written clarification, (b) soundness and transparency of estimation and schedule, (c) technical solution fit, security posture and realistic use of AI, (d) clarity of the proposal and presentation.</w:t>
      </w:r>
    </w:p>
    <w:p w14:paraId="6EDD80DE" w14:textId="77777777" w:rsidR="00C7727A" w:rsidRDefault="00000000">
      <w:pPr>
        <w:spacing w:after="140"/>
      </w:pPr>
      <w:r>
        <w:rPr>
          <w:sz w:val="21"/>
          <w:szCs w:val="21"/>
        </w:rPr>
        <w:t>No budget is disclosed. Pricing shall be presented with a clear structure and stated assumptions.</w:t>
      </w:r>
    </w:p>
    <w:p w14:paraId="42A5B710" w14:textId="77777777" w:rsidR="00C7727A" w:rsidRDefault="00000000">
      <w:pPr>
        <w:spacing w:after="140"/>
      </w:pPr>
      <w:r>
        <w:rPr>
          <w:sz w:val="21"/>
          <w:szCs w:val="21"/>
        </w:rPr>
        <w:t>Defects found after launch shall be corrected promptly by the vendor without additional cost for a reasonable period.</w:t>
      </w:r>
    </w:p>
    <w:p w14:paraId="6A6CC8BC" w14:textId="77777777" w:rsidR="00C7727A" w:rsidRDefault="00000000">
      <w:pPr>
        <w:spacing w:after="140"/>
      </w:pPr>
      <w:r>
        <w:rPr>
          <w:sz w:val="21"/>
          <w:szCs w:val="21"/>
        </w:rPr>
        <w:t>Clarify in your proposal how any post-launch AMS offering (Section 10) would relate to this warranty period.</w:t>
      </w:r>
    </w:p>
    <w:p w14:paraId="6A5DD206" w14:textId="77777777" w:rsidR="00C7727A" w:rsidRDefault="00000000">
      <w:pPr>
        <w:spacing w:after="140"/>
      </w:pPr>
      <w:r>
        <w:rPr>
          <w:sz w:val="21"/>
          <w:szCs w:val="21"/>
        </w:rPr>
        <w:t>Deliverables and source code become the property of Solara upon final payment.</w:t>
      </w:r>
    </w:p>
    <w:p w14:paraId="2C4F2871" w14:textId="77777777" w:rsidR="00C7727A" w:rsidRDefault="00000000">
      <w:pPr>
        <w:spacing w:after="140"/>
      </w:pPr>
      <w:r>
        <w:rPr>
          <w:sz w:val="21"/>
          <w:szCs w:val="21"/>
        </w:rPr>
        <w:t>Any change to agreed scope shall follow a change-control procedure to be proposed by the vendor.</w:t>
      </w:r>
    </w:p>
    <w:p w14:paraId="73CF3EFB" w14:textId="77777777" w:rsidR="00C7727A" w:rsidRDefault="00000000">
      <w:pPr>
        <w:spacing w:after="140"/>
      </w:pPr>
      <w:r>
        <w:rPr>
          <w:sz w:val="21"/>
          <w:szCs w:val="21"/>
        </w:rPr>
        <w:t>Solara may request a small number of additional administrative or configuration screens based on internal feedback during the project; vendors should state how such requests would be handled.</w:t>
      </w:r>
    </w:p>
    <w:p w14:paraId="70B00B68" w14:textId="77777777" w:rsidR="00C7727A" w:rsidRDefault="00000000">
      <w:pPr>
        <w:pStyle w:val="Heading1"/>
        <w:spacing w:before="320" w:after="160"/>
      </w:pPr>
      <w:bookmarkStart w:id="22" w:name="_Toc236231575"/>
      <w:r>
        <w:rPr>
          <w:b/>
          <w:bCs/>
          <w:color w:val="1F3864"/>
          <w:sz w:val="26"/>
          <w:szCs w:val="26"/>
        </w:rPr>
        <w:t>12. Appendix A — Business &amp; Volume Assumptions</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7727A" w14:paraId="42C14D69" w14:textId="77777777">
        <w:trPr>
          <w:tblHeader/>
        </w:trPr>
        <w:tc>
          <w:tcPr>
            <w:tcW w:w="2600" w:type="dxa"/>
            <w:shd w:val="clear" w:color="auto" w:fill="1F3864"/>
            <w:tcMar>
              <w:top w:w="80" w:type="dxa"/>
              <w:left w:w="100" w:type="dxa"/>
              <w:bottom w:w="80" w:type="dxa"/>
              <w:right w:w="100" w:type="dxa"/>
            </w:tcMar>
            <w:vAlign w:val="center"/>
          </w:tcPr>
          <w:p w14:paraId="2CB28819" w14:textId="77777777" w:rsidR="00C7727A" w:rsidRDefault="00000000">
            <w:r>
              <w:rPr>
                <w:b/>
                <w:bCs/>
                <w:color w:val="FFFFFF"/>
                <w:sz w:val="19"/>
                <w:szCs w:val="19"/>
              </w:rPr>
              <w:t>Item</w:t>
            </w:r>
          </w:p>
        </w:tc>
        <w:tc>
          <w:tcPr>
            <w:tcW w:w="6750" w:type="dxa"/>
            <w:shd w:val="clear" w:color="auto" w:fill="1F3864"/>
            <w:tcMar>
              <w:top w:w="80" w:type="dxa"/>
              <w:left w:w="100" w:type="dxa"/>
              <w:bottom w:w="80" w:type="dxa"/>
              <w:right w:w="100" w:type="dxa"/>
            </w:tcMar>
            <w:vAlign w:val="center"/>
          </w:tcPr>
          <w:p w14:paraId="581BEF89" w14:textId="77777777" w:rsidR="00C7727A" w:rsidRDefault="00000000">
            <w:r>
              <w:rPr>
                <w:b/>
                <w:bCs/>
                <w:color w:val="FFFFFF"/>
                <w:sz w:val="19"/>
                <w:szCs w:val="19"/>
              </w:rPr>
              <w:t>Assumption</w:t>
            </w:r>
          </w:p>
        </w:tc>
      </w:tr>
      <w:tr w:rsidR="00C7727A" w14:paraId="054CD5C4" w14:textId="77777777">
        <w:tc>
          <w:tcPr>
            <w:tcW w:w="2600" w:type="dxa"/>
            <w:tcMar>
              <w:top w:w="80" w:type="dxa"/>
              <w:left w:w="100" w:type="dxa"/>
              <w:bottom w:w="80" w:type="dxa"/>
              <w:right w:w="100" w:type="dxa"/>
            </w:tcMar>
            <w:vAlign w:val="center"/>
          </w:tcPr>
          <w:p w14:paraId="0CC38B8A" w14:textId="77777777" w:rsidR="00C7727A" w:rsidRDefault="00000000">
            <w:r>
              <w:rPr>
                <w:color w:val="000000"/>
                <w:sz w:val="19"/>
                <w:szCs w:val="19"/>
              </w:rPr>
              <w:t>Communities / brands</w:t>
            </w:r>
          </w:p>
        </w:tc>
        <w:tc>
          <w:tcPr>
            <w:tcW w:w="6750" w:type="dxa"/>
            <w:tcMar>
              <w:top w:w="80" w:type="dxa"/>
              <w:left w:w="100" w:type="dxa"/>
              <w:bottom w:w="80" w:type="dxa"/>
              <w:right w:w="100" w:type="dxa"/>
            </w:tcMar>
            <w:vAlign w:val="center"/>
          </w:tcPr>
          <w:p w14:paraId="44CCF12B" w14:textId="77777777" w:rsidR="00C7727A" w:rsidRDefault="00000000">
            <w:r>
              <w:rPr>
                <w:color w:val="000000"/>
                <w:sz w:val="19"/>
                <w:szCs w:val="19"/>
              </w:rPr>
              <w:t>85 communities under 5 consumer brand personas (SolaraLife, NestWell, HarborView, ParkRow, CopperOak)</w:t>
            </w:r>
          </w:p>
        </w:tc>
      </w:tr>
      <w:tr w:rsidR="00C7727A" w14:paraId="74505EAD" w14:textId="77777777">
        <w:tc>
          <w:tcPr>
            <w:tcW w:w="2600" w:type="dxa"/>
            <w:shd w:val="clear" w:color="auto" w:fill="F2F2F2"/>
            <w:tcMar>
              <w:top w:w="80" w:type="dxa"/>
              <w:left w:w="100" w:type="dxa"/>
              <w:bottom w:w="80" w:type="dxa"/>
              <w:right w:w="100" w:type="dxa"/>
            </w:tcMar>
            <w:vAlign w:val="center"/>
          </w:tcPr>
          <w:p w14:paraId="6FB17D31" w14:textId="77777777" w:rsidR="00C7727A" w:rsidRDefault="00000000">
            <w:r>
              <w:rPr>
                <w:color w:val="000000"/>
                <w:sz w:val="19"/>
                <w:szCs w:val="19"/>
              </w:rPr>
              <w:t>Existing residents</w:t>
            </w:r>
          </w:p>
        </w:tc>
        <w:tc>
          <w:tcPr>
            <w:tcW w:w="6750" w:type="dxa"/>
            <w:shd w:val="clear" w:color="auto" w:fill="F2F2F2"/>
            <w:tcMar>
              <w:top w:w="80" w:type="dxa"/>
              <w:left w:w="100" w:type="dxa"/>
              <w:bottom w:w="80" w:type="dxa"/>
              <w:right w:w="100" w:type="dxa"/>
            </w:tcMar>
            <w:vAlign w:val="center"/>
          </w:tcPr>
          <w:p w14:paraId="071CBB76" w14:textId="77777777" w:rsidR="00C7727A" w:rsidRDefault="00000000">
            <w:r>
              <w:rPr>
                <w:color w:val="000000"/>
                <w:sz w:val="19"/>
                <w:szCs w:val="19"/>
              </w:rPr>
              <w:t>Approximately 120,000; existing resident and lease records held in Solara OMS</w:t>
            </w:r>
          </w:p>
        </w:tc>
      </w:tr>
      <w:tr w:rsidR="00C7727A" w14:paraId="51E35669" w14:textId="77777777">
        <w:tc>
          <w:tcPr>
            <w:tcW w:w="2600" w:type="dxa"/>
            <w:tcMar>
              <w:top w:w="80" w:type="dxa"/>
              <w:left w:w="100" w:type="dxa"/>
              <w:bottom w:w="80" w:type="dxa"/>
              <w:right w:w="100" w:type="dxa"/>
            </w:tcMar>
            <w:vAlign w:val="center"/>
          </w:tcPr>
          <w:p w14:paraId="4A4D179F" w14:textId="77777777" w:rsidR="00C7727A" w:rsidRDefault="00000000">
            <w:r>
              <w:rPr>
                <w:color w:val="000000"/>
                <w:sz w:val="19"/>
                <w:szCs w:val="19"/>
              </w:rPr>
              <w:t>Resident onboarding</w:t>
            </w:r>
          </w:p>
        </w:tc>
        <w:tc>
          <w:tcPr>
            <w:tcW w:w="6750" w:type="dxa"/>
            <w:tcMar>
              <w:top w:w="80" w:type="dxa"/>
              <w:left w:w="100" w:type="dxa"/>
              <w:bottom w:w="80" w:type="dxa"/>
              <w:right w:w="100" w:type="dxa"/>
            </w:tcMar>
            <w:vAlign w:val="center"/>
          </w:tcPr>
          <w:p w14:paraId="0A900382" w14:textId="77777777" w:rsidR="00C7727A" w:rsidRDefault="00000000">
            <w:r>
              <w:rPr>
                <w:color w:val="000000"/>
                <w:sz w:val="19"/>
                <w:szCs w:val="19"/>
              </w:rPr>
              <w:t>All communities onboarded to the app in a single wave at public launch; existing residents invited by e-mail with a property-specific access code</w:t>
            </w:r>
          </w:p>
        </w:tc>
      </w:tr>
      <w:tr w:rsidR="00C7727A" w14:paraId="40E81555" w14:textId="77777777">
        <w:tc>
          <w:tcPr>
            <w:tcW w:w="2600" w:type="dxa"/>
            <w:shd w:val="clear" w:color="auto" w:fill="F2F2F2"/>
            <w:tcMar>
              <w:top w:w="80" w:type="dxa"/>
              <w:left w:w="100" w:type="dxa"/>
              <w:bottom w:w="80" w:type="dxa"/>
              <w:right w:w="100" w:type="dxa"/>
            </w:tcMar>
            <w:vAlign w:val="center"/>
          </w:tcPr>
          <w:p w14:paraId="1976DF3A" w14:textId="77777777" w:rsidR="00C7727A" w:rsidRDefault="00000000">
            <w:r>
              <w:rPr>
                <w:color w:val="000000"/>
                <w:sz w:val="19"/>
                <w:szCs w:val="19"/>
              </w:rPr>
              <w:t>Registered users — Year 1 target</w:t>
            </w:r>
          </w:p>
        </w:tc>
        <w:tc>
          <w:tcPr>
            <w:tcW w:w="6750" w:type="dxa"/>
            <w:shd w:val="clear" w:color="auto" w:fill="F2F2F2"/>
            <w:tcMar>
              <w:top w:w="80" w:type="dxa"/>
              <w:left w:w="100" w:type="dxa"/>
              <w:bottom w:w="80" w:type="dxa"/>
              <w:right w:w="100" w:type="dxa"/>
            </w:tcMar>
            <w:vAlign w:val="center"/>
          </w:tcPr>
          <w:p w14:paraId="005E68D3" w14:textId="77777777" w:rsidR="00C7727A" w:rsidRDefault="00000000">
            <w:r>
              <w:rPr>
                <w:color w:val="000000"/>
                <w:sz w:val="19"/>
                <w:szCs w:val="19"/>
              </w:rPr>
              <w:t>45,000 (about 20,000 monthly active)</w:t>
            </w:r>
          </w:p>
        </w:tc>
      </w:tr>
      <w:tr w:rsidR="00C7727A" w14:paraId="33666070" w14:textId="77777777">
        <w:tc>
          <w:tcPr>
            <w:tcW w:w="2600" w:type="dxa"/>
            <w:tcMar>
              <w:top w:w="80" w:type="dxa"/>
              <w:left w:w="100" w:type="dxa"/>
              <w:bottom w:w="80" w:type="dxa"/>
              <w:right w:w="100" w:type="dxa"/>
            </w:tcMar>
            <w:vAlign w:val="center"/>
          </w:tcPr>
          <w:p w14:paraId="22873DF1" w14:textId="77777777" w:rsidR="00C7727A" w:rsidRDefault="00000000">
            <w:r>
              <w:rPr>
                <w:color w:val="000000"/>
                <w:sz w:val="19"/>
                <w:szCs w:val="19"/>
              </w:rPr>
              <w:t>Peak usage</w:t>
            </w:r>
          </w:p>
        </w:tc>
        <w:tc>
          <w:tcPr>
            <w:tcW w:w="6750" w:type="dxa"/>
            <w:tcMar>
              <w:top w:w="80" w:type="dxa"/>
              <w:left w:w="100" w:type="dxa"/>
              <w:bottom w:w="80" w:type="dxa"/>
              <w:right w:w="100" w:type="dxa"/>
            </w:tcMar>
            <w:vAlign w:val="center"/>
          </w:tcPr>
          <w:p w14:paraId="3960032B" w14:textId="77777777" w:rsidR="00C7727A" w:rsidRDefault="00000000">
            <w:r>
              <w:rPr>
                <w:color w:val="000000"/>
                <w:sz w:val="19"/>
                <w:szCs w:val="19"/>
              </w:rPr>
              <w:t>Spring leasing/renewal season (February–March) and month-end rent-due dates; renewal-season traffic is expected to be materially higher than steady state</w:t>
            </w:r>
          </w:p>
        </w:tc>
      </w:tr>
      <w:tr w:rsidR="00C7727A" w14:paraId="2A4EE26F" w14:textId="77777777">
        <w:tc>
          <w:tcPr>
            <w:tcW w:w="2600" w:type="dxa"/>
            <w:shd w:val="clear" w:color="auto" w:fill="F2F2F2"/>
            <w:tcMar>
              <w:top w:w="80" w:type="dxa"/>
              <w:left w:w="100" w:type="dxa"/>
              <w:bottom w:w="80" w:type="dxa"/>
              <w:right w:w="100" w:type="dxa"/>
            </w:tcMar>
            <w:vAlign w:val="center"/>
          </w:tcPr>
          <w:p w14:paraId="798E7E07" w14:textId="77777777" w:rsidR="00C7727A" w:rsidRDefault="00000000">
            <w:r>
              <w:rPr>
                <w:color w:val="000000"/>
                <w:sz w:val="19"/>
                <w:szCs w:val="19"/>
              </w:rPr>
              <w:t>Existing resident data import</w:t>
            </w:r>
          </w:p>
        </w:tc>
        <w:tc>
          <w:tcPr>
            <w:tcW w:w="6750" w:type="dxa"/>
            <w:shd w:val="clear" w:color="auto" w:fill="F2F2F2"/>
            <w:tcMar>
              <w:top w:w="80" w:type="dxa"/>
              <w:left w:w="100" w:type="dxa"/>
              <w:bottom w:w="80" w:type="dxa"/>
              <w:right w:w="100" w:type="dxa"/>
            </w:tcMar>
            <w:vAlign w:val="center"/>
          </w:tcPr>
          <w:p w14:paraId="6A85CE79" w14:textId="77777777" w:rsidR="00C7727A" w:rsidRDefault="00000000">
            <w:r>
              <w:rPr>
                <w:color w:val="000000"/>
                <w:sz w:val="19"/>
                <w:szCs w:val="19"/>
              </w:rPr>
              <w:t>~120,000 resident/lease records exported from Solara's legacy tenant system for initial account matching; format to be agreed</w:t>
            </w:r>
          </w:p>
        </w:tc>
      </w:tr>
      <w:tr w:rsidR="00C7727A" w14:paraId="14F0419A" w14:textId="77777777">
        <w:tc>
          <w:tcPr>
            <w:tcW w:w="2600" w:type="dxa"/>
            <w:tcMar>
              <w:top w:w="80" w:type="dxa"/>
              <w:left w:w="100" w:type="dxa"/>
              <w:bottom w:w="80" w:type="dxa"/>
              <w:right w:w="100" w:type="dxa"/>
            </w:tcMar>
            <w:vAlign w:val="center"/>
          </w:tcPr>
          <w:p w14:paraId="2F517412" w14:textId="77777777" w:rsidR="00C7727A" w:rsidRDefault="00000000">
            <w:r>
              <w:rPr>
                <w:color w:val="000000"/>
                <w:sz w:val="19"/>
                <w:szCs w:val="19"/>
              </w:rPr>
              <w:t>Related systems</w:t>
            </w:r>
          </w:p>
        </w:tc>
        <w:tc>
          <w:tcPr>
            <w:tcW w:w="6750" w:type="dxa"/>
            <w:tcMar>
              <w:top w:w="80" w:type="dxa"/>
              <w:left w:w="100" w:type="dxa"/>
              <w:bottom w:w="80" w:type="dxa"/>
              <w:right w:w="100" w:type="dxa"/>
            </w:tcMar>
            <w:vAlign w:val="center"/>
          </w:tcPr>
          <w:p w14:paraId="62DEB5C5" w14:textId="77777777" w:rsidR="00C7727A" w:rsidRDefault="00000000">
            <w:r>
              <w:rPr>
                <w:color w:val="000000"/>
                <w:sz w:val="19"/>
                <w:szCs w:val="19"/>
              </w:rPr>
              <w:t>Solara OMS (occupant/lease management), payment processor (proof-of-payment workflow only — no in-app card payment in v1), amenity-booking calendar service</w:t>
            </w:r>
          </w:p>
        </w:tc>
      </w:tr>
      <w:tr w:rsidR="00C7727A" w14:paraId="22F5E776" w14:textId="77777777">
        <w:tc>
          <w:tcPr>
            <w:tcW w:w="2600" w:type="dxa"/>
            <w:shd w:val="clear" w:color="auto" w:fill="F2F2F2"/>
            <w:tcMar>
              <w:top w:w="80" w:type="dxa"/>
              <w:left w:w="100" w:type="dxa"/>
              <w:bottom w:w="80" w:type="dxa"/>
              <w:right w:w="100" w:type="dxa"/>
            </w:tcMar>
            <w:vAlign w:val="center"/>
          </w:tcPr>
          <w:p w14:paraId="60116E29" w14:textId="77777777" w:rsidR="00C7727A" w:rsidRDefault="00000000">
            <w:r>
              <w:rPr>
                <w:color w:val="000000"/>
                <w:sz w:val="19"/>
                <w:szCs w:val="19"/>
              </w:rPr>
              <w:t>Fee proration note</w:t>
            </w:r>
          </w:p>
        </w:tc>
        <w:tc>
          <w:tcPr>
            <w:tcW w:w="6750" w:type="dxa"/>
            <w:shd w:val="clear" w:color="auto" w:fill="F2F2F2"/>
            <w:tcMar>
              <w:top w:w="80" w:type="dxa"/>
              <w:left w:w="100" w:type="dxa"/>
              <w:bottom w:w="80" w:type="dxa"/>
              <w:right w:w="100" w:type="dxa"/>
            </w:tcMar>
            <w:vAlign w:val="center"/>
          </w:tcPr>
          <w:p w14:paraId="17BC0419" w14:textId="77777777" w:rsidR="00C7727A" w:rsidRDefault="00000000">
            <w:r>
              <w:rPr>
                <w:color w:val="000000"/>
                <w:sz w:val="19"/>
                <w:szCs w:val="19"/>
              </w:rPr>
              <w:t>Standard new leases prorate fees on a daily basis; some legacy month-to-month leases carried over from an older system prorate on a 30-day-month basis</w:t>
            </w:r>
          </w:p>
        </w:tc>
      </w:tr>
    </w:tbl>
    <w:p w14:paraId="4EBD4C12" w14:textId="77777777" w:rsidR="00C7727A" w:rsidRDefault="00000000">
      <w:pPr>
        <w:pStyle w:val="Heading1"/>
        <w:spacing w:before="320" w:after="160"/>
      </w:pPr>
      <w:bookmarkStart w:id="23" w:name="_Toc236231576"/>
      <w:r>
        <w:rPr>
          <w:b/>
          <w:bCs/>
          <w:color w:val="1F3864"/>
          <w:sz w:val="26"/>
          <w:szCs w:val="26"/>
        </w:rPr>
        <w:t>13. Appendix B — Functional Requirements Detail</w:t>
      </w:r>
      <w:bookmarkEnd w:id="23"/>
    </w:p>
    <w:p w14:paraId="4F1C1CD7" w14:textId="77777777" w:rsidR="00C7727A" w:rsidRDefault="00000000">
      <w:pPr>
        <w:spacing w:after="140"/>
      </w:pPr>
      <w:r>
        <w:rPr>
          <w:sz w:val="21"/>
          <w:szCs w:val="21"/>
        </w:rPr>
        <w:t>F-11, F-12, F-13, F-16, F-17 and F-18 are mandatory for launch. This detail represents Solara's current understanding; confirm and refine open points in writing during the RfP period.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5750"/>
      </w:tblGrid>
      <w:tr w:rsidR="00C7727A" w14:paraId="626EBE10" w14:textId="77777777">
        <w:trPr>
          <w:tblHeader/>
        </w:trPr>
        <w:tc>
          <w:tcPr>
            <w:tcW w:w="1500" w:type="dxa"/>
            <w:shd w:val="clear" w:color="auto" w:fill="1F3864"/>
            <w:tcMar>
              <w:top w:w="80" w:type="dxa"/>
              <w:left w:w="100" w:type="dxa"/>
              <w:bottom w:w="80" w:type="dxa"/>
              <w:right w:w="100" w:type="dxa"/>
            </w:tcMar>
            <w:vAlign w:val="center"/>
          </w:tcPr>
          <w:p w14:paraId="048B36D5" w14:textId="77777777" w:rsidR="00C7727A" w:rsidRDefault="00000000">
            <w:r>
              <w:rPr>
                <w:b/>
                <w:bCs/>
                <w:color w:val="FFFFFF"/>
                <w:sz w:val="19"/>
                <w:szCs w:val="19"/>
              </w:rPr>
              <w:t>ID</w:t>
            </w:r>
          </w:p>
        </w:tc>
        <w:tc>
          <w:tcPr>
            <w:tcW w:w="2100" w:type="dxa"/>
            <w:shd w:val="clear" w:color="auto" w:fill="1F3864"/>
            <w:tcMar>
              <w:top w:w="80" w:type="dxa"/>
              <w:left w:w="100" w:type="dxa"/>
              <w:bottom w:w="80" w:type="dxa"/>
              <w:right w:w="100" w:type="dxa"/>
            </w:tcMar>
            <w:vAlign w:val="center"/>
          </w:tcPr>
          <w:p w14:paraId="6BC32ADF" w14:textId="77777777" w:rsidR="00C7727A" w:rsidRDefault="00000000">
            <w:r>
              <w:rPr>
                <w:b/>
                <w:bCs/>
                <w:color w:val="FFFFFF"/>
                <w:sz w:val="19"/>
                <w:szCs w:val="19"/>
              </w:rPr>
              <w:t>Feature</w:t>
            </w:r>
          </w:p>
        </w:tc>
        <w:tc>
          <w:tcPr>
            <w:tcW w:w="5750" w:type="dxa"/>
            <w:shd w:val="clear" w:color="auto" w:fill="1F3864"/>
            <w:tcMar>
              <w:top w:w="80" w:type="dxa"/>
              <w:left w:w="100" w:type="dxa"/>
              <w:bottom w:w="80" w:type="dxa"/>
              <w:right w:w="100" w:type="dxa"/>
            </w:tcMar>
            <w:vAlign w:val="center"/>
          </w:tcPr>
          <w:p w14:paraId="39508E45" w14:textId="77777777" w:rsidR="00C7727A" w:rsidRDefault="00000000">
            <w:r>
              <w:rPr>
                <w:b/>
                <w:bCs/>
                <w:color w:val="FFFFFF"/>
                <w:sz w:val="19"/>
                <w:szCs w:val="19"/>
              </w:rPr>
              <w:t>Key Functions &amp; Expected Logic</w:t>
            </w:r>
          </w:p>
        </w:tc>
      </w:tr>
      <w:tr w:rsidR="00C7727A" w14:paraId="11A8C491" w14:textId="77777777">
        <w:tc>
          <w:tcPr>
            <w:tcW w:w="1500" w:type="dxa"/>
            <w:tcMar>
              <w:top w:w="80" w:type="dxa"/>
              <w:left w:w="100" w:type="dxa"/>
              <w:bottom w:w="80" w:type="dxa"/>
              <w:right w:w="100" w:type="dxa"/>
            </w:tcMar>
            <w:vAlign w:val="center"/>
          </w:tcPr>
          <w:p w14:paraId="4D7E5337" w14:textId="77777777" w:rsidR="00C7727A" w:rsidRDefault="00000000">
            <w:r>
              <w:rPr>
                <w:color w:val="000000"/>
                <w:sz w:val="19"/>
                <w:szCs w:val="19"/>
              </w:rPr>
              <w:t>F-01</w:t>
            </w:r>
          </w:p>
        </w:tc>
        <w:tc>
          <w:tcPr>
            <w:tcW w:w="2100" w:type="dxa"/>
            <w:tcMar>
              <w:top w:w="80" w:type="dxa"/>
              <w:left w:w="100" w:type="dxa"/>
              <w:bottom w:w="80" w:type="dxa"/>
              <w:right w:w="100" w:type="dxa"/>
            </w:tcMar>
            <w:vAlign w:val="center"/>
          </w:tcPr>
          <w:p w14:paraId="024B31F0" w14:textId="77777777" w:rsidR="00C7727A" w:rsidRDefault="00000000">
            <w:r>
              <w:rPr>
                <w:color w:val="000000"/>
                <w:sz w:val="19"/>
                <w:szCs w:val="19"/>
              </w:rPr>
              <w:t>Resident registration &amp; onboarding</w:t>
            </w:r>
          </w:p>
        </w:tc>
        <w:tc>
          <w:tcPr>
            <w:tcW w:w="5750" w:type="dxa"/>
            <w:tcMar>
              <w:top w:w="80" w:type="dxa"/>
              <w:left w:w="100" w:type="dxa"/>
              <w:bottom w:w="80" w:type="dxa"/>
              <w:right w:w="100" w:type="dxa"/>
            </w:tcMar>
            <w:vAlign w:val="center"/>
          </w:tcPr>
          <w:p w14:paraId="19C76635" w14:textId="77777777" w:rsidR="00C7727A" w:rsidRDefault="00000000">
            <w:r>
              <w:rPr>
                <w:color w:val="000000"/>
                <w:sz w:val="19"/>
                <w:szCs w:val="19"/>
              </w:rPr>
              <w:t>Property-specific access code (from Solara OMS) plus e-mail verification; step-up to full account with profile completion; duplicate detection against the Solara OMS resident master; T&amp;C and e-delivery consent capture with timestamped evidence.</w:t>
            </w:r>
          </w:p>
        </w:tc>
      </w:tr>
      <w:tr w:rsidR="00C7727A" w14:paraId="45E3DE70" w14:textId="77777777">
        <w:tc>
          <w:tcPr>
            <w:tcW w:w="1500" w:type="dxa"/>
            <w:shd w:val="clear" w:color="auto" w:fill="F2F2F2"/>
            <w:tcMar>
              <w:top w:w="80" w:type="dxa"/>
              <w:left w:w="100" w:type="dxa"/>
              <w:bottom w:w="80" w:type="dxa"/>
              <w:right w:w="100" w:type="dxa"/>
            </w:tcMar>
            <w:vAlign w:val="center"/>
          </w:tcPr>
          <w:p w14:paraId="1289B9D5" w14:textId="77777777" w:rsidR="00C7727A" w:rsidRDefault="00000000">
            <w:r>
              <w:rPr>
                <w:color w:val="000000"/>
                <w:sz w:val="19"/>
                <w:szCs w:val="19"/>
              </w:rPr>
              <w:t>F-02</w:t>
            </w:r>
          </w:p>
        </w:tc>
        <w:tc>
          <w:tcPr>
            <w:tcW w:w="2100" w:type="dxa"/>
            <w:shd w:val="clear" w:color="auto" w:fill="F2F2F2"/>
            <w:tcMar>
              <w:top w:w="80" w:type="dxa"/>
              <w:left w:w="100" w:type="dxa"/>
              <w:bottom w:w="80" w:type="dxa"/>
              <w:right w:w="100" w:type="dxa"/>
            </w:tcMar>
            <w:vAlign w:val="center"/>
          </w:tcPr>
          <w:p w14:paraId="48AADAF9" w14:textId="77777777" w:rsidR="00C7727A" w:rsidRDefault="00000000">
            <w:r>
              <w:rPr>
                <w:color w:val="000000"/>
                <w:sz w:val="19"/>
                <w:szCs w:val="19"/>
              </w:rPr>
              <w:t>Authentication &amp; session management</w:t>
            </w:r>
          </w:p>
        </w:tc>
        <w:tc>
          <w:tcPr>
            <w:tcW w:w="5750" w:type="dxa"/>
            <w:shd w:val="clear" w:color="auto" w:fill="F2F2F2"/>
            <w:tcMar>
              <w:top w:w="80" w:type="dxa"/>
              <w:left w:w="100" w:type="dxa"/>
              <w:bottom w:w="80" w:type="dxa"/>
              <w:right w:w="100" w:type="dxa"/>
            </w:tcMar>
            <w:vAlign w:val="center"/>
          </w:tcPr>
          <w:p w14:paraId="5D9F5DF1" w14:textId="77777777" w:rsidR="00C7727A" w:rsidRDefault="00000000">
            <w:r>
              <w:rPr>
                <w:color w:val="000000"/>
                <w:sz w:val="19"/>
                <w:szCs w:val="19"/>
              </w:rPr>
              <w:t>E-mail/password login with mandatory SMS one-time-password (2FA); password policy (length, history, lockout after 5 failures with cool-down); session timeout after 15 minutes idle; re-authentication for high-risk actions (payment-proof upload, profile change); device remember option (30 days).</w:t>
            </w:r>
          </w:p>
        </w:tc>
      </w:tr>
      <w:tr w:rsidR="00C7727A" w14:paraId="521DF74E" w14:textId="77777777">
        <w:tc>
          <w:tcPr>
            <w:tcW w:w="1500" w:type="dxa"/>
            <w:tcMar>
              <w:top w:w="80" w:type="dxa"/>
              <w:left w:w="100" w:type="dxa"/>
              <w:bottom w:w="80" w:type="dxa"/>
              <w:right w:w="100" w:type="dxa"/>
            </w:tcMar>
            <w:vAlign w:val="center"/>
          </w:tcPr>
          <w:p w14:paraId="51D93A24" w14:textId="77777777" w:rsidR="00C7727A" w:rsidRDefault="00000000">
            <w:r>
              <w:rPr>
                <w:color w:val="000000"/>
                <w:sz w:val="19"/>
                <w:szCs w:val="19"/>
              </w:rPr>
              <w:t>F-03</w:t>
            </w:r>
          </w:p>
        </w:tc>
        <w:tc>
          <w:tcPr>
            <w:tcW w:w="2100" w:type="dxa"/>
            <w:tcMar>
              <w:top w:w="80" w:type="dxa"/>
              <w:left w:w="100" w:type="dxa"/>
              <w:bottom w:w="80" w:type="dxa"/>
              <w:right w:w="100" w:type="dxa"/>
            </w:tcMar>
            <w:vAlign w:val="center"/>
          </w:tcPr>
          <w:p w14:paraId="15984D8C" w14:textId="77777777" w:rsidR="00C7727A" w:rsidRDefault="00000000">
            <w:r>
              <w:rPr>
                <w:color w:val="000000"/>
                <w:sz w:val="19"/>
                <w:szCs w:val="19"/>
              </w:rPr>
              <w:t>Persona-aware home dashboard</w:t>
            </w:r>
          </w:p>
        </w:tc>
        <w:tc>
          <w:tcPr>
            <w:tcW w:w="5750" w:type="dxa"/>
            <w:tcMar>
              <w:top w:w="80" w:type="dxa"/>
              <w:left w:w="100" w:type="dxa"/>
              <w:bottom w:w="80" w:type="dxa"/>
              <w:right w:w="100" w:type="dxa"/>
            </w:tcMar>
            <w:vAlign w:val="center"/>
          </w:tcPr>
          <w:p w14:paraId="0EE3BEDE" w14:textId="77777777" w:rsidR="00C7727A" w:rsidRDefault="00000000">
            <w:r>
              <w:rPr>
                <w:color w:val="000000"/>
                <w:sz w:val="19"/>
                <w:szCs w:val="19"/>
              </w:rPr>
              <w:t xml:space="preserve">Lease/unit summary, balance snapshot, next due date, open service-request count, unread-notification badge; brand-specific theme (logo, </w:t>
            </w:r>
            <w:r>
              <w:rPr>
                <w:color w:val="000000"/>
                <w:sz w:val="19"/>
                <w:szCs w:val="19"/>
              </w:rPr>
              <w:lastRenderedPageBreak/>
              <w:t>colors, imagery) resolved at runtime from the resident's assigned persona; data pulled from Solara OMS with a visible as-of timestamp; graceful degradation when the API is unavailable.</w:t>
            </w:r>
          </w:p>
        </w:tc>
      </w:tr>
      <w:tr w:rsidR="00C7727A" w14:paraId="34E31852" w14:textId="77777777">
        <w:tc>
          <w:tcPr>
            <w:tcW w:w="1500" w:type="dxa"/>
            <w:shd w:val="clear" w:color="auto" w:fill="F2F2F2"/>
            <w:tcMar>
              <w:top w:w="80" w:type="dxa"/>
              <w:left w:w="100" w:type="dxa"/>
              <w:bottom w:w="80" w:type="dxa"/>
              <w:right w:w="100" w:type="dxa"/>
            </w:tcMar>
            <w:vAlign w:val="center"/>
          </w:tcPr>
          <w:p w14:paraId="62A54F10" w14:textId="77777777" w:rsidR="00C7727A" w:rsidRDefault="00000000">
            <w:r>
              <w:rPr>
                <w:color w:val="000000"/>
                <w:sz w:val="19"/>
                <w:szCs w:val="19"/>
              </w:rPr>
              <w:lastRenderedPageBreak/>
              <w:t>F-04</w:t>
            </w:r>
          </w:p>
        </w:tc>
        <w:tc>
          <w:tcPr>
            <w:tcW w:w="2100" w:type="dxa"/>
            <w:shd w:val="clear" w:color="auto" w:fill="F2F2F2"/>
            <w:tcMar>
              <w:top w:w="80" w:type="dxa"/>
              <w:left w:w="100" w:type="dxa"/>
              <w:bottom w:w="80" w:type="dxa"/>
              <w:right w:w="100" w:type="dxa"/>
            </w:tcMar>
            <w:vAlign w:val="center"/>
          </w:tcPr>
          <w:p w14:paraId="7AD70FF2" w14:textId="77777777" w:rsidR="00C7727A" w:rsidRDefault="00000000">
            <w:r>
              <w:rPr>
                <w:color w:val="000000"/>
                <w:sz w:val="19"/>
                <w:szCs w:val="19"/>
              </w:rPr>
              <w:t>Service &amp; maintenance requests</w:t>
            </w:r>
          </w:p>
        </w:tc>
        <w:tc>
          <w:tcPr>
            <w:tcW w:w="5750" w:type="dxa"/>
            <w:shd w:val="clear" w:color="auto" w:fill="F2F2F2"/>
            <w:tcMar>
              <w:top w:w="80" w:type="dxa"/>
              <w:left w:w="100" w:type="dxa"/>
              <w:bottom w:w="80" w:type="dxa"/>
              <w:right w:w="100" w:type="dxa"/>
            </w:tcMar>
            <w:vAlign w:val="center"/>
          </w:tcPr>
          <w:p w14:paraId="278BAFC6" w14:textId="77777777" w:rsidR="00C7727A" w:rsidRDefault="00000000">
            <w:r>
              <w:rPr>
                <w:color w:val="000000"/>
                <w:sz w:val="19"/>
                <w:szCs w:val="19"/>
              </w:rPr>
              <w:t>Category (configurable — see F-18), description and photo attachment; the fields shown depend on that category's form definition and render dynamically, so new categories can be introduced without a mobile app release; certain categories (e.g. unit alterations) route to a staff approval queue before work is scheduled; status tracking (Submitted / Assigned / In Progress / Resolved / Closed) with push and in-app notification on each transition; resident can add follow-up comments.</w:t>
            </w:r>
          </w:p>
        </w:tc>
      </w:tr>
      <w:tr w:rsidR="00C7727A" w14:paraId="780DBE50" w14:textId="77777777">
        <w:tc>
          <w:tcPr>
            <w:tcW w:w="1500" w:type="dxa"/>
            <w:tcMar>
              <w:top w:w="80" w:type="dxa"/>
              <w:left w:w="100" w:type="dxa"/>
              <w:bottom w:w="80" w:type="dxa"/>
              <w:right w:w="100" w:type="dxa"/>
            </w:tcMar>
            <w:vAlign w:val="center"/>
          </w:tcPr>
          <w:p w14:paraId="0728D005" w14:textId="77777777" w:rsidR="00C7727A" w:rsidRDefault="00000000">
            <w:r>
              <w:rPr>
                <w:color w:val="000000"/>
                <w:sz w:val="19"/>
                <w:szCs w:val="19"/>
              </w:rPr>
              <w:t>F-05</w:t>
            </w:r>
          </w:p>
        </w:tc>
        <w:tc>
          <w:tcPr>
            <w:tcW w:w="2100" w:type="dxa"/>
            <w:tcMar>
              <w:top w:w="80" w:type="dxa"/>
              <w:left w:w="100" w:type="dxa"/>
              <w:bottom w:w="80" w:type="dxa"/>
              <w:right w:w="100" w:type="dxa"/>
            </w:tcMar>
            <w:vAlign w:val="center"/>
          </w:tcPr>
          <w:p w14:paraId="43C0F535" w14:textId="77777777" w:rsidR="00C7727A" w:rsidRDefault="00000000">
            <w:r>
              <w:rPr>
                <w:color w:val="000000"/>
                <w:sz w:val="19"/>
                <w:szCs w:val="19"/>
              </w:rPr>
              <w:t>Amenity booking</w:t>
            </w:r>
          </w:p>
        </w:tc>
        <w:tc>
          <w:tcPr>
            <w:tcW w:w="5750" w:type="dxa"/>
            <w:tcMar>
              <w:top w:w="80" w:type="dxa"/>
              <w:left w:w="100" w:type="dxa"/>
              <w:bottom w:w="80" w:type="dxa"/>
              <w:right w:w="100" w:type="dxa"/>
            </w:tcMar>
            <w:vAlign w:val="center"/>
          </w:tcPr>
          <w:p w14:paraId="5C8BBE3B" w14:textId="77777777" w:rsidR="00C7727A" w:rsidRDefault="00000000">
            <w:r>
              <w:rPr>
                <w:color w:val="000000"/>
                <w:sz w:val="19"/>
                <w:szCs w:val="19"/>
              </w:rPr>
              <w:t>Browse and reserve shared amenities (clubhouse, pool, fitness room, guest suite) by date/time slot; cancellation-policy enforcement; waitlist when a slot is full; calendar view of the resident's own bookings.</w:t>
            </w:r>
          </w:p>
        </w:tc>
      </w:tr>
      <w:tr w:rsidR="00C7727A" w14:paraId="33132D88" w14:textId="77777777">
        <w:tc>
          <w:tcPr>
            <w:tcW w:w="1500" w:type="dxa"/>
            <w:shd w:val="clear" w:color="auto" w:fill="F2F2F2"/>
            <w:tcMar>
              <w:top w:w="80" w:type="dxa"/>
              <w:left w:w="100" w:type="dxa"/>
              <w:bottom w:w="80" w:type="dxa"/>
              <w:right w:w="100" w:type="dxa"/>
            </w:tcMar>
            <w:vAlign w:val="center"/>
          </w:tcPr>
          <w:p w14:paraId="424AFDF2" w14:textId="77777777" w:rsidR="00C7727A" w:rsidRDefault="00000000">
            <w:r>
              <w:rPr>
                <w:color w:val="000000"/>
                <w:sz w:val="19"/>
                <w:szCs w:val="19"/>
              </w:rPr>
              <w:t>F-06</w:t>
            </w:r>
          </w:p>
        </w:tc>
        <w:tc>
          <w:tcPr>
            <w:tcW w:w="2100" w:type="dxa"/>
            <w:shd w:val="clear" w:color="auto" w:fill="F2F2F2"/>
            <w:tcMar>
              <w:top w:w="80" w:type="dxa"/>
              <w:left w:w="100" w:type="dxa"/>
              <w:bottom w:w="80" w:type="dxa"/>
              <w:right w:w="100" w:type="dxa"/>
            </w:tcMar>
            <w:vAlign w:val="center"/>
          </w:tcPr>
          <w:p w14:paraId="51FD028E" w14:textId="77777777" w:rsidR="00C7727A" w:rsidRDefault="00000000">
            <w:r>
              <w:rPr>
                <w:color w:val="000000"/>
                <w:sz w:val="19"/>
                <w:szCs w:val="19"/>
              </w:rPr>
              <w:t>Payments &amp; balance</w:t>
            </w:r>
          </w:p>
        </w:tc>
        <w:tc>
          <w:tcPr>
            <w:tcW w:w="5750" w:type="dxa"/>
            <w:shd w:val="clear" w:color="auto" w:fill="F2F2F2"/>
            <w:tcMar>
              <w:top w:w="80" w:type="dxa"/>
              <w:left w:w="100" w:type="dxa"/>
              <w:bottom w:w="80" w:type="dxa"/>
              <w:right w:w="100" w:type="dxa"/>
            </w:tcMar>
            <w:vAlign w:val="center"/>
          </w:tcPr>
          <w:p w14:paraId="7257F306" w14:textId="77777777" w:rsidR="00C7727A" w:rsidRDefault="00000000">
            <w:r>
              <w:rPr>
                <w:color w:val="000000"/>
                <w:sz w:val="19"/>
                <w:szCs w:val="19"/>
              </w:rPr>
              <w:t>View current balance, next due date and payment history; upload proof of payment for offline payment methods (money order, cashier's check); prorated-fee display for the current billing period calculated identically to Solara OMS; no in-app card payment in v1 (informational/self-service only, not a payment gateway).</w:t>
            </w:r>
          </w:p>
        </w:tc>
      </w:tr>
      <w:tr w:rsidR="00C7727A" w14:paraId="280CDFA7" w14:textId="77777777">
        <w:tc>
          <w:tcPr>
            <w:tcW w:w="1500" w:type="dxa"/>
            <w:tcMar>
              <w:top w:w="80" w:type="dxa"/>
              <w:left w:w="100" w:type="dxa"/>
              <w:bottom w:w="80" w:type="dxa"/>
              <w:right w:w="100" w:type="dxa"/>
            </w:tcMar>
            <w:vAlign w:val="center"/>
          </w:tcPr>
          <w:p w14:paraId="01C69A18" w14:textId="77777777" w:rsidR="00C7727A" w:rsidRDefault="00000000">
            <w:r>
              <w:rPr>
                <w:color w:val="000000"/>
                <w:sz w:val="19"/>
                <w:szCs w:val="19"/>
              </w:rPr>
              <w:t>F-07</w:t>
            </w:r>
          </w:p>
        </w:tc>
        <w:tc>
          <w:tcPr>
            <w:tcW w:w="2100" w:type="dxa"/>
            <w:tcMar>
              <w:top w:w="80" w:type="dxa"/>
              <w:left w:w="100" w:type="dxa"/>
              <w:bottom w:w="80" w:type="dxa"/>
              <w:right w:w="100" w:type="dxa"/>
            </w:tcMar>
            <w:vAlign w:val="center"/>
          </w:tcPr>
          <w:p w14:paraId="3B123C79" w14:textId="77777777" w:rsidR="00C7727A" w:rsidRDefault="00000000">
            <w:r>
              <w:rPr>
                <w:color w:val="000000"/>
                <w:sz w:val="19"/>
                <w:szCs w:val="19"/>
              </w:rPr>
              <w:t>Multi-unit / multi-property switching</w:t>
            </w:r>
          </w:p>
        </w:tc>
        <w:tc>
          <w:tcPr>
            <w:tcW w:w="5750" w:type="dxa"/>
            <w:tcMar>
              <w:top w:w="80" w:type="dxa"/>
              <w:left w:w="100" w:type="dxa"/>
              <w:bottom w:w="80" w:type="dxa"/>
              <w:right w:w="100" w:type="dxa"/>
            </w:tcMar>
            <w:vAlign w:val="center"/>
          </w:tcPr>
          <w:p w14:paraId="45A6B8D0" w14:textId="77777777" w:rsidR="00C7727A" w:rsidRDefault="00000000">
            <w:r>
              <w:rPr>
                <w:color w:val="000000"/>
                <w:sz w:val="19"/>
                <w:szCs w:val="19"/>
              </w:rPr>
              <w:t>Residents who lease more than one Solara unit can list their units and switch the “active” unit, which reloads persona, services and access rights accordingly.</w:t>
            </w:r>
          </w:p>
        </w:tc>
      </w:tr>
      <w:tr w:rsidR="00C7727A" w14:paraId="4F22BDDB" w14:textId="77777777">
        <w:tc>
          <w:tcPr>
            <w:tcW w:w="1500" w:type="dxa"/>
            <w:shd w:val="clear" w:color="auto" w:fill="F2F2F2"/>
            <w:tcMar>
              <w:top w:w="80" w:type="dxa"/>
              <w:left w:w="100" w:type="dxa"/>
              <w:bottom w:w="80" w:type="dxa"/>
              <w:right w:w="100" w:type="dxa"/>
            </w:tcMar>
            <w:vAlign w:val="center"/>
          </w:tcPr>
          <w:p w14:paraId="10ECC637" w14:textId="77777777" w:rsidR="00C7727A" w:rsidRDefault="00000000">
            <w:r>
              <w:rPr>
                <w:color w:val="000000"/>
                <w:sz w:val="19"/>
                <w:szCs w:val="19"/>
              </w:rPr>
              <w:t>F-08</w:t>
            </w:r>
          </w:p>
        </w:tc>
        <w:tc>
          <w:tcPr>
            <w:tcW w:w="2100" w:type="dxa"/>
            <w:shd w:val="clear" w:color="auto" w:fill="F2F2F2"/>
            <w:tcMar>
              <w:top w:w="80" w:type="dxa"/>
              <w:left w:w="100" w:type="dxa"/>
              <w:bottom w:w="80" w:type="dxa"/>
              <w:right w:w="100" w:type="dxa"/>
            </w:tcMar>
            <w:vAlign w:val="center"/>
          </w:tcPr>
          <w:p w14:paraId="667CD676" w14:textId="77777777" w:rsidR="00C7727A" w:rsidRDefault="00000000">
            <w:r>
              <w:rPr>
                <w:color w:val="000000"/>
                <w:sz w:val="19"/>
                <w:szCs w:val="19"/>
              </w:rPr>
              <w:t>Community announcements &amp; notification centre</w:t>
            </w:r>
          </w:p>
        </w:tc>
        <w:tc>
          <w:tcPr>
            <w:tcW w:w="5750" w:type="dxa"/>
            <w:shd w:val="clear" w:color="auto" w:fill="F2F2F2"/>
            <w:tcMar>
              <w:top w:w="80" w:type="dxa"/>
              <w:left w:w="100" w:type="dxa"/>
              <w:bottom w:w="80" w:type="dxa"/>
              <w:right w:w="100" w:type="dxa"/>
            </w:tcMar>
            <w:vAlign w:val="center"/>
          </w:tcPr>
          <w:p w14:paraId="5E3C6CB1" w14:textId="77777777" w:rsidR="00C7727A" w:rsidRDefault="00000000">
            <w:r>
              <w:rPr>
                <w:color w:val="000000"/>
                <w:sz w:val="19"/>
                <w:szCs w:val="19"/>
              </w:rPr>
              <w:t>Staff-published announcements with scheduling; per-resident notification preferences (push / e-mail / in-app); system events (payment due T-5/T-1, service-request status, booking confirmation); templates with variable substitution managed by staff in the back office.</w:t>
            </w:r>
          </w:p>
        </w:tc>
      </w:tr>
      <w:tr w:rsidR="00C7727A" w14:paraId="45A2EF24" w14:textId="77777777">
        <w:tc>
          <w:tcPr>
            <w:tcW w:w="1500" w:type="dxa"/>
            <w:tcMar>
              <w:top w:w="80" w:type="dxa"/>
              <w:left w:w="100" w:type="dxa"/>
              <w:bottom w:w="80" w:type="dxa"/>
              <w:right w:w="100" w:type="dxa"/>
            </w:tcMar>
            <w:vAlign w:val="center"/>
          </w:tcPr>
          <w:p w14:paraId="02DA688F" w14:textId="77777777" w:rsidR="00C7727A" w:rsidRDefault="00000000">
            <w:r>
              <w:rPr>
                <w:color w:val="000000"/>
                <w:sz w:val="19"/>
                <w:szCs w:val="19"/>
              </w:rPr>
              <w:t>F-09</w:t>
            </w:r>
          </w:p>
        </w:tc>
        <w:tc>
          <w:tcPr>
            <w:tcW w:w="2100" w:type="dxa"/>
            <w:tcMar>
              <w:top w:w="80" w:type="dxa"/>
              <w:left w:w="100" w:type="dxa"/>
              <w:bottom w:w="80" w:type="dxa"/>
              <w:right w:w="100" w:type="dxa"/>
            </w:tcMar>
            <w:vAlign w:val="center"/>
          </w:tcPr>
          <w:p w14:paraId="0FE9DBF1" w14:textId="77777777" w:rsidR="00C7727A" w:rsidRDefault="00000000">
            <w:r>
              <w:rPr>
                <w:color w:val="000000"/>
                <w:sz w:val="19"/>
                <w:szCs w:val="19"/>
              </w:rPr>
              <w:t>Documents &amp; e-delivery</w:t>
            </w:r>
          </w:p>
        </w:tc>
        <w:tc>
          <w:tcPr>
            <w:tcW w:w="5750" w:type="dxa"/>
            <w:tcMar>
              <w:top w:w="80" w:type="dxa"/>
              <w:left w:w="100" w:type="dxa"/>
              <w:bottom w:w="80" w:type="dxa"/>
              <w:right w:w="100" w:type="dxa"/>
            </w:tcMar>
            <w:vAlign w:val="center"/>
          </w:tcPr>
          <w:p w14:paraId="19A7638E" w14:textId="77777777" w:rsidR="00C7727A" w:rsidRDefault="00000000">
            <w:r>
              <w:rPr>
                <w:color w:val="000000"/>
                <w:sz w:val="19"/>
                <w:szCs w:val="19"/>
              </w:rPr>
              <w:t>Lease documents, notices and statements as PDF; filterable list (year, type); e-delivery consent status view and withdrawal; re-issue request routed to property staff.</w:t>
            </w:r>
          </w:p>
        </w:tc>
      </w:tr>
      <w:tr w:rsidR="00C7727A" w14:paraId="513F8E72" w14:textId="77777777">
        <w:tc>
          <w:tcPr>
            <w:tcW w:w="1500" w:type="dxa"/>
            <w:shd w:val="clear" w:color="auto" w:fill="F2F2F2"/>
            <w:tcMar>
              <w:top w:w="80" w:type="dxa"/>
              <w:left w:w="100" w:type="dxa"/>
              <w:bottom w:w="80" w:type="dxa"/>
              <w:right w:w="100" w:type="dxa"/>
            </w:tcMar>
            <w:vAlign w:val="center"/>
          </w:tcPr>
          <w:p w14:paraId="16BD0688" w14:textId="77777777" w:rsidR="00C7727A" w:rsidRDefault="00000000">
            <w:r>
              <w:rPr>
                <w:color w:val="000000"/>
                <w:sz w:val="19"/>
                <w:szCs w:val="19"/>
              </w:rPr>
              <w:t>F-10</w:t>
            </w:r>
          </w:p>
        </w:tc>
        <w:tc>
          <w:tcPr>
            <w:tcW w:w="2100" w:type="dxa"/>
            <w:shd w:val="clear" w:color="auto" w:fill="F2F2F2"/>
            <w:tcMar>
              <w:top w:w="80" w:type="dxa"/>
              <w:left w:w="100" w:type="dxa"/>
              <w:bottom w:w="80" w:type="dxa"/>
              <w:right w:w="100" w:type="dxa"/>
            </w:tcMar>
            <w:vAlign w:val="center"/>
          </w:tcPr>
          <w:p w14:paraId="6CB049B3" w14:textId="77777777" w:rsidR="00C7727A" w:rsidRDefault="00000000">
            <w:r>
              <w:rPr>
                <w:color w:val="000000"/>
                <w:sz w:val="19"/>
                <w:szCs w:val="19"/>
              </w:rPr>
              <w:t>Messaging with property staff</w:t>
            </w:r>
          </w:p>
        </w:tc>
        <w:tc>
          <w:tcPr>
            <w:tcW w:w="5750" w:type="dxa"/>
            <w:shd w:val="clear" w:color="auto" w:fill="F2F2F2"/>
            <w:tcMar>
              <w:top w:w="80" w:type="dxa"/>
              <w:left w:w="100" w:type="dxa"/>
              <w:bottom w:w="80" w:type="dxa"/>
              <w:right w:w="100" w:type="dxa"/>
            </w:tcMar>
            <w:vAlign w:val="center"/>
          </w:tcPr>
          <w:p w14:paraId="42083E01" w14:textId="77777777" w:rsidR="00C7727A" w:rsidRDefault="00000000">
            <w:r>
              <w:rPr>
                <w:color w:val="000000"/>
                <w:sz w:val="19"/>
                <w:szCs w:val="19"/>
              </w:rPr>
              <w:t>Categorized inquiry form; ticket number issued; resident can view response status/history in the app; staff-side handled in the back office (assignment, canned replies, SLA timer display).</w:t>
            </w:r>
          </w:p>
        </w:tc>
      </w:tr>
      <w:tr w:rsidR="00C7727A" w14:paraId="1DCC55BE" w14:textId="77777777">
        <w:tc>
          <w:tcPr>
            <w:tcW w:w="1500" w:type="dxa"/>
            <w:tcMar>
              <w:top w:w="80" w:type="dxa"/>
              <w:left w:w="100" w:type="dxa"/>
              <w:bottom w:w="80" w:type="dxa"/>
              <w:right w:w="100" w:type="dxa"/>
            </w:tcMar>
            <w:vAlign w:val="center"/>
          </w:tcPr>
          <w:p w14:paraId="0E487C57" w14:textId="77777777" w:rsidR="00C7727A" w:rsidRDefault="00000000">
            <w:r>
              <w:rPr>
                <w:color w:val="000000"/>
                <w:sz w:val="19"/>
                <w:szCs w:val="19"/>
              </w:rPr>
              <w:t>F-11 (mandatory)</w:t>
            </w:r>
          </w:p>
        </w:tc>
        <w:tc>
          <w:tcPr>
            <w:tcW w:w="2100" w:type="dxa"/>
            <w:tcMar>
              <w:top w:w="80" w:type="dxa"/>
              <w:left w:w="100" w:type="dxa"/>
              <w:bottom w:w="80" w:type="dxa"/>
              <w:right w:w="100" w:type="dxa"/>
            </w:tcMar>
            <w:vAlign w:val="center"/>
          </w:tcPr>
          <w:p w14:paraId="0DD6CFAE" w14:textId="77777777" w:rsidR="00C7727A" w:rsidRDefault="00000000">
            <w:r>
              <w:rPr>
                <w:color w:val="000000"/>
                <w:sz w:val="19"/>
                <w:szCs w:val="19"/>
              </w:rPr>
              <w:t>Persona &amp; brand configuration</w:t>
            </w:r>
          </w:p>
        </w:tc>
        <w:tc>
          <w:tcPr>
            <w:tcW w:w="5750" w:type="dxa"/>
            <w:tcMar>
              <w:top w:w="80" w:type="dxa"/>
              <w:left w:w="100" w:type="dxa"/>
              <w:bottom w:w="80" w:type="dxa"/>
              <w:right w:w="100" w:type="dxa"/>
            </w:tcMar>
            <w:vAlign w:val="center"/>
          </w:tcPr>
          <w:p w14:paraId="04E9F0ED" w14:textId="77777777" w:rsidR="00C7727A" w:rsidRDefault="00000000">
            <w:r>
              <w:rPr>
                <w:color w:val="000000"/>
                <w:sz w:val="19"/>
                <w:szCs w:val="19"/>
              </w:rPr>
              <w:t>Runtime theming engine that resolves logo, color palette, imagery and enabled-feature set per property/persona from configuration served by Solara OMS; must support all five current brands and be extensible to future brands without an app-store release.</w:t>
            </w:r>
          </w:p>
        </w:tc>
      </w:tr>
      <w:tr w:rsidR="00C7727A" w14:paraId="0C38C8E4" w14:textId="77777777">
        <w:tc>
          <w:tcPr>
            <w:tcW w:w="1500" w:type="dxa"/>
            <w:shd w:val="clear" w:color="auto" w:fill="F2F2F2"/>
            <w:tcMar>
              <w:top w:w="80" w:type="dxa"/>
              <w:left w:w="100" w:type="dxa"/>
              <w:bottom w:w="80" w:type="dxa"/>
              <w:right w:w="100" w:type="dxa"/>
            </w:tcMar>
            <w:vAlign w:val="center"/>
          </w:tcPr>
          <w:p w14:paraId="430222DB" w14:textId="77777777" w:rsidR="00C7727A" w:rsidRDefault="00000000">
            <w:r>
              <w:rPr>
                <w:color w:val="000000"/>
                <w:sz w:val="19"/>
                <w:szCs w:val="19"/>
              </w:rPr>
              <w:t>F-12 (mandatory)</w:t>
            </w:r>
          </w:p>
        </w:tc>
        <w:tc>
          <w:tcPr>
            <w:tcW w:w="2100" w:type="dxa"/>
            <w:shd w:val="clear" w:color="auto" w:fill="F2F2F2"/>
            <w:tcMar>
              <w:top w:w="80" w:type="dxa"/>
              <w:left w:w="100" w:type="dxa"/>
              <w:bottom w:w="80" w:type="dxa"/>
              <w:right w:w="100" w:type="dxa"/>
            </w:tcMar>
            <w:vAlign w:val="center"/>
          </w:tcPr>
          <w:p w14:paraId="43FFF450" w14:textId="77777777" w:rsidR="00C7727A" w:rsidRDefault="00000000">
            <w:r>
              <w:rPr>
                <w:color w:val="000000"/>
                <w:sz w:val="19"/>
                <w:szCs w:val="19"/>
              </w:rPr>
              <w:t>Usage analytics instrumentation</w:t>
            </w:r>
          </w:p>
        </w:tc>
        <w:tc>
          <w:tcPr>
            <w:tcW w:w="5750" w:type="dxa"/>
            <w:shd w:val="clear" w:color="auto" w:fill="F2F2F2"/>
            <w:tcMar>
              <w:top w:w="80" w:type="dxa"/>
              <w:left w:w="100" w:type="dxa"/>
              <w:bottom w:w="80" w:type="dxa"/>
              <w:right w:w="100" w:type="dxa"/>
            </w:tcMar>
            <w:vAlign w:val="center"/>
          </w:tcPr>
          <w:p w14:paraId="4D4C8936" w14:textId="77777777" w:rsidR="00C7727A" w:rsidRDefault="00000000">
            <w:r>
              <w:rPr>
                <w:color w:val="000000"/>
                <w:sz w:val="19"/>
                <w:szCs w:val="19"/>
              </w:rPr>
              <w:t>Event tracking for key funnels (onboarding completion, feature usage, notification open rate) using an agreed event schema; events are sent to Solara's own analytics/reporting pipeline — the vendor instruments the app only; building the reporting dashboard itself is out of scope (Section 5).</w:t>
            </w:r>
          </w:p>
        </w:tc>
      </w:tr>
      <w:tr w:rsidR="00C7727A" w14:paraId="4BBC2BDC" w14:textId="77777777">
        <w:tc>
          <w:tcPr>
            <w:tcW w:w="1500" w:type="dxa"/>
            <w:tcMar>
              <w:top w:w="80" w:type="dxa"/>
              <w:left w:w="100" w:type="dxa"/>
              <w:bottom w:w="80" w:type="dxa"/>
              <w:right w:w="100" w:type="dxa"/>
            </w:tcMar>
            <w:vAlign w:val="center"/>
          </w:tcPr>
          <w:p w14:paraId="797F985C" w14:textId="77777777" w:rsidR="00C7727A" w:rsidRDefault="00000000">
            <w:r>
              <w:rPr>
                <w:color w:val="000000"/>
                <w:sz w:val="19"/>
                <w:szCs w:val="19"/>
              </w:rPr>
              <w:t>F-13 (mandatory)</w:t>
            </w:r>
          </w:p>
        </w:tc>
        <w:tc>
          <w:tcPr>
            <w:tcW w:w="2100" w:type="dxa"/>
            <w:tcMar>
              <w:top w:w="80" w:type="dxa"/>
              <w:left w:w="100" w:type="dxa"/>
              <w:bottom w:w="80" w:type="dxa"/>
              <w:right w:w="100" w:type="dxa"/>
            </w:tcMar>
            <w:vAlign w:val="center"/>
          </w:tcPr>
          <w:p w14:paraId="2F04F0D7" w14:textId="77777777" w:rsidR="00C7727A" w:rsidRDefault="00000000">
            <w:r>
              <w:rPr>
                <w:color w:val="000000"/>
                <w:sz w:val="19"/>
                <w:szCs w:val="19"/>
              </w:rPr>
              <w:t>Activity &amp; audit log</w:t>
            </w:r>
          </w:p>
        </w:tc>
        <w:tc>
          <w:tcPr>
            <w:tcW w:w="5750" w:type="dxa"/>
            <w:tcMar>
              <w:top w:w="80" w:type="dxa"/>
              <w:left w:w="100" w:type="dxa"/>
              <w:bottom w:w="80" w:type="dxa"/>
              <w:right w:w="100" w:type="dxa"/>
            </w:tcMar>
            <w:vAlign w:val="center"/>
          </w:tcPr>
          <w:p w14:paraId="6B9845D7" w14:textId="77777777" w:rsidR="00C7727A" w:rsidRDefault="00000000">
            <w:r>
              <w:rPr>
                <w:color w:val="000000"/>
                <w:sz w:val="19"/>
                <w:szCs w:val="19"/>
              </w:rPr>
              <w:t>Client-side capture of sensitive resident actions (login, profile changes, payment-proof submissions, document views) with timestamp and device metadata, sent to a Solara OMS audit endpoint; local buffering if offline.</w:t>
            </w:r>
          </w:p>
        </w:tc>
      </w:tr>
      <w:tr w:rsidR="00C7727A" w14:paraId="4300512E" w14:textId="77777777">
        <w:tc>
          <w:tcPr>
            <w:tcW w:w="1500" w:type="dxa"/>
            <w:shd w:val="clear" w:color="auto" w:fill="F2F2F2"/>
            <w:tcMar>
              <w:top w:w="80" w:type="dxa"/>
              <w:left w:w="100" w:type="dxa"/>
              <w:bottom w:w="80" w:type="dxa"/>
              <w:right w:w="100" w:type="dxa"/>
            </w:tcMar>
            <w:vAlign w:val="center"/>
          </w:tcPr>
          <w:p w14:paraId="0CEB8033" w14:textId="77777777" w:rsidR="00C7727A" w:rsidRDefault="00000000">
            <w:r>
              <w:rPr>
                <w:color w:val="000000"/>
                <w:sz w:val="19"/>
                <w:szCs w:val="19"/>
              </w:rPr>
              <w:t>F-14 (nice-to-have)</w:t>
            </w:r>
          </w:p>
        </w:tc>
        <w:tc>
          <w:tcPr>
            <w:tcW w:w="2100" w:type="dxa"/>
            <w:shd w:val="clear" w:color="auto" w:fill="F2F2F2"/>
            <w:tcMar>
              <w:top w:w="80" w:type="dxa"/>
              <w:left w:w="100" w:type="dxa"/>
              <w:bottom w:w="80" w:type="dxa"/>
              <w:right w:w="100" w:type="dxa"/>
            </w:tcMar>
            <w:vAlign w:val="center"/>
          </w:tcPr>
          <w:p w14:paraId="41A1DFDF" w14:textId="77777777" w:rsidR="00C7727A" w:rsidRDefault="00000000">
            <w:r>
              <w:rPr>
                <w:color w:val="000000"/>
                <w:sz w:val="19"/>
                <w:szCs w:val="19"/>
              </w:rPr>
              <w:t>Utility self-read meter capture</w:t>
            </w:r>
          </w:p>
        </w:tc>
        <w:tc>
          <w:tcPr>
            <w:tcW w:w="5750" w:type="dxa"/>
            <w:shd w:val="clear" w:color="auto" w:fill="F2F2F2"/>
            <w:tcMar>
              <w:top w:w="80" w:type="dxa"/>
              <w:left w:w="100" w:type="dxa"/>
              <w:bottom w:w="80" w:type="dxa"/>
              <w:right w:w="100" w:type="dxa"/>
            </w:tcMar>
            <w:vAlign w:val="center"/>
          </w:tcPr>
          <w:p w14:paraId="7A164274" w14:textId="77777777" w:rsidR="00C7727A" w:rsidRDefault="00000000">
            <w:r>
              <w:rPr>
                <w:color w:val="000000"/>
                <w:sz w:val="19"/>
                <w:szCs w:val="19"/>
              </w:rPr>
              <w:t>Resident photographs their unit's water/electric meter and submits the image with a manually entered reading; automatic reading via OCR is a stretch goal for a future release.</w:t>
            </w:r>
          </w:p>
        </w:tc>
      </w:tr>
      <w:tr w:rsidR="00C7727A" w14:paraId="1429C090" w14:textId="77777777">
        <w:tc>
          <w:tcPr>
            <w:tcW w:w="1500" w:type="dxa"/>
            <w:tcMar>
              <w:top w:w="80" w:type="dxa"/>
              <w:left w:w="100" w:type="dxa"/>
              <w:bottom w:w="80" w:type="dxa"/>
              <w:right w:w="100" w:type="dxa"/>
            </w:tcMar>
            <w:vAlign w:val="center"/>
          </w:tcPr>
          <w:p w14:paraId="7E3720E8" w14:textId="77777777" w:rsidR="00C7727A" w:rsidRDefault="00000000">
            <w:r>
              <w:rPr>
                <w:color w:val="000000"/>
                <w:sz w:val="19"/>
                <w:szCs w:val="19"/>
              </w:rPr>
              <w:t>F-15 (nice-to-have)</w:t>
            </w:r>
          </w:p>
        </w:tc>
        <w:tc>
          <w:tcPr>
            <w:tcW w:w="2100" w:type="dxa"/>
            <w:tcMar>
              <w:top w:w="80" w:type="dxa"/>
              <w:left w:w="100" w:type="dxa"/>
              <w:bottom w:w="80" w:type="dxa"/>
              <w:right w:w="100" w:type="dxa"/>
            </w:tcMar>
            <w:vAlign w:val="center"/>
          </w:tcPr>
          <w:p w14:paraId="23F66443" w14:textId="77777777" w:rsidR="00C7727A" w:rsidRDefault="00000000">
            <w:r>
              <w:rPr>
                <w:color w:val="000000"/>
                <w:sz w:val="19"/>
                <w:szCs w:val="19"/>
              </w:rPr>
              <w:t>Visitor QR pass</w:t>
            </w:r>
          </w:p>
        </w:tc>
        <w:tc>
          <w:tcPr>
            <w:tcW w:w="5750" w:type="dxa"/>
            <w:tcMar>
              <w:top w:w="80" w:type="dxa"/>
              <w:left w:w="100" w:type="dxa"/>
              <w:bottom w:w="80" w:type="dxa"/>
              <w:right w:w="100" w:type="dxa"/>
            </w:tcMar>
            <w:vAlign w:val="center"/>
          </w:tcPr>
          <w:p w14:paraId="3E711B1B" w14:textId="77777777" w:rsidR="00C7727A" w:rsidRDefault="00000000">
            <w:r>
              <w:rPr>
                <w:color w:val="000000"/>
                <w:sz w:val="19"/>
                <w:szCs w:val="19"/>
              </w:rPr>
              <w:t>Resident generates a QR code for an expected visitor or guest-parking pass, valid for a specified date/time window, for property staff to scan at the gate using a separate staff-side tool (not part of this app).</w:t>
            </w:r>
          </w:p>
        </w:tc>
      </w:tr>
      <w:tr w:rsidR="00C7727A" w14:paraId="73B557F7" w14:textId="77777777">
        <w:tc>
          <w:tcPr>
            <w:tcW w:w="1500" w:type="dxa"/>
            <w:shd w:val="clear" w:color="auto" w:fill="F2F2F2"/>
            <w:tcMar>
              <w:top w:w="80" w:type="dxa"/>
              <w:left w:w="100" w:type="dxa"/>
              <w:bottom w:w="80" w:type="dxa"/>
              <w:right w:w="100" w:type="dxa"/>
            </w:tcMar>
            <w:vAlign w:val="center"/>
          </w:tcPr>
          <w:p w14:paraId="20CD216A" w14:textId="77777777" w:rsidR="00C7727A" w:rsidRDefault="00000000">
            <w:r>
              <w:rPr>
                <w:color w:val="000000"/>
                <w:sz w:val="19"/>
                <w:szCs w:val="19"/>
              </w:rPr>
              <w:t>F-16 (mandatory)</w:t>
            </w:r>
          </w:p>
        </w:tc>
        <w:tc>
          <w:tcPr>
            <w:tcW w:w="2100" w:type="dxa"/>
            <w:shd w:val="clear" w:color="auto" w:fill="F2F2F2"/>
            <w:tcMar>
              <w:top w:w="80" w:type="dxa"/>
              <w:left w:w="100" w:type="dxa"/>
              <w:bottom w:w="80" w:type="dxa"/>
              <w:right w:w="100" w:type="dxa"/>
            </w:tcMar>
            <w:vAlign w:val="center"/>
          </w:tcPr>
          <w:p w14:paraId="7887B5D2" w14:textId="77777777" w:rsidR="00C7727A" w:rsidRDefault="00000000">
            <w:r>
              <w:rPr>
                <w:color w:val="000000"/>
                <w:sz w:val="19"/>
                <w:szCs w:val="19"/>
              </w:rPr>
              <w:t>Resident request management (staff-side)</w:t>
            </w:r>
          </w:p>
        </w:tc>
        <w:tc>
          <w:tcPr>
            <w:tcW w:w="5750" w:type="dxa"/>
            <w:shd w:val="clear" w:color="auto" w:fill="F2F2F2"/>
            <w:tcMar>
              <w:top w:w="80" w:type="dxa"/>
              <w:left w:w="100" w:type="dxa"/>
              <w:bottom w:w="80" w:type="dxa"/>
              <w:right w:w="100" w:type="dxa"/>
            </w:tcMar>
            <w:vAlign w:val="center"/>
          </w:tcPr>
          <w:p w14:paraId="09574316" w14:textId="77777777" w:rsidR="00C7727A" w:rsidRDefault="00000000">
            <w:r>
              <w:rPr>
                <w:color w:val="000000"/>
                <w:sz w:val="19"/>
                <w:szCs w:val="19"/>
              </w:rPr>
              <w:t xml:space="preserve">Staff queue for service and maintenance requests (assign, update status, approval step for restricted categories), amenity-booking management (conflict resolution, waitlist promotion), proof-of-payment verification, </w:t>
            </w:r>
            <w:r>
              <w:rPr>
                <w:color w:val="000000"/>
                <w:sz w:val="19"/>
                <w:szCs w:val="19"/>
              </w:rPr>
              <w:lastRenderedPageBreak/>
              <w:t>and document re-issue review; role-based access (Property Manager, Leasing Staff, Maintenance Coordinator, Read-only Auditor).</w:t>
            </w:r>
          </w:p>
        </w:tc>
      </w:tr>
      <w:tr w:rsidR="00C7727A" w14:paraId="5CBB020C" w14:textId="77777777">
        <w:tc>
          <w:tcPr>
            <w:tcW w:w="1500" w:type="dxa"/>
            <w:tcMar>
              <w:top w:w="80" w:type="dxa"/>
              <w:left w:w="100" w:type="dxa"/>
              <w:bottom w:w="80" w:type="dxa"/>
              <w:right w:w="100" w:type="dxa"/>
            </w:tcMar>
            <w:vAlign w:val="center"/>
          </w:tcPr>
          <w:p w14:paraId="0EFC88AF" w14:textId="77777777" w:rsidR="00C7727A" w:rsidRDefault="00000000">
            <w:r>
              <w:rPr>
                <w:color w:val="000000"/>
                <w:sz w:val="19"/>
                <w:szCs w:val="19"/>
              </w:rPr>
              <w:lastRenderedPageBreak/>
              <w:t>F-17 (mandatory)</w:t>
            </w:r>
          </w:p>
        </w:tc>
        <w:tc>
          <w:tcPr>
            <w:tcW w:w="2100" w:type="dxa"/>
            <w:tcMar>
              <w:top w:w="80" w:type="dxa"/>
              <w:left w:w="100" w:type="dxa"/>
              <w:bottom w:w="80" w:type="dxa"/>
              <w:right w:w="100" w:type="dxa"/>
            </w:tcMar>
            <w:vAlign w:val="center"/>
          </w:tcPr>
          <w:p w14:paraId="09144EE9" w14:textId="77777777" w:rsidR="00C7727A" w:rsidRDefault="00000000">
            <w:r>
              <w:rPr>
                <w:color w:val="000000"/>
                <w:sz w:val="19"/>
                <w:szCs w:val="19"/>
              </w:rPr>
              <w:t>Communication &amp; configuration management (staff-side)</w:t>
            </w:r>
          </w:p>
        </w:tc>
        <w:tc>
          <w:tcPr>
            <w:tcW w:w="5750" w:type="dxa"/>
            <w:tcMar>
              <w:top w:w="80" w:type="dxa"/>
              <w:left w:w="100" w:type="dxa"/>
              <w:bottom w:w="80" w:type="dxa"/>
              <w:right w:w="100" w:type="dxa"/>
            </w:tcMar>
            <w:vAlign w:val="center"/>
          </w:tcPr>
          <w:p w14:paraId="6B23EFFF" w14:textId="77777777" w:rsidR="00C7727A" w:rsidRDefault="00000000">
            <w:r>
              <w:rPr>
                <w:color w:val="000000"/>
                <w:sz w:val="19"/>
                <w:szCs w:val="19"/>
              </w:rPr>
              <w:t>Staff-side capability for composing/scheduling community announcements and managing notification templates (feeds F-08), and for managing persona/brand configuration values and enabled-feature toggles per property (feeds F-11 at runtime).</w:t>
            </w:r>
          </w:p>
        </w:tc>
      </w:tr>
      <w:tr w:rsidR="00C7727A" w14:paraId="3651AA21" w14:textId="77777777">
        <w:tc>
          <w:tcPr>
            <w:tcW w:w="1500" w:type="dxa"/>
            <w:shd w:val="clear" w:color="auto" w:fill="F2F2F2"/>
            <w:tcMar>
              <w:top w:w="80" w:type="dxa"/>
              <w:left w:w="100" w:type="dxa"/>
              <w:bottom w:w="80" w:type="dxa"/>
              <w:right w:w="100" w:type="dxa"/>
            </w:tcMar>
            <w:vAlign w:val="center"/>
          </w:tcPr>
          <w:p w14:paraId="0D4A5C4E" w14:textId="77777777" w:rsidR="00C7727A" w:rsidRDefault="00000000">
            <w:r>
              <w:rPr>
                <w:color w:val="000000"/>
                <w:sz w:val="19"/>
                <w:szCs w:val="19"/>
              </w:rPr>
              <w:t>F-18 (mandatory)</w:t>
            </w:r>
          </w:p>
        </w:tc>
        <w:tc>
          <w:tcPr>
            <w:tcW w:w="2100" w:type="dxa"/>
            <w:shd w:val="clear" w:color="auto" w:fill="F2F2F2"/>
            <w:tcMar>
              <w:top w:w="80" w:type="dxa"/>
              <w:left w:w="100" w:type="dxa"/>
              <w:bottom w:w="80" w:type="dxa"/>
              <w:right w:w="100" w:type="dxa"/>
            </w:tcMar>
            <w:vAlign w:val="center"/>
          </w:tcPr>
          <w:p w14:paraId="78C3DCEC" w14:textId="77777777" w:rsidR="00C7727A" w:rsidRDefault="00000000">
            <w:r>
              <w:rPr>
                <w:color w:val="000000"/>
                <w:sz w:val="19"/>
                <w:szCs w:val="19"/>
              </w:rPr>
              <w:t>Service/maintenance type &amp; dynamic form management</w:t>
            </w:r>
          </w:p>
        </w:tc>
        <w:tc>
          <w:tcPr>
            <w:tcW w:w="5750" w:type="dxa"/>
            <w:shd w:val="clear" w:color="auto" w:fill="F2F2F2"/>
            <w:tcMar>
              <w:top w:w="80" w:type="dxa"/>
              <w:left w:w="100" w:type="dxa"/>
              <w:bottom w:w="80" w:type="dxa"/>
              <w:right w:w="100" w:type="dxa"/>
            </w:tcMar>
            <w:vAlign w:val="center"/>
          </w:tcPr>
          <w:p w14:paraId="0CFF399B" w14:textId="77777777" w:rsidR="00C7727A" w:rsidRDefault="00000000">
            <w:r>
              <w:rPr>
                <w:color w:val="000000"/>
                <w:sz w:val="19"/>
                <w:szCs w:val="19"/>
              </w:rPr>
              <w:t>Property Managers can create and edit service/maintenance categories at any time, so the catalogue can grow with the business without a mobile app release. Each category's form is built from a defined set of reusable controls; form definitions are versioned and served to the resident app, which renders the correct form dynamically for whichever category the resident selects (feeds F-04). Adding a category or changing a form's fields must not require a new mobile app build or app-store/Play Store submission — this is a prerequisite for the feature, not an optional nicety.</w:t>
            </w:r>
          </w:p>
        </w:tc>
      </w:tr>
    </w:tbl>
    <w:p w14:paraId="75F87E04" w14:textId="77777777" w:rsidR="00C7727A" w:rsidRDefault="00000000">
      <w:pPr>
        <w:spacing w:before="300"/>
        <w:jc w:val="center"/>
      </w:pPr>
      <w:r>
        <w:rPr>
          <w:i/>
          <w:iCs/>
        </w:rPr>
        <w:t>— End of Request for Proposal —</w:t>
      </w:r>
    </w:p>
    <w:sectPr w:rsidR="00C7727A">
      <w:headerReference w:type="even" r:id="rId8"/>
      <w:headerReference w:type="default" r:id="rId9"/>
      <w:footerReference w:type="even" r:id="rId10"/>
      <w:footerReference w:type="default" r:id="rId11"/>
      <w:headerReference w:type="first" r:id="rId12"/>
      <w:footerReference w:type="first" r:id="rId13"/>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C20909" w14:textId="77777777" w:rsidR="009835D0" w:rsidRDefault="009835D0" w:rsidP="00E1342F">
      <w:r>
        <w:separator/>
      </w:r>
    </w:p>
  </w:endnote>
  <w:endnote w:type="continuationSeparator" w:id="0">
    <w:p w14:paraId="3A683743" w14:textId="77777777" w:rsidR="009835D0" w:rsidRDefault="009835D0" w:rsidP="00E13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ar(--font-displa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3876C" w14:textId="77777777" w:rsidR="00E1342F" w:rsidRDefault="00E13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8204"/>
      <w:gridCol w:w="1502"/>
    </w:tblGrid>
    <w:tr w:rsidR="00E1342F" w14:paraId="0B378FF6" w14:textId="77777777">
      <w:trPr>
        <w:tblCellSpacing w:w="0" w:type="dxa"/>
      </w:trPr>
      <w:tc>
        <w:tcPr>
          <w:tcW w:w="0" w:type="auto"/>
          <w:vAlign w:val="center"/>
          <w:hideMark/>
        </w:tcPr>
        <w:p w14:paraId="07296C14" w14:textId="77777777" w:rsidR="00E1342F" w:rsidRDefault="00E1342F">
          <w:pPr>
            <w:spacing w:before="100" w:beforeAutospacing="1" w:after="100" w:afterAutospacing="1"/>
            <w:rPr>
              <w:rFonts w:cs="Times New Roman"/>
              <w:sz w:val="24"/>
              <w:szCs w:val="24"/>
            </w:rPr>
          </w:pPr>
          <w:r>
            <w:rPr>
              <w:i/>
              <w:iCs/>
            </w:rPr>
            <w:t>Confidential — Solara Living Group</w:t>
          </w:r>
        </w:p>
      </w:tc>
      <w:tc>
        <w:tcPr>
          <w:tcW w:w="0" w:type="auto"/>
          <w:vAlign w:val="center"/>
          <w:hideMark/>
        </w:tcPr>
        <w:p w14:paraId="5B23E5E6" w14:textId="77777777" w:rsidR="00E1342F" w:rsidRDefault="00E1342F">
          <w:pPr>
            <w:spacing w:before="100" w:beforeAutospacing="1" w:after="100" w:afterAutospacing="1"/>
            <w:jc w:val="right"/>
          </w:pPr>
          <w:r>
            <w:t xml:space="preserve">Page </w:t>
          </w:r>
          <w:r>
            <w:fldChar w:fldCharType="begin"/>
          </w:r>
          <w:r>
            <w:instrText>PAGE</w:instrText>
          </w:r>
          <w:r>
            <w:fldChar w:fldCharType="separate"/>
          </w:r>
          <w:r>
            <w:t xml:space="preserve"> of </w:t>
          </w:r>
          <w:r>
            <w:fldChar w:fldCharType="end"/>
          </w:r>
        </w:p>
      </w:tc>
    </w:tr>
  </w:tbl>
  <w:p w14:paraId="38A767DA" w14:textId="77777777" w:rsidR="00E1342F" w:rsidRDefault="00E134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F15BC" w14:textId="77777777" w:rsidR="00E1342F" w:rsidRDefault="00E13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6A33AE" w14:textId="77777777" w:rsidR="009835D0" w:rsidRDefault="009835D0" w:rsidP="00E1342F">
      <w:r>
        <w:separator/>
      </w:r>
    </w:p>
  </w:footnote>
  <w:footnote w:type="continuationSeparator" w:id="0">
    <w:p w14:paraId="47B4FC0D" w14:textId="77777777" w:rsidR="009835D0" w:rsidRDefault="009835D0" w:rsidP="00E13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CF6D7F" w14:textId="77777777" w:rsidR="00E1342F" w:rsidRDefault="00E134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6965"/>
      <w:gridCol w:w="2741"/>
    </w:tblGrid>
    <w:tr w:rsidR="00E1342F" w14:paraId="18638055" w14:textId="77777777">
      <w:trPr>
        <w:tblCellSpacing w:w="0" w:type="dxa"/>
      </w:trPr>
      <w:tc>
        <w:tcPr>
          <w:tcW w:w="0" w:type="auto"/>
          <w:vAlign w:val="center"/>
          <w:hideMark/>
        </w:tcPr>
        <w:p w14:paraId="6E721A81" w14:textId="77777777" w:rsidR="00E1342F" w:rsidRDefault="00E1342F">
          <w:pPr>
            <w:spacing w:before="100" w:beforeAutospacing="1" w:after="100" w:afterAutospacing="1"/>
            <w:rPr>
              <w:rFonts w:cs="Times New Roman"/>
              <w:sz w:val="24"/>
              <w:szCs w:val="24"/>
            </w:rPr>
          </w:pPr>
          <w:r>
            <w:rPr>
              <w:b/>
              <w:bCs/>
            </w:rPr>
            <w:t>Request for Proposal — SolaraLife Resident Mobile App</w:t>
          </w:r>
        </w:p>
      </w:tc>
      <w:tc>
        <w:tcPr>
          <w:tcW w:w="0" w:type="auto"/>
          <w:vAlign w:val="center"/>
          <w:hideMark/>
        </w:tcPr>
        <w:p w14:paraId="2A6FA6EC" w14:textId="77777777" w:rsidR="00E1342F" w:rsidRDefault="00E1342F">
          <w:pPr>
            <w:spacing w:before="100" w:beforeAutospacing="1" w:after="100" w:afterAutospacing="1"/>
            <w:jc w:val="right"/>
          </w:pPr>
          <w:r>
            <w:t>RfP 02 | SLG-2026-011</w:t>
          </w:r>
        </w:p>
      </w:tc>
    </w:tr>
  </w:tbl>
  <w:p w14:paraId="1C94DEC7" w14:textId="77777777" w:rsidR="00E1342F" w:rsidRDefault="00E134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0C284" w14:textId="77777777" w:rsidR="00E1342F" w:rsidRDefault="00E13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05B78"/>
    <w:multiLevelType w:val="hybridMultilevel"/>
    <w:tmpl w:val="AFFE118A"/>
    <w:lvl w:ilvl="0" w:tplc="42B21BA8">
      <w:start w:val="1"/>
      <w:numFmt w:val="bullet"/>
      <w:lvlText w:val="●"/>
      <w:lvlJc w:val="left"/>
      <w:pPr>
        <w:ind w:left="720" w:hanging="360"/>
      </w:pPr>
    </w:lvl>
    <w:lvl w:ilvl="1" w:tplc="826E28FE">
      <w:start w:val="1"/>
      <w:numFmt w:val="bullet"/>
      <w:lvlText w:val="○"/>
      <w:lvlJc w:val="left"/>
      <w:pPr>
        <w:ind w:left="1440" w:hanging="360"/>
      </w:pPr>
    </w:lvl>
    <w:lvl w:ilvl="2" w:tplc="E840618C">
      <w:start w:val="1"/>
      <w:numFmt w:val="bullet"/>
      <w:lvlText w:val="■"/>
      <w:lvlJc w:val="left"/>
      <w:pPr>
        <w:ind w:left="2160" w:hanging="360"/>
      </w:pPr>
    </w:lvl>
    <w:lvl w:ilvl="3" w:tplc="BCC42ACC">
      <w:start w:val="1"/>
      <w:numFmt w:val="bullet"/>
      <w:lvlText w:val="●"/>
      <w:lvlJc w:val="left"/>
      <w:pPr>
        <w:ind w:left="2880" w:hanging="360"/>
      </w:pPr>
    </w:lvl>
    <w:lvl w:ilvl="4" w:tplc="5E32334C">
      <w:start w:val="1"/>
      <w:numFmt w:val="bullet"/>
      <w:lvlText w:val="○"/>
      <w:lvlJc w:val="left"/>
      <w:pPr>
        <w:ind w:left="3600" w:hanging="360"/>
      </w:pPr>
    </w:lvl>
    <w:lvl w:ilvl="5" w:tplc="79BA477C">
      <w:start w:val="1"/>
      <w:numFmt w:val="bullet"/>
      <w:lvlText w:val="■"/>
      <w:lvlJc w:val="left"/>
      <w:pPr>
        <w:ind w:left="4320" w:hanging="360"/>
      </w:pPr>
    </w:lvl>
    <w:lvl w:ilvl="6" w:tplc="E32EE6C2">
      <w:start w:val="1"/>
      <w:numFmt w:val="bullet"/>
      <w:lvlText w:val="●"/>
      <w:lvlJc w:val="left"/>
      <w:pPr>
        <w:ind w:left="5040" w:hanging="360"/>
      </w:pPr>
    </w:lvl>
    <w:lvl w:ilvl="7" w:tplc="676C0886">
      <w:start w:val="1"/>
      <w:numFmt w:val="bullet"/>
      <w:lvlText w:val="●"/>
      <w:lvlJc w:val="left"/>
      <w:pPr>
        <w:ind w:left="5760" w:hanging="360"/>
      </w:pPr>
    </w:lvl>
    <w:lvl w:ilvl="8" w:tplc="6456B198">
      <w:start w:val="1"/>
      <w:numFmt w:val="bullet"/>
      <w:lvlText w:val="●"/>
      <w:lvlJc w:val="left"/>
      <w:pPr>
        <w:ind w:left="6480" w:hanging="360"/>
      </w:pPr>
    </w:lvl>
  </w:abstractNum>
  <w:num w:numId="1" w16cid:durableId="1517263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7A"/>
    <w:rsid w:val="00404EBE"/>
    <w:rsid w:val="00484CAA"/>
    <w:rsid w:val="00900E7A"/>
    <w:rsid w:val="009835D0"/>
    <w:rsid w:val="00AE2020"/>
    <w:rsid w:val="00C7727A"/>
    <w:rsid w:val="00DA186A"/>
    <w:rsid w:val="00E1342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6D854BCE"/>
  <w15:docId w15:val="{A9D1617E-324D-3C42-90DE-EC6FBDA4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1342F"/>
    <w:pPr>
      <w:keepNext/>
      <w:keepLines/>
      <w:spacing w:before="40"/>
      <w:outlineLvl w:val="6"/>
    </w:pPr>
    <w:rPr>
      <w:rFonts w:asciiTheme="majorHAnsi" w:eastAsiaTheme="majorEastAsia" w:hAnsiTheme="majorHAnsi" w:cstheme="majorBidi"/>
      <w:i/>
      <w:iCs/>
      <w:color w:val="0A2F40" w:themeColor="accent1" w:themeShade="7F"/>
      <w:szCs w:val="25"/>
    </w:rPr>
  </w:style>
  <w:style w:type="paragraph" w:styleId="Heading8">
    <w:name w:val="heading 8"/>
    <w:basedOn w:val="Normal"/>
    <w:next w:val="Normal"/>
    <w:link w:val="Heading8Char"/>
    <w:uiPriority w:val="9"/>
    <w:semiHidden/>
    <w:unhideWhenUsed/>
    <w:qFormat/>
    <w:rsid w:val="00E1342F"/>
    <w:pPr>
      <w:keepNext/>
      <w:keepLines/>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E1342F"/>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E1342F"/>
    <w:rPr>
      <w:b/>
      <w:bCs/>
      <w:i/>
      <w:iCs/>
      <w:spacing w:val="5"/>
    </w:rPr>
  </w:style>
  <w:style w:type="paragraph" w:styleId="Caption">
    <w:name w:val="caption"/>
    <w:basedOn w:val="Normal"/>
    <w:next w:val="Normal"/>
    <w:uiPriority w:val="35"/>
    <w:semiHidden/>
    <w:unhideWhenUsed/>
    <w:qFormat/>
    <w:rsid w:val="00E1342F"/>
    <w:pPr>
      <w:spacing w:after="200"/>
    </w:pPr>
    <w:rPr>
      <w:i/>
      <w:iCs/>
      <w:color w:val="0E2841" w:themeColor="text2"/>
      <w:sz w:val="18"/>
      <w:szCs w:val="22"/>
    </w:rPr>
  </w:style>
  <w:style w:type="character" w:styleId="Emphasis">
    <w:name w:val="Emphasis"/>
    <w:basedOn w:val="DefaultParagraphFont"/>
    <w:uiPriority w:val="20"/>
    <w:qFormat/>
    <w:rsid w:val="00E1342F"/>
    <w:rPr>
      <w:i/>
      <w:iCs/>
    </w:rPr>
  </w:style>
  <w:style w:type="character" w:customStyle="1" w:styleId="Heading7Char">
    <w:name w:val="Heading 7 Char"/>
    <w:basedOn w:val="DefaultParagraphFont"/>
    <w:link w:val="Heading7"/>
    <w:uiPriority w:val="9"/>
    <w:semiHidden/>
    <w:rsid w:val="00E1342F"/>
    <w:rPr>
      <w:rFonts w:asciiTheme="majorHAnsi" w:eastAsiaTheme="majorEastAsia" w:hAnsiTheme="majorHAnsi" w:cstheme="majorBidi"/>
      <w:i/>
      <w:iCs/>
      <w:color w:val="0A2F40" w:themeColor="accent1" w:themeShade="7F"/>
      <w:szCs w:val="25"/>
    </w:rPr>
  </w:style>
  <w:style w:type="character" w:customStyle="1" w:styleId="Heading8Char">
    <w:name w:val="Heading 8 Char"/>
    <w:basedOn w:val="DefaultParagraphFont"/>
    <w:link w:val="Heading8"/>
    <w:uiPriority w:val="9"/>
    <w:semiHidden/>
    <w:rsid w:val="00E1342F"/>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E1342F"/>
    <w:rPr>
      <w:rFonts w:asciiTheme="majorHAnsi" w:eastAsiaTheme="majorEastAsia" w:hAnsiTheme="majorHAnsi" w:cstheme="majorBidi"/>
      <w:i/>
      <w:iCs/>
      <w:color w:val="272727" w:themeColor="text1" w:themeTint="D8"/>
      <w:sz w:val="21"/>
      <w:szCs w:val="26"/>
    </w:rPr>
  </w:style>
  <w:style w:type="character" w:styleId="IntenseEmphasis">
    <w:name w:val="Intense Emphasis"/>
    <w:basedOn w:val="DefaultParagraphFont"/>
    <w:uiPriority w:val="21"/>
    <w:qFormat/>
    <w:rsid w:val="00E1342F"/>
    <w:rPr>
      <w:i/>
      <w:iCs/>
      <w:color w:val="156082" w:themeColor="accent1"/>
    </w:rPr>
  </w:style>
  <w:style w:type="paragraph" w:styleId="IntenseQuote">
    <w:name w:val="Intense Quote"/>
    <w:basedOn w:val="Normal"/>
    <w:next w:val="Normal"/>
    <w:link w:val="IntenseQuoteChar"/>
    <w:uiPriority w:val="30"/>
    <w:qFormat/>
    <w:rsid w:val="00E1342F"/>
    <w:pPr>
      <w:pBdr>
        <w:top w:val="single" w:sz="4" w:space="10" w:color="156082" w:themeColor="accent1"/>
        <w:bottom w:val="single" w:sz="4" w:space="10" w:color="156082" w:themeColor="accent1"/>
      </w:pBdr>
      <w:spacing w:before="360" w:after="360"/>
      <w:ind w:left="864" w:right="864"/>
      <w:jc w:val="center"/>
    </w:pPr>
    <w:rPr>
      <w:i/>
      <w:iCs/>
      <w:color w:val="156082" w:themeColor="accent1"/>
      <w:szCs w:val="25"/>
    </w:rPr>
  </w:style>
  <w:style w:type="character" w:customStyle="1" w:styleId="IntenseQuoteChar">
    <w:name w:val="Intense Quote Char"/>
    <w:basedOn w:val="DefaultParagraphFont"/>
    <w:link w:val="IntenseQuote"/>
    <w:uiPriority w:val="30"/>
    <w:rsid w:val="00E1342F"/>
    <w:rPr>
      <w:rFonts w:cs="Vrinda"/>
      <w:i/>
      <w:iCs/>
      <w:color w:val="156082" w:themeColor="accent1"/>
      <w:szCs w:val="25"/>
    </w:rPr>
  </w:style>
  <w:style w:type="character" w:styleId="IntenseReference">
    <w:name w:val="Intense Reference"/>
    <w:basedOn w:val="DefaultParagraphFont"/>
    <w:uiPriority w:val="32"/>
    <w:qFormat/>
    <w:rsid w:val="00E1342F"/>
    <w:rPr>
      <w:b/>
      <w:bCs/>
      <w:smallCaps/>
      <w:color w:val="156082" w:themeColor="accent1"/>
      <w:spacing w:val="5"/>
    </w:rPr>
  </w:style>
  <w:style w:type="paragraph" w:styleId="NoSpacing">
    <w:name w:val="No Spacing"/>
    <w:uiPriority w:val="1"/>
    <w:qFormat/>
    <w:rsid w:val="00E1342F"/>
    <w:rPr>
      <w:rFonts w:cs="Vrinda"/>
      <w:szCs w:val="25"/>
    </w:rPr>
  </w:style>
  <w:style w:type="paragraph" w:styleId="Quote">
    <w:name w:val="Quote"/>
    <w:basedOn w:val="Normal"/>
    <w:next w:val="Normal"/>
    <w:link w:val="QuoteChar"/>
    <w:uiPriority w:val="29"/>
    <w:qFormat/>
    <w:rsid w:val="00E1342F"/>
    <w:pPr>
      <w:spacing w:before="200" w:after="160"/>
      <w:ind w:left="864" w:right="864"/>
      <w:jc w:val="center"/>
    </w:pPr>
    <w:rPr>
      <w:i/>
      <w:iCs/>
      <w:color w:val="404040" w:themeColor="text1" w:themeTint="BF"/>
      <w:szCs w:val="25"/>
    </w:rPr>
  </w:style>
  <w:style w:type="character" w:customStyle="1" w:styleId="QuoteChar">
    <w:name w:val="Quote Char"/>
    <w:basedOn w:val="DefaultParagraphFont"/>
    <w:link w:val="Quote"/>
    <w:uiPriority w:val="29"/>
    <w:rsid w:val="00E1342F"/>
    <w:rPr>
      <w:rFonts w:cs="Vrinda"/>
      <w:i/>
      <w:iCs/>
      <w:color w:val="404040" w:themeColor="text1" w:themeTint="BF"/>
      <w:szCs w:val="25"/>
    </w:rPr>
  </w:style>
  <w:style w:type="character" w:styleId="Strong">
    <w:name w:val="Strong"/>
    <w:basedOn w:val="DefaultParagraphFont"/>
    <w:uiPriority w:val="22"/>
    <w:qFormat/>
    <w:rsid w:val="00E1342F"/>
    <w:rPr>
      <w:b/>
      <w:bCs/>
    </w:rPr>
  </w:style>
  <w:style w:type="paragraph" w:styleId="Subtitle">
    <w:name w:val="Subtitle"/>
    <w:basedOn w:val="Normal"/>
    <w:next w:val="Normal"/>
    <w:link w:val="SubtitleChar"/>
    <w:uiPriority w:val="11"/>
    <w:qFormat/>
    <w:rsid w:val="00E1342F"/>
    <w:pPr>
      <w:numPr>
        <w:ilvl w:val="1"/>
      </w:numPr>
      <w:spacing w:after="160"/>
    </w:pPr>
    <w:rPr>
      <w:rFonts w:asciiTheme="minorHAnsi" w:eastAsiaTheme="minorEastAsia" w:hAnsiTheme="minorHAnsi" w:cstheme="minorBidi"/>
      <w:color w:val="5A5A5A" w:themeColor="text1" w:themeTint="A5"/>
      <w:spacing w:val="15"/>
      <w:sz w:val="22"/>
      <w:szCs w:val="28"/>
    </w:rPr>
  </w:style>
  <w:style w:type="character" w:customStyle="1" w:styleId="SubtitleChar">
    <w:name w:val="Subtitle Char"/>
    <w:basedOn w:val="DefaultParagraphFont"/>
    <w:link w:val="Subtitle"/>
    <w:uiPriority w:val="11"/>
    <w:rsid w:val="00E1342F"/>
    <w:rPr>
      <w:rFonts w:asciiTheme="minorHAnsi" w:eastAsiaTheme="minorEastAsia" w:hAnsiTheme="minorHAnsi" w:cstheme="minorBidi"/>
      <w:color w:val="5A5A5A" w:themeColor="text1" w:themeTint="A5"/>
      <w:spacing w:val="15"/>
      <w:sz w:val="22"/>
      <w:szCs w:val="28"/>
    </w:rPr>
  </w:style>
  <w:style w:type="character" w:styleId="SubtleEmphasis">
    <w:name w:val="Subtle Emphasis"/>
    <w:basedOn w:val="DefaultParagraphFont"/>
    <w:uiPriority w:val="19"/>
    <w:qFormat/>
    <w:rsid w:val="00E1342F"/>
    <w:rPr>
      <w:i/>
      <w:iCs/>
      <w:color w:val="404040" w:themeColor="text1" w:themeTint="BF"/>
    </w:rPr>
  </w:style>
  <w:style w:type="character" w:styleId="SubtleReference">
    <w:name w:val="Subtle Reference"/>
    <w:basedOn w:val="DefaultParagraphFont"/>
    <w:uiPriority w:val="31"/>
    <w:qFormat/>
    <w:rsid w:val="00E1342F"/>
    <w:rPr>
      <w:smallCaps/>
      <w:color w:val="5A5A5A" w:themeColor="text1" w:themeTint="A5"/>
    </w:rPr>
  </w:style>
  <w:style w:type="paragraph" w:styleId="TOCHeading">
    <w:name w:val="TOC Heading"/>
    <w:basedOn w:val="Heading1"/>
    <w:next w:val="Normal"/>
    <w:uiPriority w:val="39"/>
    <w:semiHidden/>
    <w:unhideWhenUsed/>
    <w:qFormat/>
    <w:rsid w:val="00E1342F"/>
    <w:pPr>
      <w:keepNext/>
      <w:keepLines/>
      <w:spacing w:before="240"/>
      <w:outlineLvl w:val="9"/>
    </w:pPr>
    <w:rPr>
      <w:rFonts w:asciiTheme="majorHAnsi" w:eastAsiaTheme="majorEastAsia" w:hAnsiTheme="majorHAnsi" w:cstheme="majorBidi"/>
      <w:color w:val="0F4761" w:themeColor="accent1" w:themeShade="BF"/>
      <w:szCs w:val="40"/>
    </w:rPr>
  </w:style>
  <w:style w:type="character" w:customStyle="1" w:styleId="Heading1Char">
    <w:name w:val="Heading 1 Char"/>
    <w:basedOn w:val="DefaultParagraphFont"/>
    <w:link w:val="Heading1"/>
    <w:uiPriority w:val="9"/>
    <w:rsid w:val="00E1342F"/>
    <w:rPr>
      <w:color w:val="2E74B5"/>
      <w:sz w:val="32"/>
      <w:szCs w:val="32"/>
    </w:rPr>
  </w:style>
  <w:style w:type="paragraph" w:styleId="NormalWeb">
    <w:name w:val="Normal (Web)"/>
    <w:basedOn w:val="Normal"/>
    <w:uiPriority w:val="99"/>
    <w:semiHidden/>
    <w:unhideWhenUsed/>
    <w:rsid w:val="00E1342F"/>
    <w:pPr>
      <w:spacing w:before="100" w:beforeAutospacing="1" w:after="100" w:afterAutospacing="1"/>
    </w:pPr>
    <w:rPr>
      <w:rFonts w:cs="Times New Roman"/>
      <w:sz w:val="24"/>
      <w:szCs w:val="24"/>
    </w:rPr>
  </w:style>
  <w:style w:type="paragraph" w:styleId="TOC3">
    <w:name w:val="toc 3"/>
    <w:basedOn w:val="Normal"/>
    <w:next w:val="Normal"/>
    <w:autoRedefine/>
    <w:uiPriority w:val="39"/>
    <w:unhideWhenUsed/>
    <w:rsid w:val="00E1342F"/>
    <w:pPr>
      <w:spacing w:after="100"/>
      <w:ind w:left="400"/>
    </w:pPr>
    <w:rPr>
      <w:szCs w:val="25"/>
    </w:rPr>
  </w:style>
  <w:style w:type="paragraph" w:styleId="TOC1">
    <w:name w:val="toc 1"/>
    <w:basedOn w:val="Normal"/>
    <w:next w:val="Normal"/>
    <w:autoRedefine/>
    <w:uiPriority w:val="39"/>
    <w:unhideWhenUsed/>
    <w:rsid w:val="00E1342F"/>
    <w:pPr>
      <w:spacing w:after="100"/>
    </w:pPr>
    <w:rPr>
      <w:szCs w:val="25"/>
    </w:rPr>
  </w:style>
  <w:style w:type="paragraph" w:styleId="TOC2">
    <w:name w:val="toc 2"/>
    <w:basedOn w:val="Normal"/>
    <w:next w:val="Normal"/>
    <w:autoRedefine/>
    <w:uiPriority w:val="39"/>
    <w:unhideWhenUsed/>
    <w:rsid w:val="00E1342F"/>
    <w:pPr>
      <w:spacing w:after="100"/>
      <w:ind w:left="200"/>
    </w:pPr>
    <w:rPr>
      <w:szCs w:val="25"/>
    </w:rPr>
  </w:style>
  <w:style w:type="paragraph" w:styleId="Header">
    <w:name w:val="header"/>
    <w:basedOn w:val="Normal"/>
    <w:link w:val="HeaderChar"/>
    <w:uiPriority w:val="99"/>
    <w:unhideWhenUsed/>
    <w:rsid w:val="00E1342F"/>
    <w:pPr>
      <w:tabs>
        <w:tab w:val="center" w:pos="4513"/>
        <w:tab w:val="right" w:pos="9026"/>
      </w:tabs>
    </w:pPr>
    <w:rPr>
      <w:szCs w:val="25"/>
    </w:rPr>
  </w:style>
  <w:style w:type="character" w:customStyle="1" w:styleId="HeaderChar">
    <w:name w:val="Header Char"/>
    <w:basedOn w:val="DefaultParagraphFont"/>
    <w:link w:val="Header"/>
    <w:uiPriority w:val="99"/>
    <w:rsid w:val="00E1342F"/>
    <w:rPr>
      <w:rFonts w:cs="Vrinda"/>
      <w:szCs w:val="25"/>
    </w:rPr>
  </w:style>
  <w:style w:type="paragraph" w:styleId="Footer">
    <w:name w:val="footer"/>
    <w:basedOn w:val="Normal"/>
    <w:link w:val="FooterChar"/>
    <w:uiPriority w:val="99"/>
    <w:unhideWhenUsed/>
    <w:rsid w:val="00E1342F"/>
    <w:pPr>
      <w:tabs>
        <w:tab w:val="center" w:pos="4513"/>
        <w:tab w:val="right" w:pos="9026"/>
      </w:tabs>
    </w:pPr>
    <w:rPr>
      <w:szCs w:val="25"/>
    </w:rPr>
  </w:style>
  <w:style w:type="character" w:customStyle="1" w:styleId="FooterChar">
    <w:name w:val="Footer Char"/>
    <w:basedOn w:val="DefaultParagraphFont"/>
    <w:link w:val="Footer"/>
    <w:uiPriority w:val="99"/>
    <w:rsid w:val="00E1342F"/>
    <w:rPr>
      <w:rFonts w:cs="Vrinda"/>
      <w:szCs w:val="25"/>
    </w:rPr>
  </w:style>
  <w:style w:type="character" w:styleId="UnresolvedMention">
    <w:name w:val="Unresolved Mention"/>
    <w:basedOn w:val="DefaultParagraphFont"/>
    <w:uiPriority w:val="99"/>
    <w:semiHidden/>
    <w:unhideWhenUsed/>
    <w:rsid w:val="00404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mun.khan@bjitgroup.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3716</Words>
  <Characters>22296</Characters>
  <Application>Microsoft Office Word</Application>
  <DocSecurity>0</DocSecurity>
  <Lines>514</Lines>
  <Paragraphs>300</Paragraphs>
  <ScaleCrop>false</ScaleCrop>
  <HeadingPairs>
    <vt:vector size="2" baseType="variant">
      <vt:variant>
        <vt:lpstr>Title</vt:lpstr>
      </vt:variant>
      <vt:variant>
        <vt:i4>1</vt:i4>
      </vt:variant>
    </vt:vector>
  </HeadingPairs>
  <TitlesOfParts>
    <vt:vector size="1" baseType="lpstr">
      <vt:lpstr/>
    </vt:vector>
  </TitlesOfParts>
  <Manager/>
  <Company>BJIT Ltd.</Company>
  <LinksUpToDate>false</LinksUpToDate>
  <CharactersWithSpaces>25759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MamunKhan</cp:lastModifiedBy>
  <cp:revision>5</cp:revision>
  <dcterms:created xsi:type="dcterms:W3CDTF">2026-07-29T06:27:00Z</dcterms:created>
  <dcterms:modified xsi:type="dcterms:W3CDTF">2026-07-30T12:09:00Z</dcterms:modified>
  <cp:category/>
</cp:coreProperties>
</file>