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215E269" wp14:textId="77777777">
      <w:pPr>
        <w:spacing w:after="600"/>
      </w:pPr>
      <w:r>
        <w:rPr>
          <w:rFonts w:ascii="Calibri" w:hAnsi="Calibri" w:eastAsia="Calibri" w:cs="Calibri"/>
          <w:b/>
          <w:bCs/>
          <w:color w:val="595959"/>
          <w:sz w:val="24"/>
          <w:szCs w:val="24"/>
        </w:rPr>
        <w:t xml:space="preserve">NEXUS TELECOM</w:t>
      </w:r>
    </w:p>
    <w:p xmlns:wp14="http://schemas.microsoft.com/office/word/2010/wordml" w14:paraId="21EA1FDA" wp14:textId="77777777">
      <w:pPr>
        <w:spacing w:after="80"/>
      </w:pPr>
      <w:r>
        <w:rPr>
          <w:rFonts w:ascii="Calibri" w:hAnsi="Calibri" w:eastAsia="Calibri" w:cs="Calibri"/>
          <w:b/>
          <w:bCs/>
          <w:color w:val="1F3864"/>
          <w:sz w:val="56"/>
          <w:szCs w:val="56"/>
        </w:rPr>
        <w:t xml:space="preserve">REQUEST FOR PROPOSAL</w:t>
      </w:r>
    </w:p>
    <w:p xmlns:wp14="http://schemas.microsoft.com/office/word/2010/wordml" w14:paraId="5C35DDC4" wp14:textId="77777777">
      <w:pPr>
        <w:spacing w:after="500"/>
      </w:pPr>
      <w:r>
        <w:rPr>
          <w:rFonts w:ascii="Calibri" w:hAnsi="Calibri" w:eastAsia="Calibri" w:cs="Calibri"/>
          <w:b/>
          <w:bCs/>
          <w:color w:val="2E74B5"/>
          <w:sz w:val="26"/>
          <w:szCs w:val="26"/>
        </w:rPr>
        <w:t xml:space="preserve">Independent QA Partner — Operator Systems (UI, API, Manual &amp; Automation Testing)</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xmlns:wp14="http://schemas.microsoft.com/office/word/2010/wordml" w:rsidTr="7B4BFEA9" w14:paraId="15A9DA3A" wp14:textId="77777777">
        <w:tc>
          <w:tcPr>
            <w:tcW w:w="2600" w:type="dxa"/>
            <w:shd w:val="clear" w:color="auto" w:fill="DCE6F1"/>
            <w:tcMar>
              <w:top w:w="80" w:type="dxa"/>
              <w:left w:w="100" w:type="dxa"/>
              <w:bottom w:w="80" w:type="dxa"/>
              <w:right w:w="100" w:type="dxa"/>
            </w:tcMar>
          </w:tcPr>
          <w:p w:rsidR="7B4BFEA9" w:rsidP="7B4BFEA9" w:rsidRDefault="7B4BFEA9" w14:paraId="2ADFB6BB" w14:textId="71FB8FDD">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RFP Reference</w:t>
            </w:r>
          </w:p>
        </w:tc>
        <w:tc>
          <w:tcPr>
            <w:tcW w:w="6750" w:type="dxa"/>
            <w:tcMar>
              <w:top w:w="80" w:type="dxa"/>
              <w:left w:w="100" w:type="dxa"/>
              <w:bottom w:w="80" w:type="dxa"/>
              <w:right w:w="100" w:type="dxa"/>
            </w:tcMar>
          </w:tcPr>
          <w:p w:rsidR="7B4BFEA9" w:rsidP="7B4BFEA9" w:rsidRDefault="7B4BFEA9" w14:paraId="56C31325" w14:textId="72E86D83">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RFP-12</w:t>
            </w:r>
          </w:p>
        </w:tc>
      </w:tr>
      <w:tr xmlns:wp14="http://schemas.microsoft.com/office/word/2010/wordml" w:rsidTr="7B4BFEA9" w14:paraId="6FC92CC2" wp14:textId="77777777">
        <w:tc>
          <w:tcPr>
            <w:tcW w:w="2600" w:type="dxa"/>
            <w:shd w:val="clear" w:color="auto" w:fill="DCE6F1"/>
            <w:tcMar>
              <w:top w:w="80" w:type="dxa"/>
              <w:left w:w="100" w:type="dxa"/>
              <w:bottom w:w="80" w:type="dxa"/>
              <w:right w:w="100" w:type="dxa"/>
            </w:tcMar>
          </w:tcPr>
          <w:p w:rsidR="7B4BFEA9" w:rsidP="7B4BFEA9" w:rsidRDefault="7B4BFEA9" w14:paraId="6E06B85E" w14:textId="18FEAC6D">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Workshop ID</w:t>
            </w:r>
          </w:p>
        </w:tc>
        <w:tc>
          <w:tcPr>
            <w:tcW w:w="6750" w:type="dxa"/>
            <w:tcMar>
              <w:top w:w="80" w:type="dxa"/>
              <w:left w:w="100" w:type="dxa"/>
              <w:bottom w:w="80" w:type="dxa"/>
              <w:right w:w="100" w:type="dxa"/>
            </w:tcMar>
          </w:tcPr>
          <w:p w:rsidR="7B4BFEA9" w:rsidP="7B4BFEA9" w:rsidRDefault="7B4BFEA9" w14:paraId="4E2FA76A" w14:textId="4CD206B9">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PSW-2026-Q3-012 (Delivery Excellence / Pre-Sales Estimation Workshop)</w:t>
            </w:r>
          </w:p>
        </w:tc>
      </w:tr>
      <w:tr xmlns:wp14="http://schemas.microsoft.com/office/word/2010/wordml" w:rsidTr="7B4BFEA9" w14:paraId="6FE7A56B" wp14:textId="77777777">
        <w:tc>
          <w:tcPr>
            <w:tcW w:w="2600" w:type="dxa"/>
            <w:shd w:val="clear" w:color="auto" w:fill="DCE6F1"/>
            <w:tcMar>
              <w:top w:w="80" w:type="dxa"/>
              <w:left w:w="100" w:type="dxa"/>
              <w:bottom w:w="80" w:type="dxa"/>
              <w:right w:w="100" w:type="dxa"/>
            </w:tcMar>
          </w:tcPr>
          <w:p w:rsidR="7B4BFEA9" w:rsidP="7B4BFEA9" w:rsidRDefault="7B4BFEA9" w14:paraId="75879C9A" w14:textId="11B2DBD9">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Client / Customer</w:t>
            </w:r>
          </w:p>
        </w:tc>
        <w:tc>
          <w:tcPr>
            <w:tcW w:w="6750" w:type="dxa"/>
            <w:tcMar>
              <w:top w:w="80" w:type="dxa"/>
              <w:left w:w="100" w:type="dxa"/>
              <w:bottom w:w="80" w:type="dxa"/>
              <w:right w:w="100" w:type="dxa"/>
            </w:tcMar>
          </w:tcPr>
          <w:p w:rsidR="7B4BFEA9" w:rsidP="7B4BFEA9" w:rsidRDefault="7B4BFEA9" w14:paraId="3318445A" w14:textId="6B057CCD">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Nexus Telecom — represented by Himadri Mondol, Head of Quality Governance &amp; Vendor Management</w:t>
            </w:r>
          </w:p>
        </w:tc>
      </w:tr>
      <w:tr xmlns:wp14="http://schemas.microsoft.com/office/word/2010/wordml" w:rsidTr="7B4BFEA9" w14:paraId="4DDC80C3" wp14:textId="77777777">
        <w:tc>
          <w:tcPr>
            <w:tcW w:w="2600" w:type="dxa"/>
            <w:shd w:val="clear" w:color="auto" w:fill="DCE6F1"/>
            <w:tcMar>
              <w:top w:w="80" w:type="dxa"/>
              <w:left w:w="100" w:type="dxa"/>
              <w:bottom w:w="80" w:type="dxa"/>
              <w:right w:w="100" w:type="dxa"/>
            </w:tcMar>
          </w:tcPr>
          <w:p w:rsidR="7B4BFEA9" w:rsidP="7B4BFEA9" w:rsidRDefault="7B4BFEA9" w14:paraId="5137174A" w14:textId="10E2C1E4">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Category</w:t>
            </w:r>
          </w:p>
        </w:tc>
        <w:tc>
          <w:tcPr>
            <w:tcW w:w="6750" w:type="dxa"/>
            <w:tcMar>
              <w:top w:w="80" w:type="dxa"/>
              <w:left w:w="100" w:type="dxa"/>
              <w:bottom w:w="80" w:type="dxa"/>
              <w:right w:w="100" w:type="dxa"/>
            </w:tcMar>
          </w:tcPr>
          <w:p w:rsidR="7B4BFEA9" w:rsidP="7B4BFEA9" w:rsidRDefault="7B4BFEA9" w14:paraId="3801358F" w14:textId="13B692F9">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QA Partner</w:t>
            </w:r>
          </w:p>
        </w:tc>
      </w:tr>
      <w:tr xmlns:wp14="http://schemas.microsoft.com/office/word/2010/wordml" w:rsidTr="7B4BFEA9" w14:paraId="72106EE6" wp14:textId="77777777">
        <w:tc>
          <w:tcPr>
            <w:tcW w:w="2600" w:type="dxa"/>
            <w:shd w:val="clear" w:color="auto" w:fill="DCE6F1"/>
            <w:tcMar>
              <w:top w:w="80" w:type="dxa"/>
              <w:left w:w="100" w:type="dxa"/>
              <w:bottom w:w="80" w:type="dxa"/>
              <w:right w:w="100" w:type="dxa"/>
            </w:tcMar>
          </w:tcPr>
          <w:p w:rsidR="7B4BFEA9" w:rsidP="7B4BFEA9" w:rsidRDefault="7B4BFEA9" w14:paraId="1BEF080C" w14:textId="2D85DE72">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Domain</w:t>
            </w:r>
          </w:p>
        </w:tc>
        <w:tc>
          <w:tcPr>
            <w:tcW w:w="6750" w:type="dxa"/>
            <w:tcMar>
              <w:top w:w="80" w:type="dxa"/>
              <w:left w:w="100" w:type="dxa"/>
              <w:bottom w:w="80" w:type="dxa"/>
              <w:right w:w="100" w:type="dxa"/>
            </w:tcMar>
          </w:tcPr>
          <w:p w:rsidR="7B4BFEA9" w:rsidP="7B4BFEA9" w:rsidRDefault="7B4BFEA9" w14:paraId="6F9B131C" w14:textId="6CCBEED2">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Telecommunications (Mobile Network Operator)</w:t>
            </w:r>
          </w:p>
        </w:tc>
      </w:tr>
      <w:tr xmlns:wp14="http://schemas.microsoft.com/office/word/2010/wordml" w:rsidTr="7B4BFEA9" w14:paraId="7D50827F" wp14:textId="77777777">
        <w:tc>
          <w:tcPr>
            <w:tcW w:w="2600" w:type="dxa"/>
            <w:shd w:val="clear" w:color="auto" w:fill="DCE6F1"/>
            <w:tcMar>
              <w:top w:w="80" w:type="dxa"/>
              <w:left w:w="100" w:type="dxa"/>
              <w:bottom w:w="80" w:type="dxa"/>
              <w:right w:w="100" w:type="dxa"/>
            </w:tcMar>
          </w:tcPr>
          <w:p w:rsidR="7B4BFEA9" w:rsidP="7B4BFEA9" w:rsidRDefault="7B4BFEA9" w14:paraId="148E053E" w14:textId="22629A98">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Technology / Scope</w:t>
            </w:r>
          </w:p>
        </w:tc>
        <w:tc>
          <w:tcPr>
            <w:tcW w:w="6750" w:type="dxa"/>
            <w:tcMar>
              <w:top w:w="80" w:type="dxa"/>
              <w:left w:w="100" w:type="dxa"/>
              <w:bottom w:w="80" w:type="dxa"/>
              <w:right w:w="100" w:type="dxa"/>
            </w:tcMar>
          </w:tcPr>
          <w:p w:rsidR="7B4BFEA9" w:rsidP="7B4BFEA9" w:rsidRDefault="7B4BFEA9" w14:paraId="54D92221" w14:textId="126D5264">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UI Testing, API Testing, Manual Testing, Test Automation — Independent QA for Operator Systems</w:t>
            </w:r>
          </w:p>
        </w:tc>
      </w:tr>
      <w:tr xmlns:wp14="http://schemas.microsoft.com/office/word/2010/wordml" w:rsidTr="7B4BFEA9" w14:paraId="661AB4BB" wp14:textId="77777777">
        <w:tc>
          <w:tcPr>
            <w:tcW w:w="2600" w:type="dxa"/>
            <w:shd w:val="clear" w:color="auto" w:fill="DCE6F1"/>
            <w:tcMar>
              <w:top w:w="80" w:type="dxa"/>
              <w:left w:w="100" w:type="dxa"/>
              <w:bottom w:w="80" w:type="dxa"/>
              <w:right w:w="100" w:type="dxa"/>
            </w:tcMar>
          </w:tcPr>
          <w:p w:rsidR="7B4BFEA9" w:rsidP="7B4BFEA9" w:rsidRDefault="7B4BFEA9" w14:paraId="280D81E2" w14:textId="78CD5A1B">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Customer Retains</w:t>
            </w:r>
          </w:p>
        </w:tc>
        <w:tc>
          <w:tcPr>
            <w:tcW w:w="6750" w:type="dxa"/>
            <w:tcMar>
              <w:top w:w="80" w:type="dxa"/>
              <w:left w:w="100" w:type="dxa"/>
              <w:bottom w:w="80" w:type="dxa"/>
              <w:right w:w="100" w:type="dxa"/>
            </w:tcMar>
          </w:tcPr>
          <w:p w:rsidR="7B4BFEA9" w:rsidP="7B4BFEA9" w:rsidRDefault="7B4BFEA9" w14:paraId="3A4364C9" w14:textId="6752E998">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All application development (Customer provides code, environments, and infrastructure)</w:t>
            </w:r>
          </w:p>
        </w:tc>
      </w:tr>
      <w:tr xmlns:wp14="http://schemas.microsoft.com/office/word/2010/wordml" w:rsidTr="7B4BFEA9" w14:paraId="64B0B427" wp14:textId="77777777">
        <w:tc>
          <w:tcPr>
            <w:tcW w:w="2600" w:type="dxa"/>
            <w:shd w:val="clear" w:color="auto" w:fill="DCE6F1"/>
            <w:tcMar>
              <w:top w:w="80" w:type="dxa"/>
              <w:left w:w="100" w:type="dxa"/>
              <w:bottom w:w="80" w:type="dxa"/>
              <w:right w:w="100" w:type="dxa"/>
            </w:tcMar>
          </w:tcPr>
          <w:p w:rsidR="7B4BFEA9" w:rsidP="7B4BFEA9" w:rsidRDefault="7B4BFEA9" w14:paraId="39DD8CD4" w14:textId="1427DE4A">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Date Issued</w:t>
            </w:r>
          </w:p>
        </w:tc>
        <w:tc>
          <w:tcPr>
            <w:tcW w:w="6750" w:type="dxa"/>
            <w:tcMar>
              <w:top w:w="80" w:type="dxa"/>
              <w:left w:w="100" w:type="dxa"/>
              <w:bottom w:w="80" w:type="dxa"/>
              <w:right w:w="100" w:type="dxa"/>
            </w:tcMar>
          </w:tcPr>
          <w:p w:rsidR="1121135F" w:rsidP="7B4BFEA9" w:rsidRDefault="1121135F" w14:paraId="25F46AC6" w14:textId="0755C64E">
            <w:pPr>
              <w:pStyle w:val="Normal"/>
              <w:rPr>
                <w:rFonts w:ascii="Calibri" w:hAnsi="Calibri" w:eastAsia="Calibri" w:cs="Calibri"/>
                <w:b w:val="0"/>
                <w:bCs w:val="0"/>
                <w:i w:val="0"/>
                <w:iCs w:val="0"/>
                <w:sz w:val="20"/>
                <w:szCs w:val="20"/>
                <w:lang w:val="en-US"/>
              </w:rPr>
            </w:pPr>
            <w:r w:rsidRPr="7B4BFEA9" w:rsidR="1121135F">
              <w:rPr>
                <w:rFonts w:ascii="Calibri" w:hAnsi="Calibri" w:eastAsia="Calibri" w:cs="Calibri"/>
                <w:b w:val="0"/>
                <w:bCs w:val="0"/>
                <w:i w:val="0"/>
                <w:iCs w:val="0"/>
                <w:sz w:val="20"/>
                <w:szCs w:val="20"/>
              </w:rPr>
              <w:t>31 July 2026</w:t>
            </w:r>
            <w:r w:rsidRPr="7B4BFEA9" w:rsidR="1FC5D41F">
              <w:rPr>
                <w:rFonts w:ascii="Calibri" w:hAnsi="Calibri" w:eastAsia="Calibri" w:cs="Calibri"/>
                <w:b w:val="0"/>
                <w:bCs w:val="0"/>
                <w:i w:val="0"/>
                <w:iCs w:val="0"/>
                <w:sz w:val="20"/>
                <w:szCs w:val="20"/>
              </w:rPr>
              <w:t>,</w:t>
            </w:r>
            <w:r w:rsidRPr="7B4BFEA9" w:rsidR="1121135F">
              <w:rPr>
                <w:rFonts w:ascii="Calibri" w:hAnsi="Calibri" w:eastAsia="Calibri" w:cs="Calibri"/>
                <w:b w:val="0"/>
                <w:bCs w:val="0"/>
                <w:i w:val="0"/>
                <w:iCs w:val="0"/>
                <w:sz w:val="20"/>
                <w:szCs w:val="20"/>
              </w:rPr>
              <w:t xml:space="preserve"> 00</w:t>
            </w:r>
            <w:r w:rsidRPr="7B4BFEA9" w:rsidR="1121135F">
              <w:rPr>
                <w:rFonts w:ascii="Calibri" w:hAnsi="Calibri" w:eastAsia="Calibri" w:cs="Calibri"/>
                <w:b w:val="0"/>
                <w:bCs w:val="0"/>
                <w:i w:val="0"/>
                <w:iCs w:val="0"/>
                <w:sz w:val="20"/>
                <w:szCs w:val="20"/>
                <w:lang w:val="en-US"/>
              </w:rPr>
              <w:t>:00 BST</w:t>
            </w:r>
          </w:p>
        </w:tc>
      </w:tr>
      <w:tr xmlns:wp14="http://schemas.microsoft.com/office/word/2010/wordml" w:rsidTr="7B4BFEA9" w14:paraId="5D9CD6CD" wp14:textId="77777777">
        <w:trPr>
          <w:trHeight w:val="525"/>
        </w:trPr>
        <w:tc>
          <w:tcPr>
            <w:tcW w:w="2600" w:type="dxa"/>
            <w:shd w:val="clear" w:color="auto" w:fill="DCE6F1"/>
            <w:tcMar>
              <w:top w:w="80" w:type="dxa"/>
              <w:left w:w="100" w:type="dxa"/>
              <w:bottom w:w="80" w:type="dxa"/>
              <w:right w:w="100" w:type="dxa"/>
            </w:tcMar>
          </w:tcPr>
          <w:p w:rsidR="7B4BFEA9" w:rsidP="7B4BFEA9" w:rsidRDefault="7B4BFEA9" w14:paraId="7627AFDA" w14:textId="4D3C8843">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Written Q&amp;A / Grooming Window</w:t>
            </w:r>
          </w:p>
        </w:tc>
        <w:tc>
          <w:tcPr>
            <w:tcW w:w="6750" w:type="dxa"/>
            <w:tcMar>
              <w:top w:w="80" w:type="dxa"/>
              <w:left w:w="100" w:type="dxa"/>
              <w:bottom w:w="80" w:type="dxa"/>
              <w:right w:w="100" w:type="dxa"/>
            </w:tcMar>
          </w:tcPr>
          <w:p w:rsidR="7B4BFEA9" w:rsidP="7B4BFEA9" w:rsidRDefault="7B4BFEA9" w14:paraId="4AD56556" w14:textId="0B319C66">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31 July – 1 August 2026, closing 10:00 BST</w:t>
            </w:r>
          </w:p>
        </w:tc>
      </w:tr>
      <w:tr xmlns:wp14="http://schemas.microsoft.com/office/word/2010/wordml" w:rsidTr="7B4BFEA9" w14:paraId="45C7C995" wp14:textId="77777777">
        <w:tc>
          <w:tcPr>
            <w:tcW w:w="2600" w:type="dxa"/>
            <w:shd w:val="clear" w:color="auto" w:fill="DCE6F1"/>
            <w:tcMar>
              <w:top w:w="80" w:type="dxa"/>
              <w:left w:w="100" w:type="dxa"/>
              <w:bottom w:w="80" w:type="dxa"/>
              <w:right w:w="100" w:type="dxa"/>
            </w:tcMar>
          </w:tcPr>
          <w:p w:rsidR="7B4BFEA9" w:rsidP="7B4BFEA9" w:rsidRDefault="7B4BFEA9" w14:paraId="5AE78D13" w14:textId="6CBA6949">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Proposal Deadline</w:t>
            </w:r>
          </w:p>
        </w:tc>
        <w:tc>
          <w:tcPr>
            <w:tcW w:w="6750" w:type="dxa"/>
            <w:tcMar>
              <w:top w:w="80" w:type="dxa"/>
              <w:left w:w="100" w:type="dxa"/>
              <w:bottom w:w="80" w:type="dxa"/>
              <w:right w:w="100" w:type="dxa"/>
            </w:tcMar>
          </w:tcPr>
          <w:p w:rsidR="7B4BFEA9" w:rsidP="7B4BFEA9" w:rsidRDefault="7B4BFEA9" w14:paraId="1FC79A8C" w14:textId="3DEFEE89">
            <w:pPr>
              <w:rPr>
                <w:rFonts w:ascii="Calibri" w:hAnsi="Calibri" w:eastAsia="Calibri" w:cs="Calibri"/>
                <w:b w:val="0"/>
                <w:bCs w:val="0"/>
                <w:i w:val="0"/>
                <w:iCs w:val="0"/>
                <w:sz w:val="20"/>
                <w:szCs w:val="20"/>
                <w:lang w:val="en-US"/>
              </w:rPr>
            </w:pPr>
            <w:r w:rsidRPr="7B4BFEA9" w:rsidR="7B4BFEA9">
              <w:rPr>
                <w:rFonts w:ascii="Calibri" w:hAnsi="Calibri" w:eastAsia="Calibri" w:cs="Calibri"/>
                <w:b w:val="0"/>
                <w:bCs w:val="0"/>
                <w:i w:val="0"/>
                <w:iCs w:val="0"/>
                <w:sz w:val="20"/>
                <w:szCs w:val="20"/>
                <w:lang w:val="en-US"/>
              </w:rPr>
              <w:t>1 August 2026, 13:00 BST, submitted to the designated procurement folder. Late proposals are accepted but recorded as late.</w:t>
            </w:r>
          </w:p>
        </w:tc>
      </w:tr>
      <w:tr xmlns:wp14="http://schemas.microsoft.com/office/word/2010/wordml" w:rsidTr="7B4BFEA9" w14:paraId="21DAACBE" wp14:textId="77777777">
        <w:tc>
          <w:tcPr>
            <w:tcW w:w="2600" w:type="dxa"/>
            <w:shd w:val="clear" w:color="auto" w:fill="DCE6F1"/>
            <w:tcMar>
              <w:top w:w="80" w:type="dxa"/>
              <w:left w:w="100" w:type="dxa"/>
              <w:bottom w:w="80" w:type="dxa"/>
              <w:right w:w="100" w:type="dxa"/>
            </w:tcMar>
          </w:tcPr>
          <w:p w:rsidR="7B4BFEA9" w:rsidP="7B4BFEA9" w:rsidRDefault="7B4BFEA9" w14:paraId="36E8FCBD" w14:textId="662E963C">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Presentation Slot</w:t>
            </w:r>
          </w:p>
        </w:tc>
        <w:tc>
          <w:tcPr>
            <w:tcW w:w="6750" w:type="dxa"/>
            <w:tcMar>
              <w:top w:w="80" w:type="dxa"/>
              <w:left w:w="100" w:type="dxa"/>
              <w:bottom w:w="80" w:type="dxa"/>
              <w:right w:w="100" w:type="dxa"/>
            </w:tcMar>
          </w:tcPr>
          <w:p w:rsidR="7B4BFEA9" w:rsidP="7B4BFEA9" w:rsidRDefault="7B4BFEA9" w14:paraId="63B300B6" w14:textId="3AABB8E4">
            <w:pPr>
              <w:rPr>
                <w:rFonts w:ascii="Calibri" w:hAnsi="Calibri" w:eastAsia="Calibri" w:cs="Calibri"/>
                <w:b w:val="0"/>
                <w:bCs w:val="0"/>
                <w:i w:val="0"/>
                <w:iCs w:val="0"/>
                <w:sz w:val="20"/>
                <w:szCs w:val="20"/>
              </w:rPr>
            </w:pPr>
            <w:r w:rsidRPr="7B4BFEA9" w:rsidR="7B4BFEA9">
              <w:rPr>
                <w:rFonts w:ascii="Calibri" w:hAnsi="Calibri" w:eastAsia="Calibri" w:cs="Calibri"/>
                <w:b w:val="0"/>
                <w:bCs w:val="0"/>
                <w:i w:val="0"/>
                <w:iCs w:val="0"/>
                <w:sz w:val="20"/>
                <w:szCs w:val="20"/>
              </w:rPr>
              <w:t>1 August 2026, 14:00 BST — 10 minutes per vendor, strictly enforced, in English</w:t>
            </w:r>
          </w:p>
        </w:tc>
      </w:tr>
      <w:tr w:rsidR="7B4BFEA9" w:rsidTr="7B4BFEA9" w14:paraId="4A085AF9">
        <w:trPr>
          <w:trHeight w:val="300"/>
        </w:trPr>
        <w:tc>
          <w:tcPr>
            <w:tcW w:w="2600" w:type="dxa"/>
            <w:shd w:val="clear" w:color="auto" w:fill="DCE6F1"/>
            <w:tcMar>
              <w:top w:w="80" w:type="dxa"/>
              <w:left w:w="100" w:type="dxa"/>
              <w:bottom w:w="80" w:type="dxa"/>
              <w:right w:w="100" w:type="dxa"/>
            </w:tcMar>
          </w:tcPr>
          <w:p w:rsidR="7B4BFEA9" w:rsidP="7B4BFEA9" w:rsidRDefault="7B4BFEA9" w14:paraId="50EE45C1" w14:textId="1DBFA7B9">
            <w:pPr>
              <w:rPr>
                <w:rFonts w:ascii="Calibri" w:hAnsi="Calibri" w:eastAsia="Calibri" w:cs="Calibri"/>
                <w:b w:val="0"/>
                <w:bCs w:val="0"/>
                <w:i w:val="0"/>
                <w:iCs w:val="0"/>
                <w:color w:val="1F3864"/>
                <w:sz w:val="20"/>
                <w:szCs w:val="20"/>
              </w:rPr>
            </w:pPr>
            <w:r w:rsidRPr="7B4BFEA9" w:rsidR="7B4BFEA9">
              <w:rPr>
                <w:rFonts w:ascii="Calibri" w:hAnsi="Calibri" w:eastAsia="Calibri" w:cs="Calibri"/>
                <w:b w:val="1"/>
                <w:bCs w:val="1"/>
                <w:i w:val="0"/>
                <w:iCs w:val="0"/>
                <w:color w:val="1F3864"/>
                <w:sz w:val="20"/>
                <w:szCs w:val="20"/>
              </w:rPr>
              <w:t>Q&amp;A Channel</w:t>
            </w:r>
          </w:p>
        </w:tc>
        <w:tc>
          <w:tcPr>
            <w:tcW w:w="6750" w:type="dxa"/>
            <w:tcMar>
              <w:top w:w="80" w:type="dxa"/>
              <w:left w:w="100" w:type="dxa"/>
              <w:bottom w:w="80" w:type="dxa"/>
              <w:right w:w="100" w:type="dxa"/>
            </w:tcMar>
          </w:tcPr>
          <w:p w:rsidR="7B4BFEA9" w:rsidP="7B4BFEA9" w:rsidRDefault="7B4BFEA9" w14:paraId="19E2513A" w14:textId="77B4FC99">
            <w:pPr>
              <w:rPr>
                <w:rFonts w:ascii="Calibri" w:hAnsi="Calibri" w:eastAsia="Calibri" w:cs="Calibri"/>
                <w:b w:val="0"/>
                <w:bCs w:val="0"/>
                <w:i w:val="0"/>
                <w:iCs w:val="0"/>
                <w:sz w:val="20"/>
                <w:szCs w:val="20"/>
                <w:lang w:val="en-US"/>
              </w:rPr>
            </w:pPr>
            <w:r w:rsidRPr="7B4BFEA9" w:rsidR="7B4BFEA9">
              <w:rPr>
                <w:rFonts w:ascii="Calibri" w:hAnsi="Calibri" w:eastAsia="Calibri" w:cs="Calibri"/>
                <w:b w:val="0"/>
                <w:bCs w:val="0"/>
                <w:i w:val="0"/>
                <w:iCs w:val="0"/>
                <w:sz w:val="20"/>
                <w:szCs w:val="20"/>
                <w:lang w:val="en-US"/>
              </w:rPr>
              <w:t>Questions in writing only, to the designated procurement contact's actual email address. Answers are shared in writing with all Proponents. Verbal exchanges are non-binding.</w:t>
            </w:r>
          </w:p>
        </w:tc>
      </w:tr>
    </w:tbl>
    <w:p xmlns:wp14="http://schemas.microsoft.com/office/word/2010/wordml" w14:paraId="2ADE8020" wp14:textId="77777777">
      <w:pPr>
        <w:spacing w:before="500" w:after="120"/>
      </w:pPr>
      <w:r>
        <w:rPr>
          <w:rFonts w:ascii="Calibri" w:hAnsi="Calibri" w:eastAsia="Calibri" w:cs="Calibri"/>
          <w:b/>
          <w:bCs/>
          <w:color w:val="7A1F1F"/>
          <w:sz w:val="21"/>
          <w:szCs w:val="21"/>
        </w:rPr>
        <w:t xml:space="preserve">Strict Confidentiality Notice</w:t>
      </w:r>
    </w:p>
    <w:p xmlns:wp14="http://schemas.microsoft.com/office/word/2010/wordml" w14:paraId="0443DBFE" wp14:textId="42998ADE">
      <w:pPr>
        <w:shd w:val="clear" w:color="auto" w:fill="F5DCDC"/>
        <w:spacing w:after="160" w:line="276" w:lineRule="auto"/>
      </w:pPr>
      <w:r w:rsidRPr="7B4BFEA9" w:rsidR="0A324768">
        <w:rPr>
          <w:rFonts w:ascii="Calibri" w:hAnsi="Calibri" w:eastAsia="Calibri" w:cs="Calibri"/>
          <w:i w:val="1"/>
          <w:iCs w:val="1"/>
          <w:color w:val="3B3B3B"/>
          <w:sz w:val="19"/>
          <w:szCs w:val="19"/>
          <w:lang w:val="en-US"/>
        </w:rPr>
        <w:t xml:space="preserve">This document, and all information </w:t>
      </w:r>
      <w:r w:rsidRPr="7B4BFEA9" w:rsidR="0A324768">
        <w:rPr>
          <w:rFonts w:ascii="Calibri" w:hAnsi="Calibri" w:eastAsia="Calibri" w:cs="Calibri"/>
          <w:i w:val="1"/>
          <w:iCs w:val="1"/>
          <w:color w:val="3B3B3B"/>
          <w:sz w:val="19"/>
          <w:szCs w:val="19"/>
          <w:lang w:val="en-US"/>
        </w:rPr>
        <w:t>contained</w:t>
      </w:r>
      <w:r w:rsidRPr="7B4BFEA9" w:rsidR="0A324768">
        <w:rPr>
          <w:rFonts w:ascii="Calibri" w:hAnsi="Calibri" w:eastAsia="Calibri" w:cs="Calibri"/>
          <w:i w:val="1"/>
          <w:iCs w:val="1"/>
          <w:color w:val="3B3B3B"/>
          <w:sz w:val="19"/>
          <w:szCs w:val="19"/>
          <w:lang w:val="en-US"/>
        </w:rPr>
        <w:t xml:space="preserve"> </w:t>
      </w:r>
      <w:r w:rsidRPr="7B4BFEA9" w:rsidR="0A324768">
        <w:rPr>
          <w:rFonts w:ascii="Calibri" w:hAnsi="Calibri" w:eastAsia="Calibri" w:cs="Calibri"/>
          <w:i w:val="1"/>
          <w:iCs w:val="1"/>
          <w:color w:val="3B3B3B"/>
          <w:sz w:val="19"/>
          <w:szCs w:val="19"/>
          <w:lang w:val="en-US"/>
        </w:rPr>
        <w:t>herein</w:t>
      </w:r>
      <w:r w:rsidRPr="7B4BFEA9" w:rsidR="0A324768">
        <w:rPr>
          <w:rFonts w:ascii="Calibri" w:hAnsi="Calibri" w:eastAsia="Calibri" w:cs="Calibri"/>
          <w:i w:val="1"/>
          <w:iCs w:val="1"/>
          <w:color w:val="3B3B3B"/>
          <w:sz w:val="19"/>
          <w:szCs w:val="19"/>
          <w:lang w:val="en-US"/>
        </w:rPr>
        <w:t xml:space="preserve">, is confidential and proprietary to Nexus Telecom. It is provided solely for the purpose of evaluating and responding to this Request for Proposal. Recipients shall not </w:t>
      </w:r>
      <w:r w:rsidRPr="7B4BFEA9" w:rsidR="0A324768">
        <w:rPr>
          <w:rFonts w:ascii="Calibri" w:hAnsi="Calibri" w:eastAsia="Calibri" w:cs="Calibri"/>
          <w:i w:val="1"/>
          <w:iCs w:val="1"/>
          <w:color w:val="3B3B3B"/>
          <w:sz w:val="19"/>
          <w:szCs w:val="19"/>
          <w:lang w:val="en-US"/>
        </w:rPr>
        <w:t>disclose</w:t>
      </w:r>
      <w:r w:rsidRPr="7B4BFEA9" w:rsidR="0A324768">
        <w:rPr>
          <w:rFonts w:ascii="Calibri" w:hAnsi="Calibri" w:eastAsia="Calibri" w:cs="Calibri"/>
          <w:i w:val="1"/>
          <w:iCs w:val="1"/>
          <w:color w:val="3B3B3B"/>
          <w:sz w:val="19"/>
          <w:szCs w:val="19"/>
          <w:lang w:val="en-US"/>
        </w:rPr>
        <w:t>, reproduce, or distribute this document, in whole or in part, to any third party without the prior written consent of Nexus Telecom.</w:t>
      </w:r>
    </w:p>
    <w:p xmlns:wp14="http://schemas.microsoft.com/office/word/2010/wordml" w14:paraId="672A6659" wp14:textId="77777777">
      <w:r>
        <w:br w:type="page"/>
      </w:r>
    </w:p>
    <w:p xmlns:wp14="http://schemas.microsoft.com/office/word/2010/wordml" w14:paraId="22E0FC93"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Table of Contents</w:t>
      </w:r>
    </w:p>
    <w:p xmlns:wp14="http://schemas.microsoft.com/office/word/2010/wordml" w14:paraId="6EB48424" wp14:textId="77777777">
      <w:pPr>
        <w:tabs>
          <w:tab w:val="right" w:leader="dot" w:pos="9026"/>
        </w:tabs>
        <w:spacing w:after="80"/>
      </w:pPr>
      <w:r>
        <w:rPr>
          <w:rFonts w:ascii="Calibri" w:hAnsi="Calibri" w:eastAsia="Calibri" w:cs="Calibri"/>
          <w:sz w:val="21"/>
          <w:szCs w:val="21"/>
        </w:rPr>
        <w:t xml:space="preserve">1. About the Customer</w:t>
      </w:r>
    </w:p>
    <w:p xmlns:wp14="http://schemas.microsoft.com/office/word/2010/wordml" w14:paraId="638A9F44" wp14:textId="77777777">
      <w:pPr>
        <w:tabs>
          <w:tab w:val="right" w:leader="dot" w:pos="9026"/>
        </w:tabs>
        <w:spacing w:after="80"/>
      </w:pPr>
      <w:r>
        <w:rPr>
          <w:rFonts w:ascii="Calibri" w:hAnsi="Calibri" w:eastAsia="Calibri" w:cs="Calibri"/>
          <w:sz w:val="21"/>
          <w:szCs w:val="21"/>
        </w:rPr>
        <w:t xml:space="preserve">2. Background &amp; Business Context</w:t>
      </w:r>
    </w:p>
    <w:p xmlns:wp14="http://schemas.microsoft.com/office/word/2010/wordml" w14:paraId="02E28407" wp14:textId="77777777">
      <w:pPr>
        <w:tabs>
          <w:tab w:val="right" w:leader="dot" w:pos="9026"/>
        </w:tabs>
        <w:spacing w:after="80"/>
      </w:pPr>
      <w:r w:rsidRPr="0A324768" w:rsidR="0A324768">
        <w:rPr>
          <w:rFonts w:ascii="Calibri" w:hAnsi="Calibri" w:eastAsia="Calibri" w:cs="Calibri"/>
          <w:sz w:val="21"/>
          <w:szCs w:val="21"/>
          <w:lang w:val="en-US"/>
        </w:rPr>
        <w:t>3. Objectives of this RFP</w:t>
      </w:r>
    </w:p>
    <w:p xmlns:wp14="http://schemas.microsoft.com/office/word/2010/wordml" w14:paraId="5CD238E8" wp14:textId="77777777">
      <w:pPr>
        <w:tabs>
          <w:tab w:val="right" w:leader="dot" w:pos="9026"/>
        </w:tabs>
        <w:spacing w:after="80"/>
      </w:pPr>
      <w:r>
        <w:rPr>
          <w:rFonts w:ascii="Calibri" w:hAnsi="Calibri" w:eastAsia="Calibri" w:cs="Calibri"/>
          <w:sz w:val="21"/>
          <w:szCs w:val="21"/>
        </w:rPr>
        <w:t xml:space="preserve">4. Scope of Work</w:t>
      </w:r>
    </w:p>
    <w:p xmlns:wp14="http://schemas.microsoft.com/office/word/2010/wordml" w14:paraId="17D57362" wp14:textId="77777777">
      <w:pPr>
        <w:tabs>
          <w:tab w:val="right" w:leader="dot" w:pos="9026"/>
        </w:tabs>
        <w:spacing w:after="80"/>
      </w:pPr>
      <w:r>
        <w:rPr>
          <w:rFonts w:ascii="Calibri" w:hAnsi="Calibri" w:eastAsia="Calibri" w:cs="Calibri"/>
          <w:sz w:val="21"/>
          <w:szCs w:val="21"/>
        </w:rPr>
        <w:t xml:space="preserve">5. Technology Stack &amp; Constraints</w:t>
      </w:r>
    </w:p>
    <w:p xmlns:wp14="http://schemas.microsoft.com/office/word/2010/wordml" w14:paraId="7B5BAED7" wp14:textId="77777777">
      <w:pPr>
        <w:tabs>
          <w:tab w:val="right" w:leader="dot" w:pos="9026"/>
        </w:tabs>
        <w:spacing w:after="80"/>
      </w:pPr>
      <w:r>
        <w:rPr>
          <w:rFonts w:ascii="Calibri" w:hAnsi="Calibri" w:eastAsia="Calibri" w:cs="Calibri"/>
          <w:sz w:val="21"/>
          <w:szCs w:val="21"/>
        </w:rPr>
        <w:t xml:space="preserve">6. Engagement Model &amp; Methodology</w:t>
      </w:r>
    </w:p>
    <w:p xmlns:wp14="http://schemas.microsoft.com/office/word/2010/wordml" w14:paraId="780CEC9B" wp14:textId="77777777">
      <w:pPr>
        <w:tabs>
          <w:tab w:val="right" w:leader="dot" w:pos="9026"/>
        </w:tabs>
        <w:spacing w:after="80"/>
      </w:pPr>
      <w:r>
        <w:rPr>
          <w:rFonts w:ascii="Calibri" w:hAnsi="Calibri" w:eastAsia="Calibri" w:cs="Calibri"/>
          <w:sz w:val="21"/>
          <w:szCs w:val="21"/>
        </w:rPr>
        <w:t xml:space="preserve">7. Testing Requirements Overview</w:t>
      </w:r>
    </w:p>
    <w:p xmlns:wp14="http://schemas.microsoft.com/office/word/2010/wordml" w14:paraId="000CD06F" wp14:textId="77777777">
      <w:pPr>
        <w:tabs>
          <w:tab w:val="right" w:leader="dot" w:pos="9026"/>
        </w:tabs>
        <w:spacing w:after="80"/>
      </w:pPr>
      <w:r>
        <w:rPr>
          <w:rFonts w:ascii="Calibri" w:hAnsi="Calibri" w:eastAsia="Calibri" w:cs="Calibri"/>
          <w:sz w:val="21"/>
          <w:szCs w:val="21"/>
        </w:rPr>
        <w:t xml:space="preserve">8. Non-Functional Requirements</w:t>
      </w:r>
    </w:p>
    <w:p xmlns:wp14="http://schemas.microsoft.com/office/word/2010/wordml" w14:paraId="079658D0" wp14:textId="77777777">
      <w:pPr>
        <w:tabs>
          <w:tab w:val="right" w:leader="dot" w:pos="9026"/>
        </w:tabs>
        <w:spacing w:after="80"/>
      </w:pPr>
      <w:r>
        <w:rPr>
          <w:rFonts w:ascii="Calibri" w:hAnsi="Calibri" w:eastAsia="Calibri" w:cs="Calibri"/>
          <w:sz w:val="21"/>
          <w:szCs w:val="21"/>
        </w:rPr>
        <w:t xml:space="preserve">9. Environments</w:t>
      </w:r>
    </w:p>
    <w:p xmlns:wp14="http://schemas.microsoft.com/office/word/2010/wordml" w14:paraId="6575B8CA" wp14:textId="77777777">
      <w:pPr>
        <w:tabs>
          <w:tab w:val="right" w:leader="dot" w:pos="9026"/>
        </w:tabs>
        <w:spacing w:after="80"/>
      </w:pPr>
      <w:r>
        <w:rPr>
          <w:rFonts w:ascii="Calibri" w:hAnsi="Calibri" w:eastAsia="Calibri" w:cs="Calibri"/>
          <w:sz w:val="21"/>
          <w:szCs w:val="21"/>
        </w:rPr>
        <w:t xml:space="preserve">10. Out-of-Scope Items</w:t>
      </w:r>
    </w:p>
    <w:p xmlns:wp14="http://schemas.microsoft.com/office/word/2010/wordml" w14:paraId="14B45C9B" wp14:textId="77777777">
      <w:pPr>
        <w:tabs>
          <w:tab w:val="right" w:leader="dot" w:pos="9026"/>
        </w:tabs>
        <w:spacing w:after="80"/>
      </w:pPr>
      <w:r>
        <w:rPr>
          <w:rFonts w:ascii="Calibri" w:hAnsi="Calibri" w:eastAsia="Calibri" w:cs="Calibri"/>
          <w:sz w:val="21"/>
          <w:szCs w:val="21"/>
        </w:rPr>
        <w:t xml:space="preserve">11. Functional &amp; Non-Functional Requirements (Detailed)</w:t>
      </w:r>
    </w:p>
    <w:p xmlns:wp14="http://schemas.microsoft.com/office/word/2010/wordml" w14:paraId="3F7BE0B3" wp14:textId="77777777">
      <w:pPr>
        <w:tabs>
          <w:tab w:val="right" w:leader="dot" w:pos="9026"/>
        </w:tabs>
        <w:spacing w:after="80"/>
      </w:pPr>
      <w:r>
        <w:rPr>
          <w:rFonts w:ascii="Calibri" w:hAnsi="Calibri" w:eastAsia="Calibri" w:cs="Calibri"/>
          <w:sz w:val="21"/>
          <w:szCs w:val="21"/>
        </w:rPr>
        <w:t xml:space="preserve">12. Deliverables</w:t>
      </w:r>
    </w:p>
    <w:p xmlns:wp14="http://schemas.microsoft.com/office/word/2010/wordml" w14:paraId="2302AA5C" wp14:textId="77777777">
      <w:pPr>
        <w:tabs>
          <w:tab w:val="right" w:leader="dot" w:pos="9026"/>
        </w:tabs>
        <w:spacing w:after="80"/>
      </w:pPr>
      <w:r>
        <w:rPr>
          <w:rFonts w:ascii="Calibri" w:hAnsi="Calibri" w:eastAsia="Calibri" w:cs="Calibri"/>
          <w:sz w:val="21"/>
          <w:szCs w:val="21"/>
        </w:rPr>
        <w:t xml:space="preserve">13. Team &amp; Staffing — Estimation-Driven Approach</w:t>
      </w:r>
    </w:p>
    <w:p xmlns:wp14="http://schemas.microsoft.com/office/word/2010/wordml" w14:paraId="216CC213" wp14:textId="77777777">
      <w:pPr>
        <w:tabs>
          <w:tab w:val="right" w:leader="dot" w:pos="9026"/>
        </w:tabs>
        <w:spacing w:after="80"/>
      </w:pPr>
      <w:r>
        <w:rPr>
          <w:rFonts w:ascii="Calibri" w:hAnsi="Calibri" w:eastAsia="Calibri" w:cs="Calibri"/>
          <w:sz w:val="21"/>
          <w:szCs w:val="21"/>
        </w:rPr>
        <w:t xml:space="preserve">14. Timeline &amp; Key Milestones</w:t>
      </w:r>
    </w:p>
    <w:p xmlns:wp14="http://schemas.microsoft.com/office/word/2010/wordml" w14:paraId="59C0E03F" wp14:textId="77777777">
      <w:pPr>
        <w:tabs>
          <w:tab w:val="right" w:leader="dot" w:pos="9026"/>
        </w:tabs>
        <w:spacing w:after="80"/>
      </w:pPr>
      <w:r>
        <w:rPr>
          <w:rFonts w:ascii="Calibri" w:hAnsi="Calibri" w:eastAsia="Calibri" w:cs="Calibri"/>
          <w:sz w:val="21"/>
          <w:szCs w:val="21"/>
        </w:rPr>
        <w:t xml:space="preserve">15. Commercial Proposal Requirements</w:t>
      </w:r>
    </w:p>
    <w:p xmlns:wp14="http://schemas.microsoft.com/office/word/2010/wordml" w14:paraId="41D1ED18" wp14:textId="77777777">
      <w:pPr>
        <w:tabs>
          <w:tab w:val="right" w:leader="dot" w:pos="9026"/>
        </w:tabs>
        <w:spacing w:after="80"/>
      </w:pPr>
      <w:r>
        <w:rPr>
          <w:rFonts w:ascii="Calibri" w:hAnsi="Calibri" w:eastAsia="Calibri" w:cs="Calibri"/>
          <w:sz w:val="21"/>
          <w:szCs w:val="21"/>
        </w:rPr>
        <w:t xml:space="preserve">16. Evaluation Criteria (Vendor-Facing)</w:t>
      </w:r>
    </w:p>
    <w:p xmlns:wp14="http://schemas.microsoft.com/office/word/2010/wordml" w14:paraId="16FF8419" wp14:textId="77777777">
      <w:pPr>
        <w:tabs>
          <w:tab w:val="right" w:leader="dot" w:pos="9026"/>
        </w:tabs>
        <w:spacing w:after="80"/>
      </w:pPr>
      <w:r>
        <w:rPr>
          <w:rFonts w:ascii="Calibri" w:hAnsi="Calibri" w:eastAsia="Calibri" w:cs="Calibri"/>
          <w:sz w:val="21"/>
          <w:szCs w:val="21"/>
        </w:rPr>
        <w:t xml:space="preserve">17. Project Structure &amp; Communication</w:t>
      </w:r>
    </w:p>
    <w:p xmlns:wp14="http://schemas.microsoft.com/office/word/2010/wordml" w14:paraId="1BEAD37F" wp14:textId="77777777">
      <w:pPr>
        <w:tabs>
          <w:tab w:val="right" w:leader="dot" w:pos="9026"/>
        </w:tabs>
        <w:spacing w:after="80"/>
      </w:pPr>
      <w:r>
        <w:rPr>
          <w:rFonts w:ascii="Calibri" w:hAnsi="Calibri" w:eastAsia="Calibri" w:cs="Calibri"/>
          <w:sz w:val="21"/>
          <w:szCs w:val="21"/>
        </w:rPr>
        <w:t xml:space="preserve">18. Appendix A: Glossary</w:t>
      </w:r>
    </w:p>
    <w:p xmlns:wp14="http://schemas.microsoft.com/office/word/2010/wordml" w14:paraId="2270C129" wp14:textId="77777777">
      <w:pPr>
        <w:tabs>
          <w:tab w:val="right" w:leader="dot" w:pos="9026"/>
        </w:tabs>
        <w:spacing w:after="80"/>
      </w:pPr>
      <w:r>
        <w:rPr>
          <w:rFonts w:ascii="Calibri" w:hAnsi="Calibri" w:eastAsia="Calibri" w:cs="Calibri"/>
          <w:sz w:val="21"/>
          <w:szCs w:val="21"/>
        </w:rPr>
        <w:t xml:space="preserve">19. Appendix B: Assumptions Log (Vendor to Complete)</w:t>
      </w:r>
    </w:p>
    <w:p xmlns:wp14="http://schemas.microsoft.com/office/word/2010/wordml" w14:paraId="6B3166DF" wp14:textId="77777777">
      <w:pPr>
        <w:tabs>
          <w:tab w:val="right" w:leader="dot" w:pos="9026"/>
        </w:tabs>
        <w:spacing w:after="80"/>
      </w:pPr>
      <w:r>
        <w:rPr>
          <w:rFonts w:ascii="Calibri" w:hAnsi="Calibri" w:eastAsia="Calibri" w:cs="Calibri"/>
          <w:sz w:val="21"/>
          <w:szCs w:val="21"/>
        </w:rPr>
        <w:t xml:space="preserve">20. Appendix C: Test Strategy &amp; Automation Notes</w:t>
      </w:r>
    </w:p>
    <w:p xmlns:wp14="http://schemas.microsoft.com/office/word/2010/wordml" w14:paraId="7C795A52" wp14:textId="77777777">
      <w:pPr>
        <w:tabs>
          <w:tab w:val="right" w:leader="dot" w:pos="9026"/>
        </w:tabs>
        <w:spacing w:after="80"/>
      </w:pPr>
      <w:r>
        <w:rPr>
          <w:rFonts w:ascii="Calibri" w:hAnsi="Calibri" w:eastAsia="Calibri" w:cs="Calibri"/>
          <w:sz w:val="21"/>
          <w:szCs w:val="21"/>
        </w:rPr>
        <w:t xml:space="preserve">21. Appendix D: Business &amp; Volume Assumptions</w:t>
      </w:r>
    </w:p>
    <w:p xmlns:wp14="http://schemas.microsoft.com/office/word/2010/wordml" w:rsidP="7B4BFEA9" w14:paraId="0A37501D" wp14:textId="1D14BC6B">
      <w:pPr>
        <w:tabs>
          <w:tab w:val="right" w:leader="dot" w:pos="9026"/>
        </w:tabs>
        <w:spacing w:after="80"/>
      </w:pPr>
      <w:r w:rsidRPr="7B4BFEA9" w:rsidR="7B4BFEA9">
        <w:rPr>
          <w:rFonts w:ascii="Calibri" w:hAnsi="Calibri" w:eastAsia="Calibri" w:cs="Calibri"/>
          <w:sz w:val="21"/>
          <w:szCs w:val="21"/>
        </w:rPr>
        <w:t>22. Submission Instructions</w:t>
      </w:r>
      <w:r>
        <w:br w:type="page"/>
      </w:r>
    </w:p>
    <w:p xmlns:wp14="http://schemas.microsoft.com/office/word/2010/wordml" w14:paraId="7A7BA355"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 About the Customer</w:t>
      </w:r>
    </w:p>
    <w:p xmlns:wp14="http://schemas.microsoft.com/office/word/2010/wordml" w14:paraId="0BB4C39C" wp14:textId="77777777">
      <w:pPr>
        <w:spacing w:after="160" w:line="276" w:lineRule="auto"/>
      </w:pPr>
      <w:r w:rsidRPr="0A324768" w:rsidR="0A324768">
        <w:rPr>
          <w:rFonts w:ascii="Calibri" w:hAnsi="Calibri" w:eastAsia="Calibri" w:cs="Calibri"/>
          <w:sz w:val="21"/>
          <w:szCs w:val="21"/>
          <w:lang w:val="en-US"/>
        </w:rPr>
        <w:t>Nexus Telecom is a regional mobile network operator (MNO) providing voice, data, and digital services to approximately 2.3 million residential and enterprise subscribers across its licensed markets. Over the past several years, Nexus Telecom has invested significantly in modernizing its OSS/BSS stack — including its billing platform (internally referred to as "BillCore"), provisioning, CRM, and self-care digital channels — to support growing subscriber volumes and new 4G/5G service bundles.</w:t>
      </w:r>
    </w:p>
    <w:p xmlns:wp14="http://schemas.microsoft.com/office/word/2010/wordml" w14:paraId="1DCA149B" wp14:textId="77777777">
      <w:pPr>
        <w:spacing w:after="160" w:line="276" w:lineRule="auto"/>
      </w:pPr>
      <w:r w:rsidRPr="0A324768" w:rsidR="0A324768">
        <w:rPr>
          <w:rFonts w:ascii="Calibri" w:hAnsi="Calibri" w:eastAsia="Calibri" w:cs="Calibri"/>
          <w:sz w:val="21"/>
          <w:szCs w:val="21"/>
          <w:lang w:val="en-US"/>
        </w:rPr>
        <w:t>The organization operates a matrixed Product &amp; Engineering group, with in-house development teams retained for all core platform work. Quality Assurance has historically been performed by QA resources embedded within each development squad, supplemented by ad hoc User Acceptance Testing (UAT) support from business stakeholders.</w:t>
      </w:r>
    </w:p>
    <w:p xmlns:wp14="http://schemas.microsoft.com/office/word/2010/wordml" w14:paraId="2E15D559"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2. Background &amp; Business Context</w:t>
      </w:r>
    </w:p>
    <w:p xmlns:wp14="http://schemas.microsoft.com/office/word/2010/wordml" w14:paraId="04CF2F1A" wp14:textId="77777777">
      <w:pPr>
        <w:spacing w:after="160" w:line="276" w:lineRule="auto"/>
      </w:pPr>
      <w:r w:rsidRPr="0A324768" w:rsidR="0A324768">
        <w:rPr>
          <w:rFonts w:ascii="Calibri" w:hAnsi="Calibri" w:eastAsia="Calibri" w:cs="Calibri"/>
          <w:sz w:val="21"/>
          <w:szCs w:val="21"/>
          <w:lang w:val="en-US"/>
        </w:rPr>
        <w:t>As Nexus Telecom's product portfolio has expanded, so has the complexity and interdependency of its operator systems — BillCore, provisioning, CRM, the self-care portal, and partner/agent channels. Embedded, developer-adjacent QA has contributed to recurring quality bottlenecks, including:</w:t>
      </w:r>
    </w:p>
    <w:p xmlns:wp14="http://schemas.microsoft.com/office/word/2010/wordml" w14:paraId="69210CD8" wp14:textId="77777777">
      <w:pPr>
        <w:pStyle w:val="ListParagraph"/>
        <w:numPr>
          <w:ilvl w:val="0"/>
          <w:numId w:val="2"/>
        </w:numPr>
        <w:spacing w:after="90" w:line="276"/>
      </w:pPr>
      <w:r>
        <w:rPr>
          <w:rFonts w:ascii="Calibri" w:hAnsi="Calibri" w:eastAsia="Calibri" w:cs="Calibri"/>
          <w:sz w:val="21"/>
          <w:szCs w:val="21"/>
        </w:rPr>
        <w:t xml:space="preserve">Inconsistent test coverage across development squads.</w:t>
      </w:r>
    </w:p>
    <w:p xmlns:wp14="http://schemas.microsoft.com/office/word/2010/wordml" w14:paraId="2AF9F74F" wp14:textId="77777777">
      <w:pPr>
        <w:pStyle w:val="ListParagraph"/>
        <w:numPr>
          <w:ilvl w:val="0"/>
          <w:numId w:val="2"/>
        </w:numPr>
        <w:spacing w:after="90" w:line="276"/>
      </w:pPr>
      <w:r>
        <w:rPr>
          <w:rFonts w:ascii="Calibri" w:hAnsi="Calibri" w:eastAsia="Calibri" w:cs="Calibri"/>
          <w:sz w:val="21"/>
          <w:szCs w:val="21"/>
        </w:rPr>
        <w:t xml:space="preserve">Limited independent validation of cross-system workflows (for example, an order that spans CRM, provisioning, and billing).</w:t>
      </w:r>
    </w:p>
    <w:p xmlns:wp14="http://schemas.microsoft.com/office/word/2010/wordml" w14:paraId="6CFC8BA7" wp14:textId="77777777">
      <w:pPr>
        <w:pStyle w:val="ListParagraph"/>
        <w:numPr>
          <w:ilvl w:val="0"/>
          <w:numId w:val="2"/>
        </w:numPr>
        <w:spacing w:after="90" w:line="276"/>
      </w:pPr>
      <w:r>
        <w:rPr>
          <w:rFonts w:ascii="Calibri" w:hAnsi="Calibri" w:eastAsia="Calibri" w:cs="Calibri"/>
          <w:sz w:val="21"/>
          <w:szCs w:val="21"/>
        </w:rPr>
        <w:t xml:space="preserve">Growing regression risk as release frequency increases.</w:t>
      </w:r>
    </w:p>
    <w:p xmlns:wp14="http://schemas.microsoft.com/office/word/2010/wordml" w14:paraId="4DF1BFE7" wp14:textId="77777777">
      <w:pPr>
        <w:pStyle w:val="ListParagraph"/>
        <w:numPr>
          <w:ilvl w:val="0"/>
          <w:numId w:val="2"/>
        </w:numPr>
        <w:spacing w:after="90" w:line="276"/>
      </w:pPr>
      <w:r>
        <w:rPr>
          <w:rFonts w:ascii="Calibri" w:hAnsi="Calibri" w:eastAsia="Calibri" w:cs="Calibri"/>
          <w:sz w:val="21"/>
          <w:szCs w:val="21"/>
        </w:rPr>
        <w:t xml:space="preserve">Limited automation maturity, with most regression testing still performed manually.</w:t>
      </w:r>
    </w:p>
    <w:p xmlns:wp14="http://schemas.microsoft.com/office/word/2010/wordml" w14:paraId="7E1E2FD9" wp14:textId="77777777">
      <w:pPr>
        <w:spacing w:after="160" w:line="276" w:lineRule="auto"/>
      </w:pPr>
      <w:r w:rsidRPr="0A324768" w:rsidR="0A324768">
        <w:rPr>
          <w:rFonts w:ascii="Calibri" w:hAnsi="Calibri" w:eastAsia="Calibri" w:cs="Calibri"/>
          <w:sz w:val="21"/>
          <w:szCs w:val="21"/>
          <w:lang w:val="en-US"/>
        </w:rPr>
        <w:t>A recent production incident — a billing reconciliation defect that reached production during a peak promotional campaign — has elevated quality assurance to a leadership-level concern. Nexus Telecom has determined that an independent QA partner, organizationally separate from the development organization, is required to provide unbiased quality validation, reduce production risk, and build sustainable test automation capability.</w:t>
      </w:r>
    </w:p>
    <w:p xmlns:wp14="http://schemas.microsoft.com/office/word/2010/wordml" w14:paraId="6E18F9AB" wp14:textId="77777777">
      <w:pPr>
        <w:spacing w:after="160" w:line="276" w:lineRule="auto"/>
      </w:pPr>
      <w:r w:rsidRPr="0A324768" w:rsidR="0A324768">
        <w:rPr>
          <w:rFonts w:ascii="Calibri" w:hAnsi="Calibri" w:eastAsia="Calibri" w:cs="Calibri"/>
          <w:sz w:val="21"/>
          <w:szCs w:val="21"/>
          <w:lang w:val="en-US"/>
        </w:rPr>
        <w:t>This RFP is issued to identify a QA partner capable of providing independent UI, API, manual, and automation testing services for Nexus Telecom's operator systems, working in close collaboration with in-house development teams, who will retain full ownership of all development work.</w:t>
      </w:r>
    </w:p>
    <w:p xmlns:wp14="http://schemas.microsoft.com/office/word/2010/wordml" w:rsidP="0A324768" w14:paraId="206B2B03" wp14:textId="77777777">
      <w:pPr>
        <w:pStyle w:val="Heading1"/>
        <w:pBdr>
          <w:bottom w:val="single" w:color="1F3864" w:sz="6" w:space="4"/>
        </w:pBdr>
        <w:spacing w:before="360" w:after="160"/>
      </w:pPr>
      <w:r w:rsidRPr="0A324768" w:rsidR="0A324768">
        <w:rPr>
          <w:rFonts w:ascii="Calibri" w:hAnsi="Calibri" w:eastAsia="Calibri" w:cs="Calibri"/>
          <w:b w:val="1"/>
          <w:bCs w:val="1"/>
          <w:color w:val="1F3864"/>
          <w:sz w:val="30"/>
          <w:szCs w:val="30"/>
          <w:lang w:val="en-US"/>
        </w:rPr>
        <w:t>3. Objectives of this RFP</w:t>
      </w:r>
    </w:p>
    <w:p xmlns:wp14="http://schemas.microsoft.com/office/word/2010/wordml" w14:paraId="2841DB86" wp14:textId="77777777">
      <w:pPr>
        <w:pStyle w:val="ListParagraph"/>
        <w:numPr>
          <w:ilvl w:val="0"/>
          <w:numId w:val="2"/>
        </w:numPr>
        <w:spacing w:after="90" w:line="276" w:lineRule="auto"/>
        <w:rPr/>
      </w:pPr>
      <w:r w:rsidRPr="0A324768" w:rsidR="0A324768">
        <w:rPr>
          <w:rFonts w:ascii="Calibri" w:hAnsi="Calibri" w:eastAsia="Calibri" w:cs="Calibri"/>
          <w:sz w:val="21"/>
          <w:szCs w:val="21"/>
          <w:lang w:val="en-US"/>
        </w:rPr>
        <w:t>Establish an independent QA function that is organizationally and operationally decoupled from the development teams whose output it validates.</w:t>
      </w:r>
    </w:p>
    <w:p xmlns:wp14="http://schemas.microsoft.com/office/word/2010/wordml" w14:paraId="1B7A4D03" wp14:textId="77777777">
      <w:pPr>
        <w:pStyle w:val="ListParagraph"/>
        <w:numPr>
          <w:ilvl w:val="0"/>
          <w:numId w:val="2"/>
        </w:numPr>
        <w:spacing w:after="90" w:line="276"/>
      </w:pPr>
      <w:r>
        <w:rPr>
          <w:rFonts w:ascii="Calibri" w:hAnsi="Calibri" w:eastAsia="Calibri" w:cs="Calibri"/>
          <w:sz w:val="21"/>
          <w:szCs w:val="21"/>
        </w:rPr>
        <w:t xml:space="preserve">Reduce production defect leakage, particularly for cross-system workflows spanning CRM, provisioning, and billing.</w:t>
      </w:r>
    </w:p>
    <w:p xmlns:wp14="http://schemas.microsoft.com/office/word/2010/wordml" w14:paraId="1520A880" wp14:textId="77777777">
      <w:pPr>
        <w:pStyle w:val="ListParagraph"/>
        <w:numPr>
          <w:ilvl w:val="0"/>
          <w:numId w:val="2"/>
        </w:numPr>
        <w:spacing w:after="90" w:line="276"/>
      </w:pPr>
      <w:r>
        <w:rPr>
          <w:rFonts w:ascii="Calibri" w:hAnsi="Calibri" w:eastAsia="Calibri" w:cs="Calibri"/>
          <w:sz w:val="21"/>
          <w:szCs w:val="21"/>
        </w:rPr>
        <w:t xml:space="preserve">Build a sustainable, maintainable test automation suite covering core regression scenarios.</w:t>
      </w:r>
    </w:p>
    <w:p xmlns:wp14="http://schemas.microsoft.com/office/word/2010/wordml" w14:paraId="13A99D38" wp14:textId="77777777">
      <w:pPr>
        <w:pStyle w:val="ListParagraph"/>
        <w:numPr>
          <w:ilvl w:val="0"/>
          <w:numId w:val="2"/>
        </w:numPr>
        <w:spacing w:after="90" w:line="276"/>
      </w:pPr>
      <w:r>
        <w:rPr>
          <w:rFonts w:ascii="Calibri" w:hAnsi="Calibri" w:eastAsia="Calibri" w:cs="Calibri"/>
          <w:sz w:val="21"/>
          <w:szCs w:val="21"/>
        </w:rPr>
        <w:t xml:space="preserve">Provide Nexus Telecom leadership with clear, recurring visibility into quality status, risk, and release readiness.</w:t>
      </w:r>
    </w:p>
    <w:p xmlns:wp14="http://schemas.microsoft.com/office/word/2010/wordml" w14:paraId="0EC96302" wp14:textId="77777777">
      <w:pPr>
        <w:pStyle w:val="ListParagraph"/>
        <w:numPr>
          <w:ilvl w:val="0"/>
          <w:numId w:val="2"/>
        </w:numPr>
        <w:spacing w:after="90" w:line="276"/>
      </w:pPr>
      <w:r>
        <w:rPr>
          <w:rFonts w:ascii="Calibri" w:hAnsi="Calibri" w:eastAsia="Calibri" w:cs="Calibri"/>
          <w:sz w:val="21"/>
          <w:szCs w:val="21"/>
        </w:rPr>
        <w:t xml:space="preserve">Integrate seamlessly into Nexus Telecom's existing Agile delivery model without disrupting development velocity.</w:t>
      </w:r>
    </w:p>
    <w:p xmlns:wp14="http://schemas.microsoft.com/office/word/2010/wordml" w14:paraId="79F88EF7" wp14:textId="77777777">
      <w:pPr>
        <w:pStyle w:val="ListParagraph"/>
        <w:numPr>
          <w:ilvl w:val="0"/>
          <w:numId w:val="2"/>
        </w:numPr>
        <w:spacing w:after="90" w:line="276" w:lineRule="auto"/>
        <w:rPr/>
      </w:pPr>
      <w:r w:rsidRPr="0A324768" w:rsidR="0A324768">
        <w:rPr>
          <w:rFonts w:ascii="Calibri" w:hAnsi="Calibri" w:eastAsia="Calibri" w:cs="Calibri"/>
          <w:sz w:val="21"/>
          <w:szCs w:val="21"/>
          <w:lang w:val="en-US"/>
        </w:rPr>
        <w:t>Establish a foundation for possible future phases, including performance/load testing and support for upcoming digital channels, subject to a separate future engagement.</w:t>
      </w:r>
    </w:p>
    <w:p xmlns:wp14="http://schemas.microsoft.com/office/word/2010/wordml" w14:paraId="33DED831"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4. Scope of Work</w:t>
      </w:r>
    </w:p>
    <w:p xmlns:wp14="http://schemas.microsoft.com/office/word/2010/wordml" w14:paraId="47416632" wp14:textId="77777777">
      <w:pPr>
        <w:pStyle w:val="Heading2"/>
        <w:spacing w:before="280" w:after="120"/>
      </w:pPr>
      <w:r>
        <w:rPr>
          <w:rFonts w:ascii="Calibri" w:hAnsi="Calibri" w:eastAsia="Calibri" w:cs="Calibri"/>
          <w:b/>
          <w:bCs/>
          <w:color w:val="2E74B5"/>
          <w:sz w:val="24"/>
          <w:szCs w:val="24"/>
        </w:rPr>
        <w:t xml:space="preserve">4.1 In Scope</w:t>
      </w:r>
    </w:p>
    <w:p xmlns:wp14="http://schemas.microsoft.com/office/word/2010/wordml" w14:paraId="27E34E59" wp14:textId="77777777">
      <w:pPr>
        <w:spacing w:after="160" w:line="276"/>
      </w:pPr>
      <w:r>
        <w:rPr>
          <w:rFonts w:ascii="Calibri" w:hAnsi="Calibri" w:eastAsia="Calibri" w:cs="Calibri"/>
          <w:sz w:val="21"/>
          <w:szCs w:val="21"/>
        </w:rPr>
        <w:t xml:space="preserve">Independent QA services covering:</w:t>
      </w:r>
    </w:p>
    <w:p xmlns:wp14="http://schemas.microsoft.com/office/word/2010/wordml" w14:paraId="66163A42" wp14:textId="77777777">
      <w:pPr>
        <w:pStyle w:val="ListParagraph"/>
        <w:numPr>
          <w:ilvl w:val="0"/>
          <w:numId w:val="2"/>
        </w:numPr>
        <w:spacing w:after="90" w:line="276"/>
      </w:pPr>
      <w:r>
        <w:rPr>
          <w:rFonts w:ascii="Calibri" w:hAnsi="Calibri" w:eastAsia="Calibri" w:cs="Calibri"/>
          <w:sz w:val="21"/>
          <w:szCs w:val="21"/>
        </w:rPr>
        <w:t xml:space="preserve">UI testing of the self-care portal, agent portal, and administrative consoles.</w:t>
      </w:r>
    </w:p>
    <w:p xmlns:wp14="http://schemas.microsoft.com/office/word/2010/wordml" w14:paraId="511F1C5E" wp14:textId="77777777">
      <w:pPr>
        <w:pStyle w:val="ListParagraph"/>
        <w:numPr>
          <w:ilvl w:val="0"/>
          <w:numId w:val="2"/>
        </w:numPr>
        <w:spacing w:after="90" w:line="276"/>
      </w:pPr>
      <w:r>
        <w:rPr>
          <w:rFonts w:ascii="Calibri" w:hAnsi="Calibri" w:eastAsia="Calibri" w:cs="Calibri"/>
          <w:sz w:val="21"/>
          <w:szCs w:val="21"/>
        </w:rPr>
        <w:t xml:space="preserve">API testing of CRM, billing, provisioning, and partner-integration layers.</w:t>
      </w:r>
    </w:p>
    <w:p xmlns:wp14="http://schemas.microsoft.com/office/word/2010/wordml" w14:paraId="0657F2C9" wp14:textId="77777777">
      <w:pPr>
        <w:pStyle w:val="ListParagraph"/>
        <w:numPr>
          <w:ilvl w:val="0"/>
          <w:numId w:val="2"/>
        </w:numPr>
        <w:spacing w:after="90" w:line="276"/>
      </w:pPr>
      <w:r>
        <w:rPr>
          <w:rFonts w:ascii="Calibri" w:hAnsi="Calibri" w:eastAsia="Calibri" w:cs="Calibri"/>
          <w:sz w:val="21"/>
          <w:szCs w:val="21"/>
        </w:rPr>
        <w:t xml:space="preserve">Manual and exploratory testing of complex operator workflows.</w:t>
      </w:r>
    </w:p>
    <w:p xmlns:wp14="http://schemas.microsoft.com/office/word/2010/wordml" w14:paraId="118B19C3" wp14:textId="77777777">
      <w:pPr>
        <w:pStyle w:val="ListParagraph"/>
        <w:numPr>
          <w:ilvl w:val="0"/>
          <w:numId w:val="2"/>
        </w:numPr>
        <w:spacing w:after="90" w:line="276"/>
      </w:pPr>
      <w:r>
        <w:rPr>
          <w:rFonts w:ascii="Calibri" w:hAnsi="Calibri" w:eastAsia="Calibri" w:cs="Calibri"/>
          <w:sz w:val="21"/>
          <w:szCs w:val="21"/>
        </w:rPr>
        <w:t xml:space="preserve">Test automation strategy, framework build-out, and regression suite development.</w:t>
      </w:r>
    </w:p>
    <w:p xmlns:wp14="http://schemas.microsoft.com/office/word/2010/wordml" w14:paraId="208D0E81" wp14:textId="77777777">
      <w:pPr>
        <w:pStyle w:val="ListParagraph"/>
        <w:numPr>
          <w:ilvl w:val="0"/>
          <w:numId w:val="2"/>
        </w:numPr>
        <w:spacing w:after="90" w:line="276"/>
      </w:pPr>
      <w:r>
        <w:rPr>
          <w:rFonts w:ascii="Calibri" w:hAnsi="Calibri" w:eastAsia="Calibri" w:cs="Calibri"/>
          <w:sz w:val="21"/>
          <w:szCs w:val="21"/>
        </w:rPr>
        <w:t xml:space="preserve">Defect management and recurring QA reporting.</w:t>
      </w:r>
    </w:p>
    <w:p xmlns:wp14="http://schemas.microsoft.com/office/word/2010/wordml" w14:paraId="5F884DBE" wp14:textId="77777777">
      <w:pPr>
        <w:pStyle w:val="ListParagraph"/>
        <w:numPr>
          <w:ilvl w:val="0"/>
          <w:numId w:val="2"/>
        </w:numPr>
        <w:spacing w:after="90" w:line="276"/>
      </w:pPr>
      <w:r>
        <w:rPr>
          <w:rFonts w:ascii="Calibri" w:hAnsi="Calibri" w:eastAsia="Calibri" w:cs="Calibri"/>
          <w:sz w:val="21"/>
          <w:szCs w:val="21"/>
        </w:rPr>
        <w:t xml:space="preserve">UAT support during Customer-led acceptance cycles.</w:t>
      </w:r>
    </w:p>
    <w:p xmlns:wp14="http://schemas.microsoft.com/office/word/2010/wordml" w14:paraId="78ED4305" wp14:textId="77777777">
      <w:pPr>
        <w:pStyle w:val="Heading2"/>
        <w:spacing w:before="280" w:after="120"/>
      </w:pPr>
      <w:r>
        <w:rPr>
          <w:rFonts w:ascii="Calibri" w:hAnsi="Calibri" w:eastAsia="Calibri" w:cs="Calibri"/>
          <w:b/>
          <w:bCs/>
          <w:color w:val="2E74B5"/>
          <w:sz w:val="24"/>
          <w:szCs w:val="24"/>
        </w:rPr>
        <w:t xml:space="preserve">4.2 Customer Retains (Out of Vendor Scope)</w:t>
      </w:r>
    </w:p>
    <w:p xmlns:wp14="http://schemas.microsoft.com/office/word/2010/wordml" w14:paraId="0C2AB759" wp14:textId="77777777">
      <w:pPr>
        <w:spacing w:after="160" w:line="276" w:lineRule="auto"/>
      </w:pPr>
      <w:r w:rsidRPr="0A324768" w:rsidR="0A324768">
        <w:rPr>
          <w:rFonts w:ascii="Calibri" w:hAnsi="Calibri" w:eastAsia="Calibri" w:cs="Calibri"/>
          <w:sz w:val="21"/>
          <w:szCs w:val="21"/>
          <w:lang w:val="en-US"/>
        </w:rPr>
        <w:t>All software development — including defect remediation, environment provisioning and infrastructure, DevOps/CI-CD pipeline ownership, and production deployment decisions — remains with Nexus Telecom's in-house development and platform teams. The vendor is not expected to author production code.</w:t>
      </w:r>
    </w:p>
    <w:p xmlns:wp14="http://schemas.microsoft.com/office/word/2010/wordml" w14:paraId="692DB3C0" wp14:textId="77777777">
      <w:pPr>
        <w:pStyle w:val="Heading2"/>
        <w:spacing w:before="280" w:after="120"/>
      </w:pPr>
      <w:r>
        <w:rPr>
          <w:rFonts w:ascii="Calibri" w:hAnsi="Calibri" w:eastAsia="Calibri" w:cs="Calibri"/>
          <w:b/>
          <w:bCs/>
          <w:color w:val="2E74B5"/>
          <w:sz w:val="24"/>
          <w:szCs w:val="24"/>
        </w:rPr>
        <w:t xml:space="preserve">4.3 Optional / Ancillary Integrations</w:t>
      </w:r>
    </w:p>
    <w:p xmlns:wp14="http://schemas.microsoft.com/office/word/2010/wordml" w14:paraId="363BE472" wp14:textId="77777777">
      <w:pPr>
        <w:spacing w:after="160" w:line="276" w:lineRule="auto"/>
      </w:pPr>
      <w:r w:rsidRPr="0A324768" w:rsidR="0A324768">
        <w:rPr>
          <w:rFonts w:ascii="Calibri" w:hAnsi="Calibri" w:eastAsia="Calibri" w:cs="Calibri"/>
          <w:sz w:val="21"/>
          <w:szCs w:val="21"/>
          <w:lang w:val="en-US"/>
        </w:rPr>
        <w:t>The self-care portal is expected to integrate with a third-party mobile wallet/payment gateway and a customer loyalty program. Whether QA coverage of these third-party integration points is included within this engagement's scope, or is limited to basic connectivity checks, is not explicitly defined in this document.</w:t>
      </w:r>
    </w:p>
    <w:p xmlns:wp14="http://schemas.microsoft.com/office/word/2010/wordml" w14:paraId="73BBB71E"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5. Technology Stack &amp; Constraints</w:t>
      </w:r>
    </w:p>
    <w:p xmlns:wp14="http://schemas.microsoft.com/office/word/2010/wordml" w14:paraId="2674BBE5" wp14:textId="77777777">
      <w:pPr>
        <w:spacing w:after="160" w:line="276" w:lineRule="auto"/>
      </w:pPr>
      <w:r w:rsidRPr="0A324768" w:rsidR="0A324768">
        <w:rPr>
          <w:rFonts w:ascii="Calibri" w:hAnsi="Calibri" w:eastAsia="Calibri" w:cs="Calibri"/>
          <w:sz w:val="21"/>
          <w:szCs w:val="21"/>
          <w:lang w:val="en-US"/>
        </w:rPr>
        <w:t>The technology stack below is mandated by Nexus Telecom's IT standardization policy. Vendors must design and staff their solution against this stack; any deviation requires a justified exception request submitted in writing during the RFP Q&amp;A period.</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8200"/>
      </w:tblGrid>
      <w:tr xmlns:wp14="http://schemas.microsoft.com/office/word/2010/wordml" w:rsidTr="0A324768" w14:paraId="3E9C1E00" wp14:textId="77777777">
        <w:trPr>
          <w:tblHeader/>
        </w:trPr>
        <w:tc>
          <w:tcPr>
            <w:tcW w:w="2900" w:type="dxa"/>
            <w:shd w:val="clear" w:color="auto" w:fill="1F3864"/>
            <w:tcMar>
              <w:top w:w="60" w:type="dxa"/>
              <w:left w:w="80" w:type="dxa"/>
              <w:bottom w:w="60" w:type="dxa"/>
              <w:right w:w="80" w:type="dxa"/>
            </w:tcMar>
            <w:vAlign w:val="center"/>
          </w:tcPr>
          <w:p w14:paraId="636423D1" wp14:textId="77777777">
            <w:r>
              <w:rPr>
                <w:rFonts w:ascii="Calibri" w:hAnsi="Calibri" w:eastAsia="Calibri" w:cs="Calibri"/>
                <w:b/>
                <w:bCs/>
                <w:color w:val="FFFFFF"/>
                <w:sz w:val="18"/>
                <w:szCs w:val="18"/>
              </w:rPr>
              <w:t xml:space="preserve">Area</w:t>
            </w:r>
          </w:p>
        </w:tc>
        <w:tc>
          <w:tcPr>
            <w:tcW w:w="8200" w:type="dxa"/>
            <w:shd w:val="clear" w:color="auto" w:fill="1F3864"/>
            <w:tcMar>
              <w:top w:w="60" w:type="dxa"/>
              <w:left w:w="80" w:type="dxa"/>
              <w:bottom w:w="60" w:type="dxa"/>
              <w:right w:w="80" w:type="dxa"/>
            </w:tcMar>
            <w:vAlign w:val="center"/>
          </w:tcPr>
          <w:p w14:paraId="54E494AB" wp14:textId="77777777">
            <w:r>
              <w:rPr>
                <w:rFonts w:ascii="Calibri" w:hAnsi="Calibri" w:eastAsia="Calibri" w:cs="Calibri"/>
                <w:b/>
                <w:bCs/>
                <w:color w:val="FFFFFF"/>
                <w:sz w:val="18"/>
                <w:szCs w:val="18"/>
              </w:rPr>
              <w:t xml:space="preserve">Mandated Specification</w:t>
            </w:r>
          </w:p>
        </w:tc>
      </w:tr>
      <w:tr xmlns:wp14="http://schemas.microsoft.com/office/word/2010/wordml" w:rsidTr="0A324768" w14:paraId="1A294E4C" wp14:textId="77777777">
        <w:tc>
          <w:tcPr>
            <w:tcW w:w="2900" w:type="dxa"/>
            <w:tcMar>
              <w:top w:w="60" w:type="dxa"/>
              <w:left w:w="80" w:type="dxa"/>
              <w:bottom w:w="60" w:type="dxa"/>
              <w:right w:w="80" w:type="dxa"/>
            </w:tcMar>
          </w:tcPr>
          <w:p w14:paraId="11E9337F" wp14:textId="77777777">
            <w:pPr>
              <w:spacing w:after="40"/>
            </w:pPr>
            <w:r>
              <w:rPr>
                <w:rFonts w:ascii="Calibri" w:hAnsi="Calibri" w:eastAsia="Calibri" w:cs="Calibri"/>
                <w:b/>
                <w:bCs/>
                <w:sz w:val="19"/>
                <w:szCs w:val="19"/>
              </w:rPr>
              <w:t xml:space="preserve">Core Systems Under Test</w:t>
            </w:r>
          </w:p>
        </w:tc>
        <w:tc>
          <w:tcPr>
            <w:tcW w:w="8200" w:type="dxa"/>
            <w:tcMar>
              <w:top w:w="60" w:type="dxa"/>
              <w:left w:w="80" w:type="dxa"/>
              <w:bottom w:w="60" w:type="dxa"/>
              <w:right w:w="80" w:type="dxa"/>
            </w:tcMar>
          </w:tcPr>
          <w:p w14:paraId="6AAECDDF" wp14:textId="77777777">
            <w:pPr>
              <w:spacing w:after="40"/>
            </w:pPr>
            <w:r w:rsidRPr="0A324768" w:rsidR="0A324768">
              <w:rPr>
                <w:rFonts w:ascii="Calibri" w:hAnsi="Calibri" w:eastAsia="Calibri" w:cs="Calibri"/>
                <w:sz w:val="19"/>
                <w:szCs w:val="19"/>
                <w:lang w:val="en-US"/>
              </w:rPr>
              <w:t>BillCore (billing), Nexus-Prov (provisioning), Nexus-CRM, Self-Care Web &amp; Mobile Portal, Agent/Partner Portal.</w:t>
            </w:r>
          </w:p>
        </w:tc>
      </w:tr>
      <w:tr xmlns:wp14="http://schemas.microsoft.com/office/word/2010/wordml" w:rsidTr="0A324768" w14:paraId="55E84840" wp14:textId="77777777">
        <w:tc>
          <w:tcPr>
            <w:tcW w:w="2900" w:type="dxa"/>
            <w:shd w:val="clear" w:color="auto" w:fill="F2F2F2"/>
            <w:tcMar>
              <w:top w:w="60" w:type="dxa"/>
              <w:left w:w="80" w:type="dxa"/>
              <w:bottom w:w="60" w:type="dxa"/>
              <w:right w:w="80" w:type="dxa"/>
            </w:tcMar>
          </w:tcPr>
          <w:p w14:paraId="2A0CEFFE" wp14:textId="77777777">
            <w:pPr>
              <w:spacing w:after="40"/>
            </w:pPr>
            <w:r>
              <w:rPr>
                <w:rFonts w:ascii="Calibri" w:hAnsi="Calibri" w:eastAsia="Calibri" w:cs="Calibri"/>
                <w:b/>
                <w:bCs/>
                <w:sz w:val="19"/>
                <w:szCs w:val="19"/>
              </w:rPr>
              <w:t xml:space="preserve">API Protocols</w:t>
            </w:r>
          </w:p>
        </w:tc>
        <w:tc>
          <w:tcPr>
            <w:tcW w:w="8200" w:type="dxa"/>
            <w:shd w:val="clear" w:color="auto" w:fill="F2F2F2"/>
            <w:tcMar>
              <w:top w:w="60" w:type="dxa"/>
              <w:left w:w="80" w:type="dxa"/>
              <w:bottom w:w="60" w:type="dxa"/>
              <w:right w:w="80" w:type="dxa"/>
            </w:tcMar>
          </w:tcPr>
          <w:p w14:paraId="5C9B93DE" wp14:textId="77777777">
            <w:pPr>
              <w:spacing w:after="40"/>
            </w:pPr>
            <w:r>
              <w:rPr>
                <w:rFonts w:ascii="Calibri" w:hAnsi="Calibri" w:eastAsia="Calibri" w:cs="Calibri"/>
                <w:sz w:val="19"/>
                <w:szCs w:val="19"/>
              </w:rPr>
              <w:t xml:space="preserve">REST (primary); SOAP (legacy billing interfaces).</w:t>
            </w:r>
          </w:p>
        </w:tc>
      </w:tr>
      <w:tr xmlns:wp14="http://schemas.microsoft.com/office/word/2010/wordml" w:rsidTr="0A324768" w14:paraId="6DA52AD2" wp14:textId="77777777">
        <w:tc>
          <w:tcPr>
            <w:tcW w:w="2900" w:type="dxa"/>
            <w:tcMar>
              <w:top w:w="60" w:type="dxa"/>
              <w:left w:w="80" w:type="dxa"/>
              <w:bottom w:w="60" w:type="dxa"/>
              <w:right w:w="80" w:type="dxa"/>
            </w:tcMar>
          </w:tcPr>
          <w:p w14:paraId="69C64440" wp14:textId="77777777">
            <w:pPr>
              <w:spacing w:after="40"/>
            </w:pPr>
            <w:r>
              <w:rPr>
                <w:rFonts w:ascii="Calibri" w:hAnsi="Calibri" w:eastAsia="Calibri" w:cs="Calibri"/>
                <w:b/>
                <w:bCs/>
                <w:sz w:val="19"/>
                <w:szCs w:val="19"/>
              </w:rPr>
              <w:t xml:space="preserve">Automation Scope by Test Type</w:t>
            </w:r>
          </w:p>
        </w:tc>
        <w:tc>
          <w:tcPr>
            <w:tcW w:w="8200" w:type="dxa"/>
            <w:tcMar>
              <w:top w:w="60" w:type="dxa"/>
              <w:left w:w="80" w:type="dxa"/>
              <w:bottom w:w="60" w:type="dxa"/>
              <w:right w:w="80" w:type="dxa"/>
            </w:tcMar>
          </w:tcPr>
          <w:p w14:paraId="18928FAA" wp14:textId="77777777">
            <w:pPr>
              <w:spacing w:after="40"/>
            </w:pPr>
            <w:r w:rsidRPr="0A324768" w:rsidR="0A324768">
              <w:rPr>
                <w:rFonts w:ascii="Calibri" w:hAnsi="Calibri" w:eastAsia="Calibri" w:cs="Calibri"/>
                <w:sz w:val="19"/>
                <w:szCs w:val="19"/>
                <w:lang w:val="en-US"/>
              </w:rPr>
              <w:t>API test automation is mandatory from Phase 1, covering all in-scope endpoints (FR-02). UI regression automation is mandatory from Phase 2 onward, covering core workflows (FR-04, FR-15). Manual/exploratory testing (FR-03) is retained as a continuous, non-automated activity by design, not a gap to be closed over time.</w:t>
            </w:r>
          </w:p>
        </w:tc>
      </w:tr>
      <w:tr xmlns:wp14="http://schemas.microsoft.com/office/word/2010/wordml" w:rsidTr="0A324768" w14:paraId="50373ABC" wp14:textId="77777777">
        <w:tc>
          <w:tcPr>
            <w:tcW w:w="2900" w:type="dxa"/>
            <w:shd w:val="clear" w:color="auto" w:fill="F2F2F2"/>
            <w:tcMar>
              <w:top w:w="60" w:type="dxa"/>
              <w:left w:w="80" w:type="dxa"/>
              <w:bottom w:w="60" w:type="dxa"/>
              <w:right w:w="80" w:type="dxa"/>
            </w:tcMar>
          </w:tcPr>
          <w:p w14:paraId="6D2028B6" wp14:textId="77777777">
            <w:pPr>
              <w:spacing w:after="40"/>
            </w:pPr>
            <w:r>
              <w:rPr>
                <w:rFonts w:ascii="Calibri" w:hAnsi="Calibri" w:eastAsia="Calibri" w:cs="Calibri"/>
                <w:b/>
                <w:bCs/>
                <w:sz w:val="19"/>
                <w:szCs w:val="19"/>
              </w:rPr>
              <w:t xml:space="preserve">UI Automation Framework (Mandated)</w:t>
            </w:r>
          </w:p>
        </w:tc>
        <w:tc>
          <w:tcPr>
            <w:tcW w:w="8200" w:type="dxa"/>
            <w:shd w:val="clear" w:color="auto" w:fill="F2F2F2"/>
            <w:tcMar>
              <w:top w:w="60" w:type="dxa"/>
              <w:left w:w="80" w:type="dxa"/>
              <w:bottom w:w="60" w:type="dxa"/>
              <w:right w:w="80" w:type="dxa"/>
            </w:tcMar>
          </w:tcPr>
          <w:p w14:paraId="089939A7" wp14:textId="77777777">
            <w:pPr>
              <w:spacing w:after="40"/>
            </w:pPr>
            <w:r>
              <w:rPr>
                <w:rFonts w:ascii="Calibri" w:hAnsi="Calibri" w:eastAsia="Calibri" w:cs="Calibri"/>
                <w:sz w:val="19"/>
                <w:szCs w:val="19"/>
              </w:rPr>
              <w:t xml:space="preserve">Selenium WebDriver (Java bindings), integrated with Customer's Jenkins-based CI/CD pipeline and executed against Customer's supported browser/device matrix (Section 8).</w:t>
            </w:r>
          </w:p>
        </w:tc>
      </w:tr>
      <w:tr xmlns:wp14="http://schemas.microsoft.com/office/word/2010/wordml" w:rsidTr="0A324768" w14:paraId="797F8FC5" wp14:textId="77777777">
        <w:tc>
          <w:tcPr>
            <w:tcW w:w="2900" w:type="dxa"/>
            <w:tcMar>
              <w:top w:w="60" w:type="dxa"/>
              <w:left w:w="80" w:type="dxa"/>
              <w:bottom w:w="60" w:type="dxa"/>
              <w:right w:w="80" w:type="dxa"/>
            </w:tcMar>
          </w:tcPr>
          <w:p w14:paraId="28BA2B57" wp14:textId="77777777">
            <w:pPr>
              <w:spacing w:after="40"/>
            </w:pPr>
            <w:r>
              <w:rPr>
                <w:rFonts w:ascii="Calibri" w:hAnsi="Calibri" w:eastAsia="Calibri" w:cs="Calibri"/>
                <w:b/>
                <w:bCs/>
                <w:sz w:val="19"/>
                <w:szCs w:val="19"/>
              </w:rPr>
              <w:t xml:space="preserve">API Automation Framework (Mandated)</w:t>
            </w:r>
          </w:p>
        </w:tc>
        <w:tc>
          <w:tcPr>
            <w:tcW w:w="8200" w:type="dxa"/>
            <w:tcMar>
              <w:top w:w="60" w:type="dxa"/>
              <w:left w:w="80" w:type="dxa"/>
              <w:bottom w:w="60" w:type="dxa"/>
              <w:right w:w="80" w:type="dxa"/>
            </w:tcMar>
          </w:tcPr>
          <w:p w14:paraId="2E063AE5" wp14:textId="77777777">
            <w:pPr>
              <w:spacing w:after="40"/>
            </w:pPr>
            <w:r w:rsidRPr="0A324768" w:rsidR="0A324768">
              <w:rPr>
                <w:rFonts w:ascii="Calibri" w:hAnsi="Calibri" w:eastAsia="Calibri" w:cs="Calibri"/>
                <w:sz w:val="19"/>
                <w:szCs w:val="19"/>
                <w:lang w:val="en-US"/>
              </w:rPr>
              <w:t>RestAssured (Java), producing JUnit-style XML reports consumable by Jenkins.</w:t>
            </w:r>
          </w:p>
        </w:tc>
      </w:tr>
      <w:tr xmlns:wp14="http://schemas.microsoft.com/office/word/2010/wordml" w:rsidTr="0A324768" w14:paraId="7FD6809C" wp14:textId="77777777">
        <w:tc>
          <w:tcPr>
            <w:tcW w:w="2900" w:type="dxa"/>
            <w:shd w:val="clear" w:color="auto" w:fill="F2F2F2"/>
            <w:tcMar>
              <w:top w:w="60" w:type="dxa"/>
              <w:left w:w="80" w:type="dxa"/>
              <w:bottom w:w="60" w:type="dxa"/>
              <w:right w:w="80" w:type="dxa"/>
            </w:tcMar>
          </w:tcPr>
          <w:p w14:paraId="4280EB38" wp14:textId="77777777">
            <w:pPr>
              <w:spacing w:after="40"/>
            </w:pPr>
            <w:r>
              <w:rPr>
                <w:rFonts w:ascii="Calibri" w:hAnsi="Calibri" w:eastAsia="Calibri" w:cs="Calibri"/>
                <w:b/>
                <w:bCs/>
                <w:sz w:val="19"/>
                <w:szCs w:val="19"/>
              </w:rPr>
              <w:t xml:space="preserve">Scripting Language (Mandated)</w:t>
            </w:r>
          </w:p>
        </w:tc>
        <w:tc>
          <w:tcPr>
            <w:tcW w:w="8200" w:type="dxa"/>
            <w:shd w:val="clear" w:color="auto" w:fill="F2F2F2"/>
            <w:tcMar>
              <w:top w:w="60" w:type="dxa"/>
              <w:left w:w="80" w:type="dxa"/>
              <w:bottom w:w="60" w:type="dxa"/>
              <w:right w:w="80" w:type="dxa"/>
            </w:tcMar>
          </w:tcPr>
          <w:p w14:paraId="02D095E1" wp14:textId="77777777">
            <w:pPr>
              <w:spacing w:after="40"/>
            </w:pPr>
            <w:r w:rsidRPr="0A324768" w:rsidR="0A324768">
              <w:rPr>
                <w:rFonts w:ascii="Calibri" w:hAnsi="Calibri" w:eastAsia="Calibri" w:cs="Calibri"/>
                <w:sz w:val="19"/>
                <w:szCs w:val="19"/>
                <w:lang w:val="en-US"/>
              </w:rPr>
              <w:t>Java 11 or later, for consistency with Customer's core engineering stack across BillCore integrations and Nexus-Prov backend services.</w:t>
            </w:r>
          </w:p>
        </w:tc>
      </w:tr>
      <w:tr xmlns:wp14="http://schemas.microsoft.com/office/word/2010/wordml" w:rsidTr="0A324768" w14:paraId="6A500454" wp14:textId="77777777">
        <w:tc>
          <w:tcPr>
            <w:tcW w:w="2900" w:type="dxa"/>
            <w:tcMar>
              <w:top w:w="60" w:type="dxa"/>
              <w:left w:w="80" w:type="dxa"/>
              <w:bottom w:w="60" w:type="dxa"/>
              <w:right w:w="80" w:type="dxa"/>
            </w:tcMar>
          </w:tcPr>
          <w:p w14:paraId="01CAE868" wp14:textId="77777777">
            <w:pPr>
              <w:spacing w:after="40"/>
            </w:pPr>
            <w:r>
              <w:rPr>
                <w:rFonts w:ascii="Calibri" w:hAnsi="Calibri" w:eastAsia="Calibri" w:cs="Calibri"/>
                <w:b/>
                <w:bCs/>
                <w:sz w:val="19"/>
                <w:szCs w:val="19"/>
              </w:rPr>
              <w:t xml:space="preserve">CI/CD Integration (Mandated)</w:t>
            </w:r>
          </w:p>
        </w:tc>
        <w:tc>
          <w:tcPr>
            <w:tcW w:w="8200" w:type="dxa"/>
            <w:tcMar>
              <w:top w:w="60" w:type="dxa"/>
              <w:left w:w="80" w:type="dxa"/>
              <w:bottom w:w="60" w:type="dxa"/>
              <w:right w:w="80" w:type="dxa"/>
            </w:tcMar>
          </w:tcPr>
          <w:p w14:paraId="706C96F6" wp14:textId="77777777">
            <w:pPr>
              <w:spacing w:after="40"/>
            </w:pPr>
            <w:r>
              <w:rPr>
                <w:rFonts w:ascii="Calibri" w:hAnsi="Calibri" w:eastAsia="Calibri" w:cs="Calibri"/>
                <w:sz w:val="19"/>
                <w:szCs w:val="19"/>
              </w:rPr>
              <w:t xml:space="preserve">Jenkins (Customer-managed instance). Automated suites are integrated as pipeline stages, with execution results published per build.</w:t>
            </w:r>
          </w:p>
        </w:tc>
      </w:tr>
      <w:tr xmlns:wp14="http://schemas.microsoft.com/office/word/2010/wordml" w:rsidTr="0A324768" w14:paraId="3B5FBF87" wp14:textId="77777777">
        <w:tc>
          <w:tcPr>
            <w:tcW w:w="2900" w:type="dxa"/>
            <w:shd w:val="clear" w:color="auto" w:fill="F2F2F2"/>
            <w:tcMar>
              <w:top w:w="60" w:type="dxa"/>
              <w:left w:w="80" w:type="dxa"/>
              <w:bottom w:w="60" w:type="dxa"/>
              <w:right w:w="80" w:type="dxa"/>
            </w:tcMar>
          </w:tcPr>
          <w:p w14:paraId="26595A76" wp14:textId="77777777">
            <w:pPr>
              <w:spacing w:after="40"/>
            </w:pPr>
            <w:r>
              <w:rPr>
                <w:rFonts w:ascii="Calibri" w:hAnsi="Calibri" w:eastAsia="Calibri" w:cs="Calibri"/>
                <w:b/>
                <w:bCs/>
                <w:sz w:val="19"/>
                <w:szCs w:val="19"/>
              </w:rPr>
              <w:t xml:space="preserve">Test Management Tooling (Mandated)</w:t>
            </w:r>
          </w:p>
        </w:tc>
        <w:tc>
          <w:tcPr>
            <w:tcW w:w="8200" w:type="dxa"/>
            <w:shd w:val="clear" w:color="auto" w:fill="F2F2F2"/>
            <w:tcMar>
              <w:top w:w="60" w:type="dxa"/>
              <w:left w:w="80" w:type="dxa"/>
              <w:bottom w:w="60" w:type="dxa"/>
              <w:right w:w="80" w:type="dxa"/>
            </w:tcMar>
          </w:tcPr>
          <w:p w14:paraId="1EB4151F" wp14:textId="77777777">
            <w:pPr>
              <w:spacing w:after="40"/>
            </w:pPr>
            <w:r>
              <w:rPr>
                <w:rFonts w:ascii="Calibri" w:hAnsi="Calibri" w:eastAsia="Calibri" w:cs="Calibri"/>
                <w:sz w:val="19"/>
                <w:szCs w:val="19"/>
              </w:rPr>
              <w:t xml:space="preserve">Xray for Jira, for native integration with Customer's existing Jira instance and reporting.</w:t>
            </w:r>
          </w:p>
        </w:tc>
      </w:tr>
      <w:tr xmlns:wp14="http://schemas.microsoft.com/office/word/2010/wordml" w:rsidTr="0A324768" w14:paraId="6EAA63EE" wp14:textId="77777777">
        <w:tc>
          <w:tcPr>
            <w:tcW w:w="2900" w:type="dxa"/>
            <w:tcMar>
              <w:top w:w="60" w:type="dxa"/>
              <w:left w:w="80" w:type="dxa"/>
              <w:bottom w:w="60" w:type="dxa"/>
              <w:right w:w="80" w:type="dxa"/>
            </w:tcMar>
          </w:tcPr>
          <w:p w14:paraId="2292B4EC" wp14:textId="77777777">
            <w:pPr>
              <w:spacing w:after="40"/>
            </w:pPr>
            <w:r>
              <w:rPr>
                <w:rFonts w:ascii="Calibri" w:hAnsi="Calibri" w:eastAsia="Calibri" w:cs="Calibri"/>
                <w:b/>
                <w:bCs/>
                <w:sz w:val="19"/>
                <w:szCs w:val="19"/>
              </w:rPr>
              <w:t xml:space="preserve">Defect Tracking (Mandated)</w:t>
            </w:r>
          </w:p>
        </w:tc>
        <w:tc>
          <w:tcPr>
            <w:tcW w:w="8200" w:type="dxa"/>
            <w:tcMar>
              <w:top w:w="60" w:type="dxa"/>
              <w:left w:w="80" w:type="dxa"/>
              <w:bottom w:w="60" w:type="dxa"/>
              <w:right w:w="80" w:type="dxa"/>
            </w:tcMar>
          </w:tcPr>
          <w:p w14:paraId="515B8DE8" wp14:textId="77777777">
            <w:pPr>
              <w:spacing w:after="40"/>
            </w:pPr>
            <w:r>
              <w:rPr>
                <w:rFonts w:ascii="Calibri" w:hAnsi="Calibri" w:eastAsia="Calibri" w:cs="Calibri"/>
                <w:sz w:val="19"/>
                <w:szCs w:val="19"/>
              </w:rPr>
              <w:t xml:space="preserve">Jira (Customer's standard instance; vendor access provisioned at onboarding).</w:t>
            </w:r>
          </w:p>
        </w:tc>
      </w:tr>
      <w:tr xmlns:wp14="http://schemas.microsoft.com/office/word/2010/wordml" w:rsidTr="0A324768" w14:paraId="2A44E4D9" wp14:textId="77777777">
        <w:tc>
          <w:tcPr>
            <w:tcW w:w="2900" w:type="dxa"/>
            <w:shd w:val="clear" w:color="auto" w:fill="F2F2F2"/>
            <w:tcMar>
              <w:top w:w="60" w:type="dxa"/>
              <w:left w:w="80" w:type="dxa"/>
              <w:bottom w:w="60" w:type="dxa"/>
              <w:right w:w="80" w:type="dxa"/>
            </w:tcMar>
          </w:tcPr>
          <w:p w14:paraId="71018785" wp14:textId="77777777">
            <w:pPr>
              <w:spacing w:after="40"/>
            </w:pPr>
            <w:r>
              <w:rPr>
                <w:rFonts w:ascii="Calibri" w:hAnsi="Calibri" w:eastAsia="Calibri" w:cs="Calibri"/>
                <w:b/>
                <w:bCs/>
                <w:sz w:val="19"/>
                <w:szCs w:val="19"/>
              </w:rPr>
              <w:t xml:space="preserve">Automation Tooling Licensing</w:t>
            </w:r>
          </w:p>
        </w:tc>
        <w:tc>
          <w:tcPr>
            <w:tcW w:w="8200" w:type="dxa"/>
            <w:shd w:val="clear" w:color="auto" w:fill="F2F2F2"/>
            <w:tcMar>
              <w:top w:w="60" w:type="dxa"/>
              <w:left w:w="80" w:type="dxa"/>
              <w:bottom w:w="60" w:type="dxa"/>
              <w:right w:w="80" w:type="dxa"/>
            </w:tcMar>
          </w:tcPr>
          <w:p w14:paraId="7E0F52CD" wp14:textId="0A2D0049">
            <w:pPr>
              <w:spacing w:after="40"/>
            </w:pPr>
            <w:r w:rsidRPr="0A324768" w:rsidR="0A324768">
              <w:rPr>
                <w:rFonts w:ascii="Calibri" w:hAnsi="Calibri" w:eastAsia="Calibri" w:cs="Calibri"/>
                <w:sz w:val="19"/>
                <w:szCs w:val="19"/>
                <w:lang w:val="en-US"/>
              </w:rPr>
              <w:t xml:space="preserve">The mandated stack above (Selenium, </w:t>
            </w:r>
            <w:r w:rsidRPr="0A324768" w:rsidR="0A324768">
              <w:rPr>
                <w:rFonts w:ascii="Calibri" w:hAnsi="Calibri" w:eastAsia="Calibri" w:cs="Calibri"/>
                <w:sz w:val="19"/>
                <w:szCs w:val="19"/>
                <w:lang w:val="en-US"/>
              </w:rPr>
              <w:t>RestAssured</w:t>
            </w:r>
            <w:r w:rsidRPr="0A324768" w:rsidR="0A324768">
              <w:rPr>
                <w:rFonts w:ascii="Calibri" w:hAnsi="Calibri" w:eastAsia="Calibri" w:cs="Calibri"/>
                <w:sz w:val="19"/>
                <w:szCs w:val="19"/>
                <w:lang w:val="en-US"/>
              </w:rPr>
              <w:t xml:space="preserve">, Jenkins, Xray) is licensed by Customer. Ownership of costs for any </w:t>
            </w:r>
            <w:r w:rsidRPr="0A324768" w:rsidR="0A324768">
              <w:rPr>
                <w:rFonts w:ascii="Calibri" w:hAnsi="Calibri" w:eastAsia="Calibri" w:cs="Calibri"/>
                <w:sz w:val="19"/>
                <w:szCs w:val="19"/>
                <w:lang w:val="en-US"/>
              </w:rPr>
              <w:t>additional</w:t>
            </w:r>
            <w:r w:rsidRPr="0A324768" w:rsidR="0A324768">
              <w:rPr>
                <w:rFonts w:ascii="Calibri" w:hAnsi="Calibri" w:eastAsia="Calibri" w:cs="Calibri"/>
                <w:sz w:val="19"/>
                <w:szCs w:val="19"/>
                <w:lang w:val="en-US"/>
              </w:rPr>
              <w:t>, vendor-proposed supplementary tooling is not addressed in this document (see also Section 15).</w:t>
            </w:r>
          </w:p>
        </w:tc>
      </w:tr>
      <w:tr xmlns:wp14="http://schemas.microsoft.com/office/word/2010/wordml" w:rsidTr="0A324768" w14:paraId="4B629C1E" wp14:textId="77777777">
        <w:tc>
          <w:tcPr>
            <w:tcW w:w="2900" w:type="dxa"/>
            <w:tcMar>
              <w:top w:w="60" w:type="dxa"/>
              <w:left w:w="80" w:type="dxa"/>
              <w:bottom w:w="60" w:type="dxa"/>
              <w:right w:w="80" w:type="dxa"/>
            </w:tcMar>
          </w:tcPr>
          <w:p w14:paraId="0B271534" wp14:textId="77777777">
            <w:pPr>
              <w:spacing w:after="40"/>
            </w:pPr>
            <w:r>
              <w:rPr>
                <w:rFonts w:ascii="Calibri" w:hAnsi="Calibri" w:eastAsia="Calibri" w:cs="Calibri"/>
                <w:b/>
                <w:bCs/>
                <w:sz w:val="19"/>
                <w:szCs w:val="19"/>
              </w:rPr>
              <w:t xml:space="preserve">Access Constraint</w:t>
            </w:r>
          </w:p>
        </w:tc>
        <w:tc>
          <w:tcPr>
            <w:tcW w:w="8200" w:type="dxa"/>
            <w:tcMar>
              <w:top w:w="60" w:type="dxa"/>
              <w:left w:w="80" w:type="dxa"/>
              <w:bottom w:w="60" w:type="dxa"/>
              <w:right w:w="80" w:type="dxa"/>
            </w:tcMar>
          </w:tcPr>
          <w:p w14:paraId="7805F649" wp14:textId="77777777">
            <w:pPr>
              <w:spacing w:after="40"/>
            </w:pPr>
            <w:r w:rsidRPr="0A324768" w:rsidR="0A324768">
              <w:rPr>
                <w:rFonts w:ascii="Calibri" w:hAnsi="Calibri" w:eastAsia="Calibri" w:cs="Calibri"/>
                <w:sz w:val="19"/>
                <w:szCs w:val="19"/>
                <w:lang w:val="en-US"/>
              </w:rPr>
              <w:t>All testing is performed within Customer's controlled network; export of live subscriber data outside Customer's environment is not permitted.</w:t>
            </w:r>
          </w:p>
        </w:tc>
      </w:tr>
    </w:tbl>
    <w:p xmlns:wp14="http://schemas.microsoft.com/office/word/2010/wordml" w14:paraId="421EFD58"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6. Engagement Model &amp; Methodology</w:t>
      </w:r>
    </w:p>
    <w:p xmlns:wp14="http://schemas.microsoft.com/office/word/2010/wordml" w14:paraId="68700245" wp14:textId="77777777">
      <w:pPr>
        <w:spacing w:after="160" w:line="276" w:lineRule="auto"/>
      </w:pPr>
      <w:r w:rsidRPr="0A324768" w:rsidR="0A324768">
        <w:rPr>
          <w:rFonts w:ascii="Calibri" w:hAnsi="Calibri" w:eastAsia="Calibri" w:cs="Calibri"/>
          <w:sz w:val="21"/>
          <w:szCs w:val="21"/>
          <w:lang w:val="en-US"/>
        </w:rPr>
        <w:t>Nexus Telecom operates an Agile/Scrum delivery model with bi-weekly sprints across development squads. The QA partner is expected to embed a dedicated QA pod (or pods) within this cadence — participating in sprint planning, daily stand-ups, sprint reviews, and retrospectives alongside Customer development teams — while maintaining an independent reporting line for quality sign-off.</w:t>
      </w:r>
    </w:p>
    <w:p xmlns:wp14="http://schemas.microsoft.com/office/word/2010/wordml" w14:paraId="57A913AE" wp14:textId="77777777">
      <w:pPr>
        <w:spacing w:after="160" w:line="276"/>
      </w:pPr>
      <w:r>
        <w:rPr>
          <w:rFonts w:ascii="Calibri" w:hAnsi="Calibri" w:eastAsia="Calibri" w:cs="Calibri"/>
          <w:sz w:val="21"/>
          <w:szCs w:val="21"/>
        </w:rPr>
        <w:t xml:space="preserve">The vendor's QA Lead is expected to have the standing to raise release-blocking quality concerns directly to the Nexus Telecom Program Director, independent of development team sign-off.</w:t>
      </w:r>
    </w:p>
    <w:p xmlns:wp14="http://schemas.microsoft.com/office/word/2010/wordml" w14:paraId="1B313674" wp14:textId="77777777">
      <w:pPr>
        <w:spacing w:after="160" w:line="276" w:lineRule="auto"/>
      </w:pPr>
      <w:r w:rsidRPr="0A324768" w:rsidR="0A324768">
        <w:rPr>
          <w:rFonts w:ascii="Calibri" w:hAnsi="Calibri" w:eastAsia="Calibri" w:cs="Calibri"/>
          <w:sz w:val="21"/>
          <w:szCs w:val="21"/>
          <w:lang w:val="en-US"/>
        </w:rPr>
        <w:t>Customer's core product teams operate primarily within GMT+6 business hours. The expected degree of working-hours overlap for the vendor QA pod is not specified in this document.</w:t>
      </w:r>
    </w:p>
    <w:p xmlns:wp14="http://schemas.microsoft.com/office/word/2010/wordml" w14:paraId="30AEFFD8"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7. Testing Requirements Overview</w:t>
      </w:r>
    </w:p>
    <w:p xmlns:wp14="http://schemas.microsoft.com/office/word/2010/wordml" w14:paraId="152B93A5" wp14:textId="77777777">
      <w:pPr>
        <w:spacing w:after="160" w:line="276"/>
      </w:pPr>
      <w:r>
        <w:rPr>
          <w:rFonts w:ascii="Calibri" w:hAnsi="Calibri" w:eastAsia="Calibri" w:cs="Calibri"/>
          <w:sz w:val="21"/>
          <w:szCs w:val="21"/>
        </w:rPr>
        <w:t xml:space="preserve">The QA partner shall provide UI testing (functional and cross-browser), API testing (functional and contract-level), manual and exploratory testing for complex workflows, regression test automation, and defect management. Detailed functional and non-functional requirements are set out in Section 11.</w:t>
      </w:r>
    </w:p>
    <w:p xmlns:wp14="http://schemas.microsoft.com/office/word/2010/wordml" w14:paraId="035A3775"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8. Non-Functional Requirements</w:t>
      </w:r>
    </w:p>
    <w:p xmlns:wp14="http://schemas.microsoft.com/office/word/2010/wordml" w14:paraId="07FD6BA9" wp14:textId="77777777">
      <w:pPr>
        <w:spacing w:after="160" w:line="276" w:lineRule="auto"/>
      </w:pPr>
      <w:r w:rsidRPr="0A324768" w:rsidR="0A324768">
        <w:rPr>
          <w:rFonts w:ascii="Calibri" w:hAnsi="Calibri" w:eastAsia="Calibri" w:cs="Calibri"/>
          <w:sz w:val="21"/>
          <w:szCs w:val="21"/>
          <w:lang w:val="en-US"/>
        </w:rPr>
        <w:t>The following aspects apply across all in-scope systems. Where a specific figure is not stated, vendors should treat this as an open item for clarification rather than assume a value.</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8500"/>
      </w:tblGrid>
      <w:tr xmlns:wp14="http://schemas.microsoft.com/office/word/2010/wordml" w:rsidTr="0A324768" w14:paraId="204FD613" wp14:textId="77777777">
        <w:trPr>
          <w:tblHeader/>
        </w:trPr>
        <w:tc>
          <w:tcPr>
            <w:tcW w:w="2600" w:type="dxa"/>
            <w:shd w:val="clear" w:color="auto" w:fill="1F3864"/>
            <w:tcMar>
              <w:top w:w="60" w:type="dxa"/>
              <w:left w:w="80" w:type="dxa"/>
              <w:bottom w:w="60" w:type="dxa"/>
              <w:right w:w="80" w:type="dxa"/>
            </w:tcMar>
            <w:vAlign w:val="center"/>
          </w:tcPr>
          <w:p w14:paraId="6C340A94" wp14:textId="77777777">
            <w:r>
              <w:rPr>
                <w:rFonts w:ascii="Calibri" w:hAnsi="Calibri" w:eastAsia="Calibri" w:cs="Calibri"/>
                <w:b/>
                <w:bCs/>
                <w:color w:val="FFFFFF"/>
                <w:sz w:val="18"/>
                <w:szCs w:val="18"/>
              </w:rPr>
              <w:t xml:space="preserve">Aspect</w:t>
            </w:r>
          </w:p>
        </w:tc>
        <w:tc>
          <w:tcPr>
            <w:tcW w:w="8500" w:type="dxa"/>
            <w:shd w:val="clear" w:color="auto" w:fill="1F3864"/>
            <w:tcMar>
              <w:top w:w="60" w:type="dxa"/>
              <w:left w:w="80" w:type="dxa"/>
              <w:bottom w:w="60" w:type="dxa"/>
              <w:right w:w="80" w:type="dxa"/>
            </w:tcMar>
            <w:vAlign w:val="center"/>
          </w:tcPr>
          <w:p w14:paraId="7627B49D" wp14:textId="77777777">
            <w:r>
              <w:rPr>
                <w:rFonts w:ascii="Calibri" w:hAnsi="Calibri" w:eastAsia="Calibri" w:cs="Calibri"/>
                <w:b/>
                <w:bCs/>
                <w:color w:val="FFFFFF"/>
                <w:sz w:val="18"/>
                <w:szCs w:val="18"/>
              </w:rPr>
              <w:t xml:space="preserve">Requirement</w:t>
            </w:r>
          </w:p>
        </w:tc>
      </w:tr>
      <w:tr xmlns:wp14="http://schemas.microsoft.com/office/word/2010/wordml" w:rsidTr="0A324768" w14:paraId="47C80BC2" wp14:textId="77777777">
        <w:tc>
          <w:tcPr>
            <w:tcW w:w="2600" w:type="dxa"/>
            <w:tcMar>
              <w:top w:w="60" w:type="dxa"/>
              <w:left w:w="80" w:type="dxa"/>
              <w:bottom w:w="60" w:type="dxa"/>
              <w:right w:w="80" w:type="dxa"/>
            </w:tcMar>
          </w:tcPr>
          <w:p w14:paraId="1E7910A7" wp14:textId="77777777">
            <w:pPr>
              <w:spacing w:after="40"/>
            </w:pPr>
            <w:r>
              <w:rPr>
                <w:rFonts w:ascii="Calibri" w:hAnsi="Calibri" w:eastAsia="Calibri" w:cs="Calibri"/>
                <w:b/>
                <w:bCs/>
                <w:sz w:val="19"/>
                <w:szCs w:val="19"/>
              </w:rPr>
              <w:t xml:space="preserve">Availability</w:t>
            </w:r>
          </w:p>
        </w:tc>
        <w:tc>
          <w:tcPr>
            <w:tcW w:w="8500" w:type="dxa"/>
            <w:tcMar>
              <w:top w:w="60" w:type="dxa"/>
              <w:left w:w="80" w:type="dxa"/>
              <w:bottom w:w="60" w:type="dxa"/>
              <w:right w:w="80" w:type="dxa"/>
            </w:tcMar>
          </w:tcPr>
          <w:p w14:paraId="4AD8E828" wp14:textId="77777777">
            <w:pPr>
              <w:spacing w:after="40"/>
            </w:pPr>
            <w:r w:rsidRPr="0A324768" w:rsidR="0A324768">
              <w:rPr>
                <w:rFonts w:ascii="Calibri" w:hAnsi="Calibri" w:eastAsia="Calibri" w:cs="Calibri"/>
                <w:sz w:val="19"/>
                <w:szCs w:val="19"/>
                <w:lang w:val="en-US"/>
              </w:rPr>
              <w:t>99.9% or higher monthly uptime target for the self-care portal and agent portal, excluding pre-announced maintenance windows. Exact maintenance-window terms to be confirmed with Customer's Infrastructure team.</w:t>
            </w:r>
          </w:p>
        </w:tc>
      </w:tr>
      <w:tr xmlns:wp14="http://schemas.microsoft.com/office/word/2010/wordml" w:rsidTr="0A324768" w14:paraId="060C4CF8" wp14:textId="77777777">
        <w:tc>
          <w:tcPr>
            <w:tcW w:w="2600" w:type="dxa"/>
            <w:shd w:val="clear" w:color="auto" w:fill="F2F2F2"/>
            <w:tcMar>
              <w:top w:w="60" w:type="dxa"/>
              <w:left w:w="80" w:type="dxa"/>
              <w:bottom w:w="60" w:type="dxa"/>
              <w:right w:w="80" w:type="dxa"/>
            </w:tcMar>
          </w:tcPr>
          <w:p w14:paraId="5CE61CB0" wp14:textId="77777777">
            <w:pPr>
              <w:spacing w:after="40"/>
            </w:pPr>
            <w:r>
              <w:rPr>
                <w:rFonts w:ascii="Calibri" w:hAnsi="Calibri" w:eastAsia="Calibri" w:cs="Calibri"/>
                <w:b/>
                <w:bCs/>
                <w:sz w:val="19"/>
                <w:szCs w:val="19"/>
              </w:rPr>
              <w:t xml:space="preserve">Security Baseline</w:t>
            </w:r>
          </w:p>
        </w:tc>
        <w:tc>
          <w:tcPr>
            <w:tcW w:w="8500" w:type="dxa"/>
            <w:shd w:val="clear" w:color="auto" w:fill="F2F2F2"/>
            <w:tcMar>
              <w:top w:w="60" w:type="dxa"/>
              <w:left w:w="80" w:type="dxa"/>
              <w:bottom w:w="60" w:type="dxa"/>
              <w:right w:w="80" w:type="dxa"/>
            </w:tcMar>
          </w:tcPr>
          <w:p w14:paraId="2C989C98" wp14:textId="77777777">
            <w:pPr>
              <w:spacing w:after="40"/>
            </w:pPr>
            <w:r>
              <w:rPr>
                <w:rFonts w:ascii="Calibri" w:hAnsi="Calibri" w:eastAsia="Calibri" w:cs="Calibri"/>
                <w:sz w:val="19"/>
                <w:szCs w:val="19"/>
              </w:rPr>
              <w:t xml:space="preserve">Baseline security checklist aligned to core OWASP Top 10 categories for customer-facing portals (see FR-11). Full ASVS-level conformance and formal penetration testing are not included — see Section 10.</w:t>
            </w:r>
          </w:p>
        </w:tc>
      </w:tr>
      <w:tr xmlns:wp14="http://schemas.microsoft.com/office/word/2010/wordml" w:rsidTr="0A324768" w14:paraId="641B1A64" wp14:textId="77777777">
        <w:tc>
          <w:tcPr>
            <w:tcW w:w="2600" w:type="dxa"/>
            <w:tcMar>
              <w:top w:w="60" w:type="dxa"/>
              <w:left w:w="80" w:type="dxa"/>
              <w:bottom w:w="60" w:type="dxa"/>
              <w:right w:w="80" w:type="dxa"/>
            </w:tcMar>
          </w:tcPr>
          <w:p w14:paraId="75FBBD04" wp14:textId="77777777">
            <w:pPr>
              <w:spacing w:after="40"/>
            </w:pPr>
            <w:r>
              <w:rPr>
                <w:rFonts w:ascii="Calibri" w:hAnsi="Calibri" w:eastAsia="Calibri" w:cs="Calibri"/>
                <w:b/>
                <w:bCs/>
                <w:sz w:val="19"/>
                <w:szCs w:val="19"/>
              </w:rPr>
              <w:t xml:space="preserve">Performance</w:t>
            </w:r>
          </w:p>
        </w:tc>
        <w:tc>
          <w:tcPr>
            <w:tcW w:w="8500" w:type="dxa"/>
            <w:tcMar>
              <w:top w:w="60" w:type="dxa"/>
              <w:left w:w="80" w:type="dxa"/>
              <w:bottom w:w="60" w:type="dxa"/>
              <w:right w:w="80" w:type="dxa"/>
            </w:tcMar>
          </w:tcPr>
          <w:p w14:paraId="3E682A05" wp14:textId="77777777">
            <w:pPr>
              <w:spacing w:after="40"/>
            </w:pPr>
            <w:r w:rsidRPr="0A324768" w:rsidR="0A324768">
              <w:rPr>
                <w:rFonts w:ascii="Calibri" w:hAnsi="Calibri" w:eastAsia="Calibri" w:cs="Calibri"/>
                <w:sz w:val="19"/>
                <w:szCs w:val="19"/>
                <w:lang w:val="en-US"/>
              </w:rPr>
              <w:t>The system must remain stable during billing-cycle peak periods. The vendor shall state the concurrency level its test approach is designed to validate.</w:t>
            </w:r>
          </w:p>
        </w:tc>
      </w:tr>
      <w:tr xmlns:wp14="http://schemas.microsoft.com/office/word/2010/wordml" w:rsidTr="0A324768" w14:paraId="4D8320A1" wp14:textId="77777777">
        <w:tc>
          <w:tcPr>
            <w:tcW w:w="2600" w:type="dxa"/>
            <w:shd w:val="clear" w:color="auto" w:fill="F2F2F2"/>
            <w:tcMar>
              <w:top w:w="60" w:type="dxa"/>
              <w:left w:w="80" w:type="dxa"/>
              <w:bottom w:w="60" w:type="dxa"/>
              <w:right w:w="80" w:type="dxa"/>
            </w:tcMar>
          </w:tcPr>
          <w:p w14:paraId="688F8EBD" wp14:textId="77777777">
            <w:pPr>
              <w:spacing w:after="40"/>
            </w:pPr>
            <w:r>
              <w:rPr>
                <w:rFonts w:ascii="Calibri" w:hAnsi="Calibri" w:eastAsia="Calibri" w:cs="Calibri"/>
                <w:b/>
                <w:bCs/>
                <w:sz w:val="19"/>
                <w:szCs w:val="19"/>
              </w:rPr>
              <w:t xml:space="preserve">Client Environment</w:t>
            </w:r>
          </w:p>
        </w:tc>
        <w:tc>
          <w:tcPr>
            <w:tcW w:w="8500" w:type="dxa"/>
            <w:shd w:val="clear" w:color="auto" w:fill="F2F2F2"/>
            <w:tcMar>
              <w:top w:w="60" w:type="dxa"/>
              <w:left w:w="80" w:type="dxa"/>
              <w:bottom w:w="60" w:type="dxa"/>
              <w:right w:w="80" w:type="dxa"/>
            </w:tcMar>
          </w:tcPr>
          <w:p w14:paraId="1A5BBFC2" wp14:textId="77777777">
            <w:pPr>
              <w:spacing w:after="40"/>
            </w:pPr>
            <w:r w:rsidRPr="0A324768" w:rsidR="0A324768">
              <w:rPr>
                <w:rFonts w:ascii="Calibri" w:hAnsi="Calibri" w:eastAsia="Calibri" w:cs="Calibri"/>
                <w:sz w:val="19"/>
                <w:szCs w:val="19"/>
                <w:lang w:val="en-US"/>
              </w:rPr>
              <w:t>The self-care portal must be validated against Customer's standard supported browser and device matrix for customer-facing digital channels.</w:t>
            </w:r>
          </w:p>
        </w:tc>
      </w:tr>
      <w:tr xmlns:wp14="http://schemas.microsoft.com/office/word/2010/wordml" w:rsidTr="0A324768" w14:paraId="01C9EBF1" wp14:textId="77777777">
        <w:tc>
          <w:tcPr>
            <w:tcW w:w="2600" w:type="dxa"/>
            <w:tcMar>
              <w:top w:w="60" w:type="dxa"/>
              <w:left w:w="80" w:type="dxa"/>
              <w:bottom w:w="60" w:type="dxa"/>
              <w:right w:w="80" w:type="dxa"/>
            </w:tcMar>
          </w:tcPr>
          <w:p w14:paraId="024F676F" wp14:textId="77777777">
            <w:pPr>
              <w:spacing w:after="40"/>
            </w:pPr>
            <w:r>
              <w:rPr>
                <w:rFonts w:ascii="Calibri" w:hAnsi="Calibri" w:eastAsia="Calibri" w:cs="Calibri"/>
                <w:b/>
                <w:bCs/>
                <w:sz w:val="19"/>
                <w:szCs w:val="19"/>
              </w:rPr>
              <w:t xml:space="preserve">Language</w:t>
            </w:r>
          </w:p>
        </w:tc>
        <w:tc>
          <w:tcPr>
            <w:tcW w:w="8500" w:type="dxa"/>
            <w:tcMar>
              <w:top w:w="60" w:type="dxa"/>
              <w:left w:w="80" w:type="dxa"/>
              <w:bottom w:w="60" w:type="dxa"/>
              <w:right w:w="80" w:type="dxa"/>
            </w:tcMar>
          </w:tcPr>
          <w:p w14:paraId="617ACC0E" wp14:textId="77777777">
            <w:pPr>
              <w:spacing w:after="40"/>
            </w:pPr>
            <w:r>
              <w:rPr>
                <w:rFonts w:ascii="Calibri" w:hAnsi="Calibri" w:eastAsia="Calibri" w:cs="Calibri"/>
                <w:sz w:val="19"/>
                <w:szCs w:val="19"/>
              </w:rPr>
              <w:t xml:space="preserve">English and at least one local language are supported in the self-care portal.</w:t>
            </w:r>
          </w:p>
        </w:tc>
      </w:tr>
      <w:tr xmlns:wp14="http://schemas.microsoft.com/office/word/2010/wordml" w:rsidTr="0A324768" w14:paraId="7E9C202C" wp14:textId="77777777">
        <w:tc>
          <w:tcPr>
            <w:tcW w:w="2600" w:type="dxa"/>
            <w:shd w:val="clear" w:color="auto" w:fill="F2F2F2"/>
            <w:tcMar>
              <w:top w:w="60" w:type="dxa"/>
              <w:left w:w="80" w:type="dxa"/>
              <w:bottom w:w="60" w:type="dxa"/>
              <w:right w:w="80" w:type="dxa"/>
            </w:tcMar>
          </w:tcPr>
          <w:p w14:paraId="6CCCD162" wp14:textId="77777777">
            <w:pPr>
              <w:spacing w:after="40"/>
            </w:pPr>
            <w:r>
              <w:rPr>
                <w:rFonts w:ascii="Calibri" w:hAnsi="Calibri" w:eastAsia="Calibri" w:cs="Calibri"/>
                <w:b/>
                <w:bCs/>
                <w:sz w:val="19"/>
                <w:szCs w:val="19"/>
              </w:rPr>
              <w:t xml:space="preserve">Auditability</w:t>
            </w:r>
          </w:p>
        </w:tc>
        <w:tc>
          <w:tcPr>
            <w:tcW w:w="8500" w:type="dxa"/>
            <w:shd w:val="clear" w:color="auto" w:fill="F2F2F2"/>
            <w:tcMar>
              <w:top w:w="60" w:type="dxa"/>
              <w:left w:w="80" w:type="dxa"/>
              <w:bottom w:w="60" w:type="dxa"/>
              <w:right w:w="80" w:type="dxa"/>
            </w:tcMar>
          </w:tcPr>
          <w:p w14:paraId="43E7B004" wp14:textId="77777777">
            <w:pPr>
              <w:spacing w:after="40"/>
            </w:pPr>
            <w:r w:rsidRPr="0A324768" w:rsidR="0A324768">
              <w:rPr>
                <w:rFonts w:ascii="Calibri" w:hAnsi="Calibri" w:eastAsia="Calibri" w:cs="Calibri"/>
                <w:sz w:val="19"/>
                <w:szCs w:val="19"/>
                <w:lang w:val="en-US"/>
              </w:rPr>
              <w:t>All test evidence and defect logs must be retained in a form suitable for internal quality review, per FR-10.</w:t>
            </w:r>
          </w:p>
        </w:tc>
      </w:tr>
    </w:tbl>
    <w:p xmlns:wp14="http://schemas.microsoft.com/office/word/2010/wordml" w14:paraId="5C213AC6"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9. Environments</w:t>
      </w:r>
    </w:p>
    <w:p xmlns:wp14="http://schemas.microsoft.com/office/word/2010/wordml" w14:paraId="415AD7E5" wp14:textId="77777777">
      <w:pPr>
        <w:spacing w:after="160" w:line="276" w:lineRule="auto"/>
      </w:pPr>
      <w:r w:rsidRPr="0A324768" w:rsidR="0A324768">
        <w:rPr>
          <w:rFonts w:ascii="Calibri" w:hAnsi="Calibri" w:eastAsia="Calibri" w:cs="Calibri"/>
          <w:sz w:val="21"/>
          <w:szCs w:val="21"/>
          <w:lang w:val="en-US"/>
        </w:rPr>
        <w:t>Nexus Telecom maintains four environment tiers: Development, System Integration Testing (SIT), User Acceptance Testing (UAT), and Staging (pre-production). Vendor QA activities are expected primarily in SIT and UAT, with smoke validation in Staging ahead of monthly production releases.</w:t>
      </w:r>
    </w:p>
    <w:p xmlns:wp14="http://schemas.microsoft.com/office/word/2010/wordml" w14:paraId="28F88B55" wp14:textId="77777777">
      <w:pPr>
        <w:spacing w:after="160" w:line="276" w:lineRule="auto"/>
      </w:pPr>
      <w:r w:rsidRPr="0A324768" w:rsidR="0A324768">
        <w:rPr>
          <w:rFonts w:ascii="Calibri" w:hAnsi="Calibri" w:eastAsia="Calibri" w:cs="Calibri"/>
          <w:sz w:val="21"/>
          <w:szCs w:val="21"/>
          <w:lang w:val="en-US"/>
        </w:rPr>
        <w:t>Environment provisioning, refresh, and stability are managed by Nexus Telecom's Infrastructure team. Environment-related delays are tracked informally but are not currently subject to a formal availability SLA.</w:t>
      </w:r>
    </w:p>
    <w:p xmlns:wp14="http://schemas.microsoft.com/office/word/2010/wordml" w14:paraId="703A1AE6"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10. Out-of-Scope Items</w:t>
      </w:r>
    </w:p>
    <w:p xmlns:wp14="http://schemas.microsoft.com/office/word/2010/wordml" w14:paraId="51F0BEF0" wp14:textId="77777777">
      <w:pPr>
        <w:pStyle w:val="ListParagraph"/>
        <w:numPr>
          <w:ilvl w:val="0"/>
          <w:numId w:val="2"/>
        </w:numPr>
        <w:spacing w:after="90" w:line="276"/>
      </w:pPr>
      <w:r>
        <w:rPr>
          <w:rFonts w:ascii="Calibri" w:hAnsi="Calibri" w:eastAsia="Calibri" w:cs="Calibri"/>
          <w:sz w:val="21"/>
          <w:szCs w:val="21"/>
        </w:rPr>
        <w:t xml:space="preserve">All application development and code-level defect remediation.</w:t>
      </w:r>
    </w:p>
    <w:p xmlns:wp14="http://schemas.microsoft.com/office/word/2010/wordml" w14:paraId="09802547" wp14:textId="77777777">
      <w:pPr>
        <w:pStyle w:val="ListParagraph"/>
        <w:numPr>
          <w:ilvl w:val="0"/>
          <w:numId w:val="2"/>
        </w:numPr>
        <w:spacing w:after="90" w:line="276"/>
      </w:pPr>
      <w:r>
        <w:rPr>
          <w:rFonts w:ascii="Calibri" w:hAnsi="Calibri" w:eastAsia="Calibri" w:cs="Calibri"/>
          <w:sz w:val="21"/>
          <w:szCs w:val="21"/>
        </w:rPr>
        <w:t xml:space="preserve">Infrastructure provisioning, environment build/refresh, and CI/CD pipeline maintenance.</w:t>
      </w:r>
    </w:p>
    <w:p xmlns:wp14="http://schemas.microsoft.com/office/word/2010/wordml" w14:paraId="253075F5" wp14:textId="77777777">
      <w:pPr>
        <w:pStyle w:val="ListParagraph"/>
        <w:numPr>
          <w:ilvl w:val="0"/>
          <w:numId w:val="2"/>
        </w:numPr>
        <w:spacing w:after="90" w:line="276" w:lineRule="auto"/>
        <w:rPr/>
      </w:pPr>
      <w:r w:rsidRPr="0A324768" w:rsidR="0A324768">
        <w:rPr>
          <w:rFonts w:ascii="Calibri" w:hAnsi="Calibri" w:eastAsia="Calibri" w:cs="Calibri"/>
          <w:sz w:val="21"/>
          <w:szCs w:val="21"/>
          <w:lang w:val="en-US"/>
        </w:rPr>
        <w:t>Full-scale performance/load testing (may be considered as a future phase; not included in this engagement).</w:t>
      </w:r>
    </w:p>
    <w:p xmlns:wp14="http://schemas.microsoft.com/office/word/2010/wordml" w14:paraId="104A0C26" wp14:textId="77777777">
      <w:pPr>
        <w:pStyle w:val="ListParagraph"/>
        <w:numPr>
          <w:ilvl w:val="0"/>
          <w:numId w:val="2"/>
        </w:numPr>
        <w:spacing w:after="90" w:line="276"/>
      </w:pPr>
      <w:r>
        <w:rPr>
          <w:rFonts w:ascii="Calibri" w:hAnsi="Calibri" w:eastAsia="Calibri" w:cs="Calibri"/>
          <w:sz w:val="21"/>
          <w:szCs w:val="21"/>
        </w:rPr>
        <w:t xml:space="preserve">Regulatory/compliance-specific testing (e.g., lawful-intercept or data-retention audit support), which is handled by Customer's internal Compliance function.</w:t>
      </w:r>
    </w:p>
    <w:p xmlns:wp14="http://schemas.microsoft.com/office/word/2010/wordml" w14:paraId="2F255576" wp14:textId="77777777">
      <w:pPr>
        <w:pStyle w:val="ListParagraph"/>
        <w:numPr>
          <w:ilvl w:val="0"/>
          <w:numId w:val="2"/>
        </w:numPr>
        <w:spacing w:after="90" w:line="276"/>
      </w:pPr>
      <w:r>
        <w:rPr>
          <w:rFonts w:ascii="Calibri" w:hAnsi="Calibri" w:eastAsia="Calibri" w:cs="Calibri"/>
          <w:sz w:val="21"/>
          <w:szCs w:val="21"/>
        </w:rPr>
        <w:t xml:space="preserve">Production deployment and release management decisions.</w:t>
      </w:r>
    </w:p>
    <w:p xmlns:wp14="http://schemas.microsoft.com/office/word/2010/wordml" w14:paraId="5FB68713" wp14:textId="77777777">
      <w:pPr>
        <w:pStyle w:val="ListParagraph"/>
        <w:numPr>
          <w:ilvl w:val="0"/>
          <w:numId w:val="2"/>
        </w:numPr>
        <w:spacing w:after="90" w:line="276"/>
      </w:pPr>
      <w:r>
        <w:rPr>
          <w:rFonts w:ascii="Calibri" w:hAnsi="Calibri" w:eastAsia="Calibri" w:cs="Calibri"/>
          <w:sz w:val="21"/>
          <w:szCs w:val="21"/>
        </w:rPr>
        <w:t xml:space="preserve">Full security penetration testing (baseline security checklist validation is in scope per Section 11, FR-11; full penetration testing is not).</w:t>
      </w:r>
    </w:p>
    <w:p xmlns:wp14="http://schemas.microsoft.com/office/word/2010/wordml" w14:paraId="6D24330C" wp14:textId="77777777">
      <w:pPr>
        <w:pStyle w:val="ListParagraph"/>
        <w:numPr>
          <w:ilvl w:val="0"/>
          <w:numId w:val="2"/>
        </w:numPr>
        <w:spacing w:after="90" w:line="276"/>
      </w:pPr>
      <w:r>
        <w:rPr>
          <w:rFonts w:ascii="Calibri" w:hAnsi="Calibri" w:eastAsia="Calibri" w:cs="Calibri"/>
          <w:sz w:val="21"/>
          <w:szCs w:val="21"/>
        </w:rPr>
        <w:t xml:space="preserve">Testing of optional third-party integrations (mobile wallet, loyalty program) beyond basic connectivity checks, unless explicitly confirmed in writing (see Section 4.3).</w:t>
      </w:r>
    </w:p>
    <w:p xmlns:wp14="http://schemas.microsoft.com/office/word/2010/wordml" w14:paraId="00D3908A"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11. Functional &amp; Non-Functional Requirements (Detailed)</w:t>
      </w:r>
    </w:p>
    <w:p xmlns:wp14="http://schemas.microsoft.com/office/word/2010/wordml" w14:paraId="18F6AE8F" wp14:textId="77777777">
      <w:pPr>
        <w:spacing w:after="160" w:line="276"/>
      </w:pPr>
      <w:r>
        <w:rPr>
          <w:rFonts w:ascii="Calibri" w:hAnsi="Calibri" w:eastAsia="Calibri" w:cs="Calibri"/>
          <w:sz w:val="21"/>
          <w:szCs w:val="21"/>
        </w:rPr>
        <w:t xml:space="preserve">The following requirements define the expected QA scope in detail. Vendors should review dependencies and notes carefully and raise clarification questions where information is incomplete.</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00"/>
        <w:gridCol w:w="2400"/>
        <w:gridCol w:w="2050"/>
        <w:gridCol w:w="2050"/>
      </w:tblGrid>
      <w:tr xmlns:wp14="http://schemas.microsoft.com/office/word/2010/wordml" w:rsidTr="7B4BFEA9" w14:paraId="5D43EB54" wp14:textId="77777777">
        <w:trPr>
          <w:tblHeader/>
        </w:trPr>
        <w:tc>
          <w:tcPr>
            <w:tcW w:w="700" w:type="dxa"/>
            <w:shd w:val="clear" w:color="auto" w:fill="1F3864"/>
            <w:tcMar>
              <w:top w:w="60" w:type="dxa"/>
              <w:left w:w="80" w:type="dxa"/>
              <w:bottom w:w="60" w:type="dxa"/>
              <w:right w:w="80" w:type="dxa"/>
            </w:tcMar>
            <w:vAlign w:val="center"/>
          </w:tcPr>
          <w:p w14:paraId="0A970367" wp14:textId="77777777">
            <w:r>
              <w:rPr>
                <w:rFonts w:ascii="Calibri" w:hAnsi="Calibri" w:eastAsia="Calibri" w:cs="Calibri"/>
                <w:b/>
                <w:bCs/>
                <w:color w:val="FFFFFF"/>
                <w:sz w:val="18"/>
                <w:szCs w:val="18"/>
              </w:rPr>
              <w:t xml:space="preserve">ID</w:t>
            </w:r>
          </w:p>
        </w:tc>
        <w:tc>
          <w:tcPr>
            <w:tcW w:w="1500" w:type="dxa"/>
            <w:shd w:val="clear" w:color="auto" w:fill="1F3864"/>
            <w:tcMar>
              <w:top w:w="60" w:type="dxa"/>
              <w:left w:w="80" w:type="dxa"/>
              <w:bottom w:w="60" w:type="dxa"/>
              <w:right w:w="80" w:type="dxa"/>
            </w:tcMar>
            <w:vAlign w:val="center"/>
          </w:tcPr>
          <w:p w14:paraId="380A14DC" wp14:textId="77777777">
            <w:r>
              <w:rPr>
                <w:rFonts w:ascii="Calibri" w:hAnsi="Calibri" w:eastAsia="Calibri" w:cs="Calibri"/>
                <w:b/>
                <w:bCs/>
                <w:color w:val="FFFFFF"/>
                <w:sz w:val="18"/>
                <w:szCs w:val="18"/>
              </w:rPr>
              <w:t xml:space="preserve">Feature</w:t>
            </w:r>
          </w:p>
        </w:tc>
        <w:tc>
          <w:tcPr>
            <w:tcW w:w="2400" w:type="dxa"/>
            <w:shd w:val="clear" w:color="auto" w:fill="1F3864"/>
            <w:tcMar>
              <w:top w:w="60" w:type="dxa"/>
              <w:left w:w="80" w:type="dxa"/>
              <w:bottom w:w="60" w:type="dxa"/>
              <w:right w:w="80" w:type="dxa"/>
            </w:tcMar>
            <w:vAlign w:val="center"/>
          </w:tcPr>
          <w:p w14:paraId="34C0314F" wp14:textId="77777777">
            <w:r>
              <w:rPr>
                <w:rFonts w:ascii="Calibri" w:hAnsi="Calibri" w:eastAsia="Calibri" w:cs="Calibri"/>
                <w:b/>
                <w:bCs/>
                <w:color w:val="FFFFFF"/>
                <w:sz w:val="18"/>
                <w:szCs w:val="18"/>
              </w:rPr>
              <w:t xml:space="preserve">Business Logic</w:t>
            </w:r>
          </w:p>
        </w:tc>
        <w:tc>
          <w:tcPr>
            <w:tcW w:w="2400" w:type="dxa"/>
            <w:shd w:val="clear" w:color="auto" w:fill="1F3864"/>
            <w:tcMar>
              <w:top w:w="60" w:type="dxa"/>
              <w:left w:w="80" w:type="dxa"/>
              <w:bottom w:w="60" w:type="dxa"/>
              <w:right w:w="80" w:type="dxa"/>
            </w:tcMar>
            <w:vAlign w:val="center"/>
          </w:tcPr>
          <w:p w14:paraId="70B21261" wp14:textId="77777777">
            <w:r w:rsidRPr="0A324768" w:rsidR="0A324768">
              <w:rPr>
                <w:rFonts w:ascii="Calibri" w:hAnsi="Calibri" w:eastAsia="Calibri" w:cs="Calibri"/>
                <w:b w:val="1"/>
                <w:bCs w:val="1"/>
                <w:color w:val="FFFFFF"/>
                <w:sz w:val="18"/>
                <w:szCs w:val="18"/>
                <w:lang w:val="en-US"/>
              </w:rPr>
              <w:t>Expected Behaviour</w:t>
            </w:r>
          </w:p>
        </w:tc>
        <w:tc>
          <w:tcPr>
            <w:tcW w:w="2050" w:type="dxa"/>
            <w:shd w:val="clear" w:color="auto" w:fill="1F3864"/>
            <w:tcMar>
              <w:top w:w="60" w:type="dxa"/>
              <w:left w:w="80" w:type="dxa"/>
              <w:bottom w:w="60" w:type="dxa"/>
              <w:right w:w="80" w:type="dxa"/>
            </w:tcMar>
            <w:vAlign w:val="center"/>
          </w:tcPr>
          <w:p w14:paraId="5A806041" wp14:textId="77777777">
            <w:r>
              <w:rPr>
                <w:rFonts w:ascii="Calibri" w:hAnsi="Calibri" w:eastAsia="Calibri" w:cs="Calibri"/>
                <w:b/>
                <w:bCs/>
                <w:color w:val="FFFFFF"/>
                <w:sz w:val="18"/>
                <w:szCs w:val="18"/>
              </w:rPr>
              <w:t xml:space="preserve">Dependencies</w:t>
            </w:r>
          </w:p>
        </w:tc>
        <w:tc>
          <w:tcPr>
            <w:tcW w:w="2050" w:type="dxa"/>
            <w:shd w:val="clear" w:color="auto" w:fill="1F3864"/>
            <w:tcMar>
              <w:top w:w="60" w:type="dxa"/>
              <w:left w:w="80" w:type="dxa"/>
              <w:bottom w:w="60" w:type="dxa"/>
              <w:right w:w="80" w:type="dxa"/>
            </w:tcMar>
            <w:vAlign w:val="center"/>
          </w:tcPr>
          <w:p w14:paraId="25546E3C" wp14:textId="77777777">
            <w:r>
              <w:rPr>
                <w:rFonts w:ascii="Calibri" w:hAnsi="Calibri" w:eastAsia="Calibri" w:cs="Calibri"/>
                <w:b/>
                <w:bCs/>
                <w:color w:val="FFFFFF"/>
                <w:sz w:val="18"/>
                <w:szCs w:val="18"/>
              </w:rPr>
              <w:t xml:space="preserve">Notes</w:t>
            </w:r>
          </w:p>
        </w:tc>
      </w:tr>
      <w:tr xmlns:wp14="http://schemas.microsoft.com/office/word/2010/wordml" w:rsidTr="7B4BFEA9" w14:paraId="62FF932E" wp14:textId="77777777">
        <w:tc>
          <w:tcPr>
            <w:tcW w:w="700" w:type="dxa"/>
            <w:tcMar>
              <w:top w:w="60" w:type="dxa"/>
              <w:left w:w="80" w:type="dxa"/>
              <w:bottom w:w="60" w:type="dxa"/>
              <w:right w:w="80" w:type="dxa"/>
            </w:tcMar>
          </w:tcPr>
          <w:p w14:paraId="0B405DA4" wp14:textId="77777777">
            <w:pPr>
              <w:spacing w:after="40"/>
            </w:pPr>
            <w:r>
              <w:rPr>
                <w:rFonts w:ascii="Calibri" w:hAnsi="Calibri" w:eastAsia="Calibri" w:cs="Calibri"/>
                <w:sz w:val="19"/>
                <w:szCs w:val="19"/>
              </w:rPr>
              <w:t xml:space="preserve">FR-01</w:t>
            </w:r>
          </w:p>
        </w:tc>
        <w:tc>
          <w:tcPr>
            <w:tcW w:w="1500" w:type="dxa"/>
            <w:tcMar>
              <w:top w:w="60" w:type="dxa"/>
              <w:left w:w="80" w:type="dxa"/>
              <w:bottom w:w="60" w:type="dxa"/>
              <w:right w:w="80" w:type="dxa"/>
            </w:tcMar>
          </w:tcPr>
          <w:p w14:paraId="58585F83" wp14:textId="77777777">
            <w:pPr>
              <w:spacing w:after="40"/>
            </w:pPr>
            <w:r>
              <w:rPr>
                <w:rFonts w:ascii="Calibri" w:hAnsi="Calibri" w:eastAsia="Calibri" w:cs="Calibri"/>
                <w:sz w:val="19"/>
                <w:szCs w:val="19"/>
              </w:rPr>
              <w:t xml:space="preserve">UI Test Coverage</w:t>
            </w:r>
          </w:p>
        </w:tc>
        <w:tc>
          <w:tcPr>
            <w:tcW w:w="2400" w:type="dxa"/>
            <w:tcMar>
              <w:top w:w="60" w:type="dxa"/>
              <w:left w:w="80" w:type="dxa"/>
              <w:bottom w:w="60" w:type="dxa"/>
              <w:right w:w="80" w:type="dxa"/>
            </w:tcMar>
          </w:tcPr>
          <w:p w14:paraId="20122554" wp14:textId="77777777">
            <w:pPr>
              <w:spacing w:after="40"/>
            </w:pPr>
            <w:r>
              <w:rPr>
                <w:rFonts w:ascii="Calibri" w:hAnsi="Calibri" w:eastAsia="Calibri" w:cs="Calibri"/>
                <w:sz w:val="19"/>
                <w:szCs w:val="19"/>
              </w:rPr>
              <w:t xml:space="preserve">Validate all customer-facing screens (self-care web/app portal, agent portal) against approved UX designs.</w:t>
            </w:r>
          </w:p>
        </w:tc>
        <w:tc>
          <w:tcPr>
            <w:tcW w:w="2400" w:type="dxa"/>
            <w:tcMar>
              <w:top w:w="60" w:type="dxa"/>
              <w:left w:w="80" w:type="dxa"/>
              <w:bottom w:w="60" w:type="dxa"/>
              <w:right w:w="80" w:type="dxa"/>
            </w:tcMar>
          </w:tcPr>
          <w:p w14:paraId="0331F52E" wp14:textId="77777777">
            <w:pPr>
              <w:spacing w:after="40"/>
            </w:pPr>
            <w:r>
              <w:rPr>
                <w:rFonts w:ascii="Calibri" w:hAnsi="Calibri" w:eastAsia="Calibri" w:cs="Calibri"/>
                <w:sz w:val="19"/>
                <w:szCs w:val="19"/>
              </w:rPr>
              <w:t xml:space="preserve">Each in-scope UI screen is functionally tested across the defined browser/device matrix prior to release sign-off.</w:t>
            </w:r>
          </w:p>
        </w:tc>
        <w:tc>
          <w:tcPr>
            <w:tcW w:w="2050" w:type="dxa"/>
            <w:tcMar>
              <w:top w:w="60" w:type="dxa"/>
              <w:left w:w="80" w:type="dxa"/>
              <w:bottom w:w="60" w:type="dxa"/>
              <w:right w:w="80" w:type="dxa"/>
            </w:tcMar>
          </w:tcPr>
          <w:p w14:paraId="18C516A3" wp14:textId="77777777">
            <w:pPr>
              <w:spacing w:after="40"/>
            </w:pPr>
            <w:r w:rsidRPr="0A324768" w:rsidR="0A324768">
              <w:rPr>
                <w:rFonts w:ascii="Calibri" w:hAnsi="Calibri" w:eastAsia="Calibri" w:cs="Calibri"/>
                <w:sz w:val="19"/>
                <w:szCs w:val="19"/>
                <w:lang w:val="en-US"/>
              </w:rPr>
              <w:t>Finalized UI designs from Customer UX team; approved browser/device matrix.</w:t>
            </w:r>
          </w:p>
        </w:tc>
        <w:tc>
          <w:tcPr>
            <w:tcW w:w="2050" w:type="dxa"/>
            <w:tcMar>
              <w:top w:w="60" w:type="dxa"/>
              <w:left w:w="80" w:type="dxa"/>
              <w:bottom w:w="60" w:type="dxa"/>
              <w:right w:w="80" w:type="dxa"/>
            </w:tcMar>
          </w:tcPr>
          <w:p w14:paraId="37B3B380" wp14:textId="77777777">
            <w:pPr>
              <w:spacing w:after="40"/>
            </w:pPr>
            <w:r w:rsidRPr="0A324768" w:rsidR="0A324768">
              <w:rPr>
                <w:rFonts w:ascii="Calibri" w:hAnsi="Calibri" w:eastAsia="Calibri" w:cs="Calibri"/>
                <w:sz w:val="19"/>
                <w:szCs w:val="19"/>
                <w:lang w:val="en-US"/>
              </w:rPr>
              <w:t>Browser/device matrix is not yet finalized by Customer.</w:t>
            </w:r>
          </w:p>
        </w:tc>
      </w:tr>
      <w:tr xmlns:wp14="http://schemas.microsoft.com/office/word/2010/wordml" w:rsidTr="7B4BFEA9" w14:paraId="6E12FD44" wp14:textId="77777777">
        <w:tc>
          <w:tcPr>
            <w:tcW w:w="700" w:type="dxa"/>
            <w:shd w:val="clear" w:color="auto" w:fill="F2F2F2"/>
            <w:tcMar>
              <w:top w:w="60" w:type="dxa"/>
              <w:left w:w="80" w:type="dxa"/>
              <w:bottom w:w="60" w:type="dxa"/>
              <w:right w:w="80" w:type="dxa"/>
            </w:tcMar>
          </w:tcPr>
          <w:p w14:paraId="699A7967" wp14:textId="77777777">
            <w:pPr>
              <w:spacing w:after="40"/>
            </w:pPr>
            <w:r>
              <w:rPr>
                <w:rFonts w:ascii="Calibri" w:hAnsi="Calibri" w:eastAsia="Calibri" w:cs="Calibri"/>
                <w:sz w:val="19"/>
                <w:szCs w:val="19"/>
              </w:rPr>
              <w:t xml:space="preserve">FR-02</w:t>
            </w:r>
          </w:p>
        </w:tc>
        <w:tc>
          <w:tcPr>
            <w:tcW w:w="1500" w:type="dxa"/>
            <w:shd w:val="clear" w:color="auto" w:fill="F2F2F2"/>
            <w:tcMar>
              <w:top w:w="60" w:type="dxa"/>
              <w:left w:w="80" w:type="dxa"/>
              <w:bottom w:w="60" w:type="dxa"/>
              <w:right w:w="80" w:type="dxa"/>
            </w:tcMar>
          </w:tcPr>
          <w:p w14:paraId="0586D2EF" wp14:textId="77777777">
            <w:pPr>
              <w:spacing w:after="40"/>
            </w:pPr>
            <w:r>
              <w:rPr>
                <w:rFonts w:ascii="Calibri" w:hAnsi="Calibri" w:eastAsia="Calibri" w:cs="Calibri"/>
                <w:sz w:val="19"/>
                <w:szCs w:val="19"/>
              </w:rPr>
              <w:t xml:space="preserve">API Test Coverage</w:t>
            </w:r>
          </w:p>
        </w:tc>
        <w:tc>
          <w:tcPr>
            <w:tcW w:w="2400" w:type="dxa"/>
            <w:shd w:val="clear" w:color="auto" w:fill="F2F2F2"/>
            <w:tcMar>
              <w:top w:w="60" w:type="dxa"/>
              <w:left w:w="80" w:type="dxa"/>
              <w:bottom w:w="60" w:type="dxa"/>
              <w:right w:w="80" w:type="dxa"/>
            </w:tcMar>
          </w:tcPr>
          <w:p w14:paraId="6900DD69" wp14:textId="77777777">
            <w:pPr>
              <w:spacing w:after="40"/>
            </w:pPr>
            <w:r>
              <w:rPr>
                <w:rFonts w:ascii="Calibri" w:hAnsi="Calibri" w:eastAsia="Calibri" w:cs="Calibri"/>
                <w:sz w:val="19"/>
                <w:szCs w:val="19"/>
              </w:rPr>
              <w:t xml:space="preserve">Validate REST/SOAP APIs exposed by billing, provisioning, and CRM subsystems.</w:t>
            </w:r>
          </w:p>
        </w:tc>
        <w:tc>
          <w:tcPr>
            <w:tcW w:w="2400" w:type="dxa"/>
            <w:shd w:val="clear" w:color="auto" w:fill="F2F2F2"/>
            <w:tcMar>
              <w:top w:w="60" w:type="dxa"/>
              <w:left w:w="80" w:type="dxa"/>
              <w:bottom w:w="60" w:type="dxa"/>
              <w:right w:w="80" w:type="dxa"/>
            </w:tcMar>
          </w:tcPr>
          <w:p w14:paraId="637808D0" wp14:textId="77777777">
            <w:pPr>
              <w:spacing w:after="40"/>
            </w:pPr>
            <w:r>
              <w:rPr>
                <w:rFonts w:ascii="Calibri" w:hAnsi="Calibri" w:eastAsia="Calibri" w:cs="Calibri"/>
                <w:sz w:val="19"/>
                <w:szCs w:val="19"/>
              </w:rPr>
              <w:t xml:space="preserve">100% of documented API endpoints covered by functional test cases; contract-level checks for backward compatibility.</w:t>
            </w:r>
          </w:p>
        </w:tc>
        <w:tc>
          <w:tcPr>
            <w:tcW w:w="2050" w:type="dxa"/>
            <w:shd w:val="clear" w:color="auto" w:fill="F2F2F2"/>
            <w:tcMar>
              <w:top w:w="60" w:type="dxa"/>
              <w:left w:w="80" w:type="dxa"/>
              <w:bottom w:w="60" w:type="dxa"/>
              <w:right w:w="80" w:type="dxa"/>
            </w:tcMar>
          </w:tcPr>
          <w:p w14:paraId="592034BD" wp14:textId="77777777">
            <w:pPr>
              <w:spacing w:after="40"/>
            </w:pPr>
            <w:r w:rsidRPr="0A324768" w:rsidR="0A324768">
              <w:rPr>
                <w:rFonts w:ascii="Calibri" w:hAnsi="Calibri" w:eastAsia="Calibri" w:cs="Calibri"/>
                <w:sz w:val="19"/>
                <w:szCs w:val="19"/>
                <w:lang w:val="en-US"/>
              </w:rPr>
              <w:t>Current API/Swagger specifications from Customer development teams.</w:t>
            </w:r>
          </w:p>
        </w:tc>
        <w:tc>
          <w:tcPr>
            <w:tcW w:w="2050" w:type="dxa"/>
            <w:shd w:val="clear" w:color="auto" w:fill="F2F2F2"/>
            <w:tcMar>
              <w:top w:w="60" w:type="dxa"/>
              <w:left w:w="80" w:type="dxa"/>
              <w:bottom w:w="60" w:type="dxa"/>
              <w:right w:w="80" w:type="dxa"/>
            </w:tcMar>
          </w:tcPr>
          <w:p w14:paraId="0ACD83F3" wp14:textId="77777777">
            <w:pPr>
              <w:spacing w:after="40"/>
            </w:pPr>
            <w:r>
              <w:rPr>
                <w:rFonts w:ascii="Calibri" w:hAnsi="Calibri" w:eastAsia="Calibri" w:cs="Calibri"/>
                <w:sz w:val="19"/>
                <w:szCs w:val="19"/>
              </w:rPr>
              <w:t xml:space="preserve">Customer estimates existing API documentation is only ~70% current.</w:t>
            </w:r>
          </w:p>
        </w:tc>
      </w:tr>
      <w:tr xmlns:wp14="http://schemas.microsoft.com/office/word/2010/wordml" w:rsidTr="7B4BFEA9" w14:paraId="55D90E43" wp14:textId="77777777">
        <w:tc>
          <w:tcPr>
            <w:tcW w:w="700" w:type="dxa"/>
            <w:tcMar>
              <w:top w:w="60" w:type="dxa"/>
              <w:left w:w="80" w:type="dxa"/>
              <w:bottom w:w="60" w:type="dxa"/>
              <w:right w:w="80" w:type="dxa"/>
            </w:tcMar>
          </w:tcPr>
          <w:p w14:paraId="515F354E" wp14:textId="77777777">
            <w:pPr>
              <w:spacing w:after="40"/>
            </w:pPr>
            <w:r>
              <w:rPr>
                <w:rFonts w:ascii="Calibri" w:hAnsi="Calibri" w:eastAsia="Calibri" w:cs="Calibri"/>
                <w:sz w:val="19"/>
                <w:szCs w:val="19"/>
              </w:rPr>
              <w:t xml:space="preserve">FR-03</w:t>
            </w:r>
          </w:p>
        </w:tc>
        <w:tc>
          <w:tcPr>
            <w:tcW w:w="1500" w:type="dxa"/>
            <w:tcMar>
              <w:top w:w="60" w:type="dxa"/>
              <w:left w:w="80" w:type="dxa"/>
              <w:bottom w:w="60" w:type="dxa"/>
              <w:right w:w="80" w:type="dxa"/>
            </w:tcMar>
          </w:tcPr>
          <w:p w14:paraId="3CECC87A" wp14:textId="77777777">
            <w:pPr>
              <w:spacing w:after="40"/>
            </w:pPr>
            <w:r>
              <w:rPr>
                <w:rFonts w:ascii="Calibri" w:hAnsi="Calibri" w:eastAsia="Calibri" w:cs="Calibri"/>
                <w:sz w:val="19"/>
                <w:szCs w:val="19"/>
              </w:rPr>
              <w:t xml:space="preserve">Manual / Exploratory Testing</w:t>
            </w:r>
          </w:p>
        </w:tc>
        <w:tc>
          <w:tcPr>
            <w:tcW w:w="2400" w:type="dxa"/>
            <w:tcMar>
              <w:top w:w="60" w:type="dxa"/>
              <w:left w:w="80" w:type="dxa"/>
              <w:bottom w:w="60" w:type="dxa"/>
              <w:right w:w="80" w:type="dxa"/>
            </w:tcMar>
          </w:tcPr>
          <w:p w14:paraId="6977D4E4" wp14:textId="77777777">
            <w:pPr>
              <w:spacing w:after="40"/>
            </w:pPr>
            <w:r w:rsidRPr="0A324768" w:rsidR="0A324768">
              <w:rPr>
                <w:rFonts w:ascii="Calibri" w:hAnsi="Calibri" w:eastAsia="Calibri" w:cs="Calibri"/>
                <w:sz w:val="19"/>
                <w:szCs w:val="19"/>
                <w:lang w:val="en-US"/>
              </w:rPr>
              <w:t>Cover complex operator workflows not easily automated (e.g., multi-step provisioning, SIM swap, number portability).</w:t>
            </w:r>
          </w:p>
        </w:tc>
        <w:tc>
          <w:tcPr>
            <w:tcW w:w="2400" w:type="dxa"/>
            <w:tcMar>
              <w:top w:w="60" w:type="dxa"/>
              <w:left w:w="80" w:type="dxa"/>
              <w:bottom w:w="60" w:type="dxa"/>
              <w:right w:w="80" w:type="dxa"/>
            </w:tcMar>
          </w:tcPr>
          <w:p w14:paraId="4CB56405" wp14:textId="77777777">
            <w:pPr>
              <w:spacing w:after="40"/>
            </w:pPr>
            <w:r w:rsidRPr="0A324768" w:rsidR="0A324768">
              <w:rPr>
                <w:rFonts w:ascii="Calibri" w:hAnsi="Calibri" w:eastAsia="Calibri" w:cs="Calibri"/>
                <w:sz w:val="19"/>
                <w:szCs w:val="19"/>
                <w:lang w:val="en-US"/>
              </w:rPr>
              <w:t>Structured exploratory charters executed each sprint, with findings logged as defects.</w:t>
            </w:r>
          </w:p>
        </w:tc>
        <w:tc>
          <w:tcPr>
            <w:tcW w:w="2050" w:type="dxa"/>
            <w:tcMar>
              <w:top w:w="60" w:type="dxa"/>
              <w:left w:w="80" w:type="dxa"/>
              <w:bottom w:w="60" w:type="dxa"/>
              <w:right w:w="80" w:type="dxa"/>
            </w:tcMar>
          </w:tcPr>
          <w:p w14:paraId="5CD83C7D" wp14:textId="77777777">
            <w:pPr>
              <w:spacing w:after="40"/>
            </w:pPr>
            <w:r>
              <w:rPr>
                <w:rFonts w:ascii="Calibri" w:hAnsi="Calibri" w:eastAsia="Calibri" w:cs="Calibri"/>
                <w:sz w:val="19"/>
                <w:szCs w:val="19"/>
              </w:rPr>
              <w:t xml:space="preserve">Access to a test environment populated with representative subscriber data.</w:t>
            </w:r>
          </w:p>
        </w:tc>
        <w:tc>
          <w:tcPr>
            <w:tcW w:w="2050" w:type="dxa"/>
            <w:tcMar>
              <w:top w:w="60" w:type="dxa"/>
              <w:left w:w="80" w:type="dxa"/>
              <w:bottom w:w="60" w:type="dxa"/>
              <w:right w:w="80" w:type="dxa"/>
            </w:tcMar>
          </w:tcPr>
          <w:p w14:paraId="37315CD6" wp14:textId="77777777">
            <w:pPr>
              <w:spacing w:after="40"/>
            </w:pPr>
            <w:r>
              <w:rPr>
                <w:rFonts w:ascii="Calibri" w:hAnsi="Calibri" w:eastAsia="Calibri" w:cs="Calibri"/>
                <w:sz w:val="19"/>
                <w:szCs w:val="19"/>
              </w:rPr>
              <w:t xml:space="preserve">Volume and composition of "representative subscriber data" is not defined.</w:t>
            </w:r>
          </w:p>
        </w:tc>
      </w:tr>
      <w:tr xmlns:wp14="http://schemas.microsoft.com/office/word/2010/wordml" w:rsidTr="7B4BFEA9" w14:paraId="5AAD2811" wp14:textId="77777777">
        <w:tc>
          <w:tcPr>
            <w:tcW w:w="700" w:type="dxa"/>
            <w:shd w:val="clear" w:color="auto" w:fill="F2F2F2"/>
            <w:tcMar>
              <w:top w:w="60" w:type="dxa"/>
              <w:left w:w="80" w:type="dxa"/>
              <w:bottom w:w="60" w:type="dxa"/>
              <w:right w:w="80" w:type="dxa"/>
            </w:tcMar>
          </w:tcPr>
          <w:p w14:paraId="55D4EC62" wp14:textId="77777777">
            <w:pPr>
              <w:spacing w:after="40"/>
            </w:pPr>
            <w:r>
              <w:rPr>
                <w:rFonts w:ascii="Calibri" w:hAnsi="Calibri" w:eastAsia="Calibri" w:cs="Calibri"/>
                <w:sz w:val="19"/>
                <w:szCs w:val="19"/>
              </w:rPr>
              <w:t xml:space="preserve">FR-04</w:t>
            </w:r>
          </w:p>
        </w:tc>
        <w:tc>
          <w:tcPr>
            <w:tcW w:w="1500" w:type="dxa"/>
            <w:shd w:val="clear" w:color="auto" w:fill="F2F2F2"/>
            <w:tcMar>
              <w:top w:w="60" w:type="dxa"/>
              <w:left w:w="80" w:type="dxa"/>
              <w:bottom w:w="60" w:type="dxa"/>
              <w:right w:w="80" w:type="dxa"/>
            </w:tcMar>
          </w:tcPr>
          <w:p w14:paraId="2819C57A" wp14:textId="77777777">
            <w:pPr>
              <w:spacing w:after="40"/>
            </w:pPr>
            <w:r>
              <w:rPr>
                <w:rFonts w:ascii="Calibri" w:hAnsi="Calibri" w:eastAsia="Calibri" w:cs="Calibri"/>
                <w:sz w:val="19"/>
                <w:szCs w:val="19"/>
              </w:rPr>
              <w:t xml:space="preserve">Regression Test Automation</w:t>
            </w:r>
          </w:p>
        </w:tc>
        <w:tc>
          <w:tcPr>
            <w:tcW w:w="2400" w:type="dxa"/>
            <w:shd w:val="clear" w:color="auto" w:fill="F2F2F2"/>
            <w:tcMar>
              <w:top w:w="60" w:type="dxa"/>
              <w:left w:w="80" w:type="dxa"/>
              <w:bottom w:w="60" w:type="dxa"/>
              <w:right w:w="80" w:type="dxa"/>
            </w:tcMar>
          </w:tcPr>
          <w:p w14:paraId="789FC50B" wp14:textId="77777777">
            <w:pPr>
              <w:spacing w:after="40"/>
            </w:pPr>
            <w:r w:rsidRPr="0A324768" w:rsidR="0A324768">
              <w:rPr>
                <w:rFonts w:ascii="Calibri" w:hAnsi="Calibri" w:eastAsia="Calibri" w:cs="Calibri"/>
                <w:sz w:val="19"/>
                <w:szCs w:val="19"/>
                <w:lang w:val="en-US"/>
              </w:rPr>
              <w:t>Build and maintain an automated regression suite for core operator workflows.</w:t>
            </w:r>
          </w:p>
        </w:tc>
        <w:tc>
          <w:tcPr>
            <w:tcW w:w="2400" w:type="dxa"/>
            <w:shd w:val="clear" w:color="auto" w:fill="F2F2F2"/>
            <w:tcMar>
              <w:top w:w="60" w:type="dxa"/>
              <w:left w:w="80" w:type="dxa"/>
              <w:bottom w:w="60" w:type="dxa"/>
              <w:right w:w="80" w:type="dxa"/>
            </w:tcMar>
          </w:tcPr>
          <w:p w14:paraId="2AD1DC8D" wp14:textId="77777777">
            <w:pPr>
              <w:spacing w:after="40"/>
            </w:pPr>
            <w:r>
              <w:rPr>
                <w:rFonts w:ascii="Calibri" w:hAnsi="Calibri" w:eastAsia="Calibri" w:cs="Calibri"/>
                <w:sz w:val="19"/>
                <w:szCs w:val="19"/>
              </w:rPr>
              <w:t xml:space="preserve">Automation coverage target of 70% of the regression suite achieved by end of Phase 2 (Month 6).</w:t>
            </w:r>
          </w:p>
        </w:tc>
        <w:tc>
          <w:tcPr>
            <w:tcW w:w="2050" w:type="dxa"/>
            <w:shd w:val="clear" w:color="auto" w:fill="F2F2F2"/>
            <w:tcMar>
              <w:top w:w="60" w:type="dxa"/>
              <w:left w:w="80" w:type="dxa"/>
              <w:bottom w:w="60" w:type="dxa"/>
              <w:right w:w="80" w:type="dxa"/>
            </w:tcMar>
          </w:tcPr>
          <w:p w14:paraId="0D0BEDD5" wp14:textId="77777777">
            <w:pPr>
              <w:spacing w:after="40"/>
            </w:pPr>
            <w:r>
              <w:rPr>
                <w:rFonts w:ascii="Calibri" w:hAnsi="Calibri" w:eastAsia="Calibri" w:cs="Calibri"/>
                <w:sz w:val="19"/>
                <w:szCs w:val="19"/>
              </w:rPr>
              <w:t xml:space="preserve">Stable UI/API selectors; automation framework integrated with Customer's CI/CD pipeline.</w:t>
            </w:r>
          </w:p>
        </w:tc>
        <w:tc>
          <w:tcPr>
            <w:tcW w:w="2050" w:type="dxa"/>
            <w:shd w:val="clear" w:color="auto" w:fill="F2F2F2"/>
            <w:tcMar>
              <w:top w:w="60" w:type="dxa"/>
              <w:left w:w="80" w:type="dxa"/>
              <w:bottom w:w="60" w:type="dxa"/>
              <w:right w:w="80" w:type="dxa"/>
            </w:tcMar>
          </w:tcPr>
          <w:p w14:paraId="4ED60523" wp14:textId="77777777">
            <w:pPr>
              <w:spacing w:after="40"/>
            </w:pPr>
            <w:r w:rsidRPr="0A324768" w:rsidR="0A324768">
              <w:rPr>
                <w:rFonts w:ascii="Calibri" w:hAnsi="Calibri" w:eastAsia="Calibri" w:cs="Calibri"/>
                <w:sz w:val="19"/>
                <w:szCs w:val="19"/>
                <w:lang w:val="en-US"/>
              </w:rPr>
              <w:t>Compare against Appendix C, which states a different automation baseline expectation.</w:t>
            </w:r>
          </w:p>
        </w:tc>
      </w:tr>
      <w:tr xmlns:wp14="http://schemas.microsoft.com/office/word/2010/wordml" w:rsidTr="7B4BFEA9" w14:paraId="5FC7A12F" wp14:textId="77777777">
        <w:tc>
          <w:tcPr>
            <w:tcW w:w="700" w:type="dxa"/>
            <w:tcMar>
              <w:top w:w="60" w:type="dxa"/>
              <w:left w:w="80" w:type="dxa"/>
              <w:bottom w:w="60" w:type="dxa"/>
              <w:right w:w="80" w:type="dxa"/>
            </w:tcMar>
          </w:tcPr>
          <w:p w14:paraId="21A18B2F" wp14:textId="77777777">
            <w:pPr>
              <w:spacing w:after="40"/>
            </w:pPr>
            <w:r>
              <w:rPr>
                <w:rFonts w:ascii="Calibri" w:hAnsi="Calibri" w:eastAsia="Calibri" w:cs="Calibri"/>
                <w:sz w:val="19"/>
                <w:szCs w:val="19"/>
              </w:rPr>
              <w:t xml:space="preserve">FR-05</w:t>
            </w:r>
          </w:p>
        </w:tc>
        <w:tc>
          <w:tcPr>
            <w:tcW w:w="1500" w:type="dxa"/>
            <w:tcMar>
              <w:top w:w="60" w:type="dxa"/>
              <w:left w:w="80" w:type="dxa"/>
              <w:bottom w:w="60" w:type="dxa"/>
              <w:right w:w="80" w:type="dxa"/>
            </w:tcMar>
          </w:tcPr>
          <w:p w14:paraId="5D0B69BE" wp14:textId="77777777">
            <w:pPr>
              <w:spacing w:after="40"/>
            </w:pPr>
            <w:r>
              <w:rPr>
                <w:rFonts w:ascii="Calibri" w:hAnsi="Calibri" w:eastAsia="Calibri" w:cs="Calibri"/>
                <w:sz w:val="19"/>
                <w:szCs w:val="19"/>
              </w:rPr>
              <w:t xml:space="preserve">Defect Management &amp; Triage</w:t>
            </w:r>
          </w:p>
        </w:tc>
        <w:tc>
          <w:tcPr>
            <w:tcW w:w="2400" w:type="dxa"/>
            <w:tcMar>
              <w:top w:w="60" w:type="dxa"/>
              <w:left w:w="80" w:type="dxa"/>
              <w:bottom w:w="60" w:type="dxa"/>
              <w:right w:w="80" w:type="dxa"/>
            </w:tcMar>
          </w:tcPr>
          <w:p w14:paraId="6E015CC7" wp14:textId="77777777">
            <w:pPr>
              <w:spacing w:after="40"/>
            </w:pPr>
            <w:r w:rsidRPr="0A324768" w:rsidR="0A324768">
              <w:rPr>
                <w:rFonts w:ascii="Calibri" w:hAnsi="Calibri" w:eastAsia="Calibri" w:cs="Calibri"/>
                <w:sz w:val="19"/>
                <w:szCs w:val="19"/>
                <w:lang w:val="en-US"/>
              </w:rPr>
              <w:t>All defects identified during testing are logged, triaged, and tracked through to closure.</w:t>
            </w:r>
          </w:p>
        </w:tc>
        <w:tc>
          <w:tcPr>
            <w:tcW w:w="2400" w:type="dxa"/>
            <w:tcMar>
              <w:top w:w="60" w:type="dxa"/>
              <w:left w:w="80" w:type="dxa"/>
              <w:bottom w:w="60" w:type="dxa"/>
              <w:right w:w="80" w:type="dxa"/>
            </w:tcMar>
          </w:tcPr>
          <w:p w14:paraId="4BA69609" wp14:textId="77777777">
            <w:pPr>
              <w:spacing w:after="40"/>
            </w:pPr>
            <w:r>
              <w:rPr>
                <w:rFonts w:ascii="Calibri" w:hAnsi="Calibri" w:eastAsia="Calibri" w:cs="Calibri"/>
                <w:sz w:val="19"/>
                <w:szCs w:val="19"/>
              </w:rPr>
              <w:t xml:space="preserve">Defects triaged within the agreed SLA window following discovery.</w:t>
            </w:r>
          </w:p>
        </w:tc>
        <w:tc>
          <w:tcPr>
            <w:tcW w:w="2050" w:type="dxa"/>
            <w:tcMar>
              <w:top w:w="60" w:type="dxa"/>
              <w:left w:w="80" w:type="dxa"/>
              <w:bottom w:w="60" w:type="dxa"/>
              <w:right w:w="80" w:type="dxa"/>
            </w:tcMar>
          </w:tcPr>
          <w:p w14:paraId="70997437" wp14:textId="77777777">
            <w:pPr>
              <w:spacing w:after="40"/>
            </w:pPr>
            <w:r w:rsidRPr="0A324768" w:rsidR="0A324768">
              <w:rPr>
                <w:rFonts w:ascii="Calibri" w:hAnsi="Calibri" w:eastAsia="Calibri" w:cs="Calibri"/>
                <w:sz w:val="19"/>
                <w:szCs w:val="19"/>
                <w:lang w:val="en-US"/>
              </w:rPr>
              <w:t>Access to Customer's defect tracking tool.</w:t>
            </w:r>
          </w:p>
        </w:tc>
        <w:tc>
          <w:tcPr>
            <w:tcW w:w="2050" w:type="dxa"/>
            <w:tcMar>
              <w:top w:w="60" w:type="dxa"/>
              <w:left w:w="80" w:type="dxa"/>
              <w:bottom w:w="60" w:type="dxa"/>
              <w:right w:w="80" w:type="dxa"/>
            </w:tcMar>
          </w:tcPr>
          <w:p w14:paraId="2258B927" wp14:textId="77777777">
            <w:pPr>
              <w:spacing w:after="40"/>
            </w:pPr>
            <w:r>
              <w:rPr>
                <w:rFonts w:ascii="Calibri" w:hAnsi="Calibri" w:eastAsia="Calibri" w:cs="Calibri"/>
                <w:sz w:val="19"/>
                <w:szCs w:val="19"/>
              </w:rPr>
              <w:t xml:space="preserve">Defect severity matrix and triage SLA are not yet defined by Customer.</w:t>
            </w:r>
          </w:p>
        </w:tc>
      </w:tr>
      <w:tr xmlns:wp14="http://schemas.microsoft.com/office/word/2010/wordml" w:rsidTr="7B4BFEA9" w14:paraId="1D70F845" wp14:textId="77777777">
        <w:tc>
          <w:tcPr>
            <w:tcW w:w="700" w:type="dxa"/>
            <w:shd w:val="clear" w:color="auto" w:fill="F2F2F2"/>
            <w:tcMar>
              <w:top w:w="60" w:type="dxa"/>
              <w:left w:w="80" w:type="dxa"/>
              <w:bottom w:w="60" w:type="dxa"/>
              <w:right w:w="80" w:type="dxa"/>
            </w:tcMar>
          </w:tcPr>
          <w:p w14:paraId="3AD2BBE1" wp14:textId="77777777">
            <w:pPr>
              <w:spacing w:after="40"/>
            </w:pPr>
            <w:r>
              <w:rPr>
                <w:rFonts w:ascii="Calibri" w:hAnsi="Calibri" w:eastAsia="Calibri" w:cs="Calibri"/>
                <w:sz w:val="19"/>
                <w:szCs w:val="19"/>
              </w:rPr>
              <w:t xml:space="preserve">FR-06</w:t>
            </w:r>
          </w:p>
        </w:tc>
        <w:tc>
          <w:tcPr>
            <w:tcW w:w="1500" w:type="dxa"/>
            <w:shd w:val="clear" w:color="auto" w:fill="F2F2F2"/>
            <w:tcMar>
              <w:top w:w="60" w:type="dxa"/>
              <w:left w:w="80" w:type="dxa"/>
              <w:bottom w:w="60" w:type="dxa"/>
              <w:right w:w="80" w:type="dxa"/>
            </w:tcMar>
          </w:tcPr>
          <w:p w14:paraId="2344B220" wp14:textId="77777777">
            <w:pPr>
              <w:spacing w:after="40"/>
            </w:pPr>
            <w:r>
              <w:rPr>
                <w:rFonts w:ascii="Calibri" w:hAnsi="Calibri" w:eastAsia="Calibri" w:cs="Calibri"/>
                <w:sz w:val="19"/>
                <w:szCs w:val="19"/>
              </w:rPr>
              <w:t xml:space="preserve">Sprint &amp; Release Testing</w:t>
            </w:r>
          </w:p>
        </w:tc>
        <w:tc>
          <w:tcPr>
            <w:tcW w:w="2400" w:type="dxa"/>
            <w:shd w:val="clear" w:color="auto" w:fill="F2F2F2"/>
            <w:tcMar>
              <w:top w:w="60" w:type="dxa"/>
              <w:left w:w="80" w:type="dxa"/>
              <w:bottom w:w="60" w:type="dxa"/>
              <w:right w:w="80" w:type="dxa"/>
            </w:tcMar>
          </w:tcPr>
          <w:p w14:paraId="45E170EA" wp14:textId="77777777">
            <w:pPr>
              <w:spacing w:after="40"/>
            </w:pPr>
            <w:r>
              <w:rPr>
                <w:rFonts w:ascii="Calibri" w:hAnsi="Calibri" w:eastAsia="Calibri" w:cs="Calibri"/>
                <w:sz w:val="19"/>
                <w:szCs w:val="19"/>
              </w:rPr>
              <w:t xml:space="preserve">QA activities are aligned to Customer's Agile delivery cadence.</w:t>
            </w:r>
          </w:p>
        </w:tc>
        <w:tc>
          <w:tcPr>
            <w:tcW w:w="2400" w:type="dxa"/>
            <w:shd w:val="clear" w:color="auto" w:fill="F2F2F2"/>
            <w:tcMar>
              <w:top w:w="60" w:type="dxa"/>
              <w:left w:w="80" w:type="dxa"/>
              <w:bottom w:w="60" w:type="dxa"/>
              <w:right w:w="80" w:type="dxa"/>
            </w:tcMar>
          </w:tcPr>
          <w:p w14:paraId="22F39A80" wp14:textId="77777777">
            <w:pPr>
              <w:spacing w:after="40"/>
            </w:pPr>
            <w:r w:rsidRPr="0A324768" w:rsidR="0A324768">
              <w:rPr>
                <w:rFonts w:ascii="Calibri" w:hAnsi="Calibri" w:eastAsia="Calibri" w:cs="Calibri"/>
                <w:sz w:val="19"/>
                <w:szCs w:val="19"/>
                <w:lang w:val="en-US"/>
              </w:rPr>
              <w:t>Full regression and smoke testing completed ahead of each release checkpoint.</w:t>
            </w:r>
          </w:p>
        </w:tc>
        <w:tc>
          <w:tcPr>
            <w:tcW w:w="2050" w:type="dxa"/>
            <w:shd w:val="clear" w:color="auto" w:fill="F2F2F2"/>
            <w:tcMar>
              <w:top w:w="60" w:type="dxa"/>
              <w:left w:w="80" w:type="dxa"/>
              <w:bottom w:w="60" w:type="dxa"/>
              <w:right w:w="80" w:type="dxa"/>
            </w:tcMar>
          </w:tcPr>
          <w:p w14:paraId="66D24B66" wp14:textId="77777777">
            <w:pPr>
              <w:spacing w:after="40"/>
            </w:pPr>
            <w:r>
              <w:rPr>
                <w:rFonts w:ascii="Calibri" w:hAnsi="Calibri" w:eastAsia="Calibri" w:cs="Calibri"/>
                <w:sz w:val="19"/>
                <w:szCs w:val="19"/>
              </w:rPr>
              <w:t xml:space="preserve">Release calendar and sprint schedule from Customer Program Management.</w:t>
            </w:r>
          </w:p>
        </w:tc>
        <w:tc>
          <w:tcPr>
            <w:tcW w:w="2050" w:type="dxa"/>
            <w:shd w:val="clear" w:color="auto" w:fill="F2F2F2"/>
            <w:tcMar>
              <w:top w:w="60" w:type="dxa"/>
              <w:left w:w="80" w:type="dxa"/>
              <w:bottom w:w="60" w:type="dxa"/>
              <w:right w:w="80" w:type="dxa"/>
            </w:tcMar>
          </w:tcPr>
          <w:p w14:paraId="4B396020" wp14:textId="77777777">
            <w:pPr>
              <w:spacing w:after="40"/>
            </w:pPr>
            <w:r w:rsidRPr="0A324768" w:rsidR="0A324768">
              <w:rPr>
                <w:rFonts w:ascii="Calibri" w:hAnsi="Calibri" w:eastAsia="Calibri" w:cs="Calibri"/>
                <w:sz w:val="19"/>
                <w:szCs w:val="19"/>
                <w:lang w:val="en-US"/>
              </w:rPr>
              <w:t>Cadence described as bi-weekly sprints in Section 6, but releases are referenced as monthly in Section 9.</w:t>
            </w:r>
          </w:p>
        </w:tc>
      </w:tr>
      <w:tr xmlns:wp14="http://schemas.microsoft.com/office/word/2010/wordml" w:rsidTr="7B4BFEA9" w14:paraId="5914F9C1" wp14:textId="77777777">
        <w:tc>
          <w:tcPr>
            <w:tcW w:w="700" w:type="dxa"/>
            <w:tcMar>
              <w:top w:w="60" w:type="dxa"/>
              <w:left w:w="80" w:type="dxa"/>
              <w:bottom w:w="60" w:type="dxa"/>
              <w:right w:w="80" w:type="dxa"/>
            </w:tcMar>
          </w:tcPr>
          <w:p w14:paraId="0D28A2A2" wp14:textId="77777777">
            <w:pPr>
              <w:spacing w:after="40"/>
            </w:pPr>
            <w:r>
              <w:rPr>
                <w:rFonts w:ascii="Calibri" w:hAnsi="Calibri" w:eastAsia="Calibri" w:cs="Calibri"/>
                <w:sz w:val="19"/>
                <w:szCs w:val="19"/>
              </w:rPr>
              <w:t xml:space="preserve">FR-07</w:t>
            </w:r>
          </w:p>
        </w:tc>
        <w:tc>
          <w:tcPr>
            <w:tcW w:w="1500" w:type="dxa"/>
            <w:tcMar>
              <w:top w:w="60" w:type="dxa"/>
              <w:left w:w="80" w:type="dxa"/>
              <w:bottom w:w="60" w:type="dxa"/>
              <w:right w:w="80" w:type="dxa"/>
            </w:tcMar>
          </w:tcPr>
          <w:p w14:paraId="7BC2C421" wp14:textId="77777777">
            <w:pPr>
              <w:spacing w:after="40"/>
            </w:pPr>
            <w:r>
              <w:rPr>
                <w:rFonts w:ascii="Calibri" w:hAnsi="Calibri" w:eastAsia="Calibri" w:cs="Calibri"/>
                <w:sz w:val="19"/>
                <w:szCs w:val="19"/>
              </w:rPr>
              <w:t xml:space="preserve">Test Environment Usage</w:t>
            </w:r>
          </w:p>
        </w:tc>
        <w:tc>
          <w:tcPr>
            <w:tcW w:w="2400" w:type="dxa"/>
            <w:tcMar>
              <w:top w:w="60" w:type="dxa"/>
              <w:left w:w="80" w:type="dxa"/>
              <w:bottom w:w="60" w:type="dxa"/>
              <w:right w:w="80" w:type="dxa"/>
            </w:tcMar>
          </w:tcPr>
          <w:p w14:paraId="6FC2B69D" wp14:textId="77777777">
            <w:pPr>
              <w:spacing w:after="40"/>
            </w:pPr>
            <w:r>
              <w:rPr>
                <w:rFonts w:ascii="Calibri" w:hAnsi="Calibri" w:eastAsia="Calibri" w:cs="Calibri"/>
                <w:sz w:val="19"/>
                <w:szCs w:val="19"/>
              </w:rPr>
              <w:t xml:space="preserve">QA executes primarily within Customer-provisioned SIT and UAT environments.</w:t>
            </w:r>
          </w:p>
        </w:tc>
        <w:tc>
          <w:tcPr>
            <w:tcW w:w="2400" w:type="dxa"/>
            <w:tcMar>
              <w:top w:w="60" w:type="dxa"/>
              <w:left w:w="80" w:type="dxa"/>
              <w:bottom w:w="60" w:type="dxa"/>
              <w:right w:w="80" w:type="dxa"/>
            </w:tcMar>
          </w:tcPr>
          <w:p w14:paraId="366BE165" wp14:textId="77777777">
            <w:pPr>
              <w:spacing w:after="40"/>
            </w:pPr>
            <w:r>
              <w:rPr>
                <w:rFonts w:ascii="Calibri" w:hAnsi="Calibri" w:eastAsia="Calibri" w:cs="Calibri"/>
                <w:sz w:val="19"/>
                <w:szCs w:val="19"/>
              </w:rPr>
              <w:t xml:space="preserve">Environments are stable and available ahead of each planned test cycle.</w:t>
            </w:r>
          </w:p>
        </w:tc>
        <w:tc>
          <w:tcPr>
            <w:tcW w:w="2050" w:type="dxa"/>
            <w:tcMar>
              <w:top w:w="60" w:type="dxa"/>
              <w:left w:w="80" w:type="dxa"/>
              <w:bottom w:w="60" w:type="dxa"/>
              <w:right w:w="80" w:type="dxa"/>
            </w:tcMar>
          </w:tcPr>
          <w:p w14:paraId="7C2AF65C" wp14:textId="77777777">
            <w:pPr>
              <w:spacing w:after="40"/>
            </w:pPr>
            <w:r w:rsidRPr="0A324768" w:rsidR="0A324768">
              <w:rPr>
                <w:rFonts w:ascii="Calibri" w:hAnsi="Calibri" w:eastAsia="Calibri" w:cs="Calibri"/>
                <w:sz w:val="19"/>
                <w:szCs w:val="19"/>
                <w:lang w:val="en-US"/>
              </w:rPr>
              <w:t>Customer Infrastructure/DevOps team for provisioning and refresh.</w:t>
            </w:r>
          </w:p>
        </w:tc>
        <w:tc>
          <w:tcPr>
            <w:tcW w:w="2050" w:type="dxa"/>
            <w:tcMar>
              <w:top w:w="60" w:type="dxa"/>
              <w:left w:w="80" w:type="dxa"/>
              <w:bottom w:w="60" w:type="dxa"/>
              <w:right w:w="80" w:type="dxa"/>
            </w:tcMar>
          </w:tcPr>
          <w:p w14:paraId="03589639" wp14:textId="77777777">
            <w:pPr>
              <w:spacing w:after="40"/>
            </w:pPr>
            <w:r w:rsidRPr="0A324768" w:rsidR="0A324768">
              <w:rPr>
                <w:rFonts w:ascii="Calibri" w:hAnsi="Calibri" w:eastAsia="Calibri" w:cs="Calibri"/>
                <w:sz w:val="19"/>
                <w:szCs w:val="19"/>
                <w:lang w:val="en-US"/>
              </w:rPr>
              <w:t>No formal environment-availability SLA currently exists.</w:t>
            </w:r>
          </w:p>
        </w:tc>
      </w:tr>
      <w:tr xmlns:wp14="http://schemas.microsoft.com/office/word/2010/wordml" w:rsidTr="7B4BFEA9" w14:paraId="2A735046" wp14:textId="77777777">
        <w:tc>
          <w:tcPr>
            <w:tcW w:w="700" w:type="dxa"/>
            <w:shd w:val="clear" w:color="auto" w:fill="F2F2F2"/>
            <w:tcMar>
              <w:top w:w="60" w:type="dxa"/>
              <w:left w:w="80" w:type="dxa"/>
              <w:bottom w:w="60" w:type="dxa"/>
              <w:right w:w="80" w:type="dxa"/>
            </w:tcMar>
          </w:tcPr>
          <w:p w14:paraId="27019D93" wp14:textId="77777777">
            <w:pPr>
              <w:spacing w:after="40"/>
            </w:pPr>
            <w:r>
              <w:rPr>
                <w:rFonts w:ascii="Calibri" w:hAnsi="Calibri" w:eastAsia="Calibri" w:cs="Calibri"/>
                <w:sz w:val="19"/>
                <w:szCs w:val="19"/>
              </w:rPr>
              <w:t xml:space="preserve">FR-08</w:t>
            </w:r>
          </w:p>
        </w:tc>
        <w:tc>
          <w:tcPr>
            <w:tcW w:w="1500" w:type="dxa"/>
            <w:shd w:val="clear" w:color="auto" w:fill="F2F2F2"/>
            <w:tcMar>
              <w:top w:w="60" w:type="dxa"/>
              <w:left w:w="80" w:type="dxa"/>
              <w:bottom w:w="60" w:type="dxa"/>
              <w:right w:w="80" w:type="dxa"/>
            </w:tcMar>
          </w:tcPr>
          <w:p w14:paraId="4429FA93" wp14:textId="77777777">
            <w:pPr>
              <w:spacing w:after="40"/>
            </w:pPr>
            <w:r>
              <w:rPr>
                <w:rFonts w:ascii="Calibri" w:hAnsi="Calibri" w:eastAsia="Calibri" w:cs="Calibri"/>
                <w:sz w:val="19"/>
                <w:szCs w:val="19"/>
              </w:rPr>
              <w:t xml:space="preserve">Test Data Management</w:t>
            </w:r>
          </w:p>
        </w:tc>
        <w:tc>
          <w:tcPr>
            <w:tcW w:w="2400" w:type="dxa"/>
            <w:shd w:val="clear" w:color="auto" w:fill="F2F2F2"/>
            <w:tcMar>
              <w:top w:w="60" w:type="dxa"/>
              <w:left w:w="80" w:type="dxa"/>
              <w:bottom w:w="60" w:type="dxa"/>
              <w:right w:w="80" w:type="dxa"/>
            </w:tcMar>
          </w:tcPr>
          <w:p w14:paraId="29801A58" wp14:textId="77777777">
            <w:pPr>
              <w:spacing w:after="40"/>
            </w:pPr>
            <w:r w:rsidRPr="0A324768" w:rsidR="0A324768">
              <w:rPr>
                <w:rFonts w:ascii="Calibri" w:hAnsi="Calibri" w:eastAsia="Calibri" w:cs="Calibri"/>
                <w:sz w:val="19"/>
                <w:szCs w:val="19"/>
                <w:lang w:val="en-US"/>
              </w:rPr>
              <w:t>Test cases require realistic subscriber, billing, and network data.</w:t>
            </w:r>
          </w:p>
        </w:tc>
        <w:tc>
          <w:tcPr>
            <w:tcW w:w="2400" w:type="dxa"/>
            <w:shd w:val="clear" w:color="auto" w:fill="F2F2F2"/>
            <w:tcMar>
              <w:top w:w="60" w:type="dxa"/>
              <w:left w:w="80" w:type="dxa"/>
              <w:bottom w:w="60" w:type="dxa"/>
              <w:right w:w="80" w:type="dxa"/>
            </w:tcMar>
          </w:tcPr>
          <w:p w14:paraId="0DF3CF7C" wp14:textId="77777777">
            <w:pPr>
              <w:spacing w:after="40"/>
            </w:pPr>
            <w:r>
              <w:rPr>
                <w:rFonts w:ascii="Calibri" w:hAnsi="Calibri" w:eastAsia="Calibri" w:cs="Calibri"/>
                <w:sz w:val="19"/>
                <w:szCs w:val="19"/>
              </w:rPr>
              <w:t xml:space="preserve">Test data sets cover both standard and edge-case subscriber profiles.</w:t>
            </w:r>
          </w:p>
        </w:tc>
        <w:tc>
          <w:tcPr>
            <w:tcW w:w="2050" w:type="dxa"/>
            <w:shd w:val="clear" w:color="auto" w:fill="F2F2F2"/>
            <w:tcMar>
              <w:top w:w="60" w:type="dxa"/>
              <w:left w:w="80" w:type="dxa"/>
              <w:bottom w:w="60" w:type="dxa"/>
              <w:right w:w="80" w:type="dxa"/>
            </w:tcMar>
          </w:tcPr>
          <w:p w14:paraId="10433E45" wp14:textId="77777777">
            <w:pPr>
              <w:spacing w:after="40"/>
            </w:pPr>
            <w:r>
              <w:rPr>
                <w:rFonts w:ascii="Calibri" w:hAnsi="Calibri" w:eastAsia="Calibri" w:cs="Calibri"/>
                <w:sz w:val="19"/>
                <w:szCs w:val="19"/>
              </w:rPr>
              <w:t xml:space="preserve">Masked/anonymized data feed per Customer's data handling policy.</w:t>
            </w:r>
          </w:p>
        </w:tc>
        <w:tc>
          <w:tcPr>
            <w:tcW w:w="2050" w:type="dxa"/>
            <w:shd w:val="clear" w:color="auto" w:fill="F2F2F2"/>
            <w:tcMar>
              <w:top w:w="60" w:type="dxa"/>
              <w:left w:w="80" w:type="dxa"/>
              <w:bottom w:w="60" w:type="dxa"/>
              <w:right w:w="80" w:type="dxa"/>
            </w:tcMar>
          </w:tcPr>
          <w:p w14:paraId="28E8619E" wp14:textId="77777777">
            <w:pPr>
              <w:spacing w:after="40"/>
            </w:pPr>
            <w:r>
              <w:rPr>
                <w:rFonts w:ascii="Calibri" w:hAnsi="Calibri" w:eastAsia="Calibri" w:cs="Calibri"/>
                <w:sz w:val="19"/>
                <w:szCs w:val="19"/>
              </w:rPr>
              <w:t xml:space="preserve">Ownership of data masking and generation (Customer vs. vendor) is not specified.</w:t>
            </w:r>
          </w:p>
        </w:tc>
      </w:tr>
      <w:tr xmlns:wp14="http://schemas.microsoft.com/office/word/2010/wordml" w:rsidTr="7B4BFEA9" w14:paraId="404EE08D" wp14:textId="77777777">
        <w:tc>
          <w:tcPr>
            <w:tcW w:w="700" w:type="dxa"/>
            <w:tcMar>
              <w:top w:w="60" w:type="dxa"/>
              <w:left w:w="80" w:type="dxa"/>
              <w:bottom w:w="60" w:type="dxa"/>
              <w:right w:w="80" w:type="dxa"/>
            </w:tcMar>
          </w:tcPr>
          <w:p w14:paraId="0FE26BE0" wp14:textId="77777777">
            <w:pPr>
              <w:spacing w:after="40"/>
            </w:pPr>
            <w:r>
              <w:rPr>
                <w:rFonts w:ascii="Calibri" w:hAnsi="Calibri" w:eastAsia="Calibri" w:cs="Calibri"/>
                <w:sz w:val="19"/>
                <w:szCs w:val="19"/>
              </w:rPr>
              <w:t xml:space="preserve">FR-09</w:t>
            </w:r>
          </w:p>
        </w:tc>
        <w:tc>
          <w:tcPr>
            <w:tcW w:w="1500" w:type="dxa"/>
            <w:tcMar>
              <w:top w:w="60" w:type="dxa"/>
              <w:left w:w="80" w:type="dxa"/>
              <w:bottom w:w="60" w:type="dxa"/>
              <w:right w:w="80" w:type="dxa"/>
            </w:tcMar>
          </w:tcPr>
          <w:p w14:paraId="5068079B" wp14:textId="77777777">
            <w:pPr>
              <w:spacing w:after="40"/>
            </w:pPr>
            <w:r>
              <w:rPr>
                <w:rFonts w:ascii="Calibri" w:hAnsi="Calibri" w:eastAsia="Calibri" w:cs="Calibri"/>
                <w:sz w:val="19"/>
                <w:szCs w:val="19"/>
              </w:rPr>
              <w:t xml:space="preserve">Non-Functional Test Support</w:t>
            </w:r>
          </w:p>
        </w:tc>
        <w:tc>
          <w:tcPr>
            <w:tcW w:w="2400" w:type="dxa"/>
            <w:tcMar>
              <w:top w:w="60" w:type="dxa"/>
              <w:left w:w="80" w:type="dxa"/>
              <w:bottom w:w="60" w:type="dxa"/>
              <w:right w:w="80" w:type="dxa"/>
            </w:tcMar>
          </w:tcPr>
          <w:p w14:paraId="2896D711" wp14:textId="77777777">
            <w:pPr>
              <w:spacing w:after="40"/>
            </w:pPr>
            <w:r w:rsidRPr="0A324768" w:rsidR="0A324768">
              <w:rPr>
                <w:rFonts w:ascii="Calibri" w:hAnsi="Calibri" w:eastAsia="Calibri" w:cs="Calibri"/>
                <w:sz w:val="19"/>
                <w:szCs w:val="19"/>
                <w:lang w:val="en-US"/>
              </w:rPr>
              <w:t>Validate baseline system behaviour under expected operator load (e.g., billing-cycle peaks).</w:t>
            </w:r>
          </w:p>
        </w:tc>
        <w:tc>
          <w:tcPr>
            <w:tcW w:w="2400" w:type="dxa"/>
            <w:tcMar>
              <w:top w:w="60" w:type="dxa"/>
              <w:left w:w="80" w:type="dxa"/>
              <w:bottom w:w="60" w:type="dxa"/>
              <w:right w:w="80" w:type="dxa"/>
            </w:tcMar>
          </w:tcPr>
          <w:p w14:paraId="6B7783A1" wp14:textId="77777777">
            <w:pPr>
              <w:spacing w:after="40"/>
            </w:pPr>
            <w:r>
              <w:rPr>
                <w:rFonts w:ascii="Calibri" w:hAnsi="Calibri" w:eastAsia="Calibri" w:cs="Calibri"/>
                <w:sz w:val="19"/>
                <w:szCs w:val="19"/>
              </w:rPr>
              <w:t xml:space="preserve">Basic performance smoke checks included as part of release testing.</w:t>
            </w:r>
          </w:p>
        </w:tc>
        <w:tc>
          <w:tcPr>
            <w:tcW w:w="2050" w:type="dxa"/>
            <w:tcMar>
              <w:top w:w="60" w:type="dxa"/>
              <w:left w:w="80" w:type="dxa"/>
              <w:bottom w:w="60" w:type="dxa"/>
              <w:right w:w="80" w:type="dxa"/>
            </w:tcMar>
          </w:tcPr>
          <w:p w14:paraId="3CF6A6D5" wp14:textId="77777777">
            <w:pPr>
              <w:spacing w:after="40"/>
            </w:pPr>
            <w:r w:rsidRPr="0A324768" w:rsidR="0A324768">
              <w:rPr>
                <w:rFonts w:ascii="Calibri" w:hAnsi="Calibri" w:eastAsia="Calibri" w:cs="Calibri"/>
                <w:sz w:val="19"/>
                <w:szCs w:val="19"/>
                <w:lang w:val="en-US"/>
              </w:rPr>
              <w:t>Performance test tooling and environment sizing guidance.</w:t>
            </w:r>
          </w:p>
        </w:tc>
        <w:tc>
          <w:tcPr>
            <w:tcW w:w="2050" w:type="dxa"/>
            <w:tcMar>
              <w:top w:w="60" w:type="dxa"/>
              <w:left w:w="80" w:type="dxa"/>
              <w:bottom w:w="60" w:type="dxa"/>
              <w:right w:w="80" w:type="dxa"/>
            </w:tcMar>
          </w:tcPr>
          <w:p w14:paraId="217C1016" wp14:textId="77777777">
            <w:pPr>
              <w:spacing w:after="40"/>
            </w:pPr>
            <w:r>
              <w:rPr>
                <w:rFonts w:ascii="Calibri" w:hAnsi="Calibri" w:eastAsia="Calibri" w:cs="Calibri"/>
                <w:sz w:val="19"/>
                <w:szCs w:val="19"/>
              </w:rPr>
              <w:t xml:space="preserve">Full-scale performance/load testing is listed as out of scope in Section 10; peak concurrency target is not quantified anywhere in this document.</w:t>
            </w:r>
          </w:p>
        </w:tc>
      </w:tr>
      <w:tr xmlns:wp14="http://schemas.microsoft.com/office/word/2010/wordml" w:rsidTr="7B4BFEA9" w14:paraId="4F3E3B41" wp14:textId="77777777">
        <w:tc>
          <w:tcPr>
            <w:tcW w:w="700" w:type="dxa"/>
            <w:shd w:val="clear" w:color="auto" w:fill="F2F2F2"/>
            <w:tcMar>
              <w:top w:w="60" w:type="dxa"/>
              <w:left w:w="80" w:type="dxa"/>
              <w:bottom w:w="60" w:type="dxa"/>
              <w:right w:w="80" w:type="dxa"/>
            </w:tcMar>
          </w:tcPr>
          <w:p w:rsidR="7B4BFEA9" w:rsidP="7B4BFEA9" w:rsidRDefault="7B4BFEA9" w14:paraId="50FC3949" w14:textId="55928B7D">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FR-10</w:t>
            </w:r>
          </w:p>
        </w:tc>
        <w:tc>
          <w:tcPr>
            <w:tcW w:w="1500" w:type="dxa"/>
            <w:shd w:val="clear" w:color="auto" w:fill="F2F2F2"/>
            <w:tcMar>
              <w:top w:w="60" w:type="dxa"/>
              <w:left w:w="80" w:type="dxa"/>
              <w:bottom w:w="60" w:type="dxa"/>
              <w:right w:w="80" w:type="dxa"/>
            </w:tcMar>
          </w:tcPr>
          <w:p w:rsidR="7B4BFEA9" w:rsidP="7B4BFEA9" w:rsidRDefault="7B4BFEA9" w14:paraId="0B66B419" w14:textId="70E901A9">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QA Reporting &amp; Dashboards</w:t>
            </w:r>
          </w:p>
        </w:tc>
        <w:tc>
          <w:tcPr>
            <w:tcW w:w="2400" w:type="dxa"/>
            <w:shd w:val="clear" w:color="auto" w:fill="F2F2F2"/>
            <w:tcMar>
              <w:top w:w="60" w:type="dxa"/>
              <w:left w:w="80" w:type="dxa"/>
              <w:bottom w:w="60" w:type="dxa"/>
              <w:right w:w="80" w:type="dxa"/>
            </w:tcMar>
          </w:tcPr>
          <w:p w:rsidR="7B4BFEA9" w:rsidP="7B4BFEA9" w:rsidRDefault="7B4BFEA9" w14:paraId="55C2062E" w14:textId="45DC5D23">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Provide Customer stakeholders with recurring visibility into quality status, aligned to both the sprint and release cadence.</w:t>
            </w:r>
          </w:p>
        </w:tc>
        <w:tc>
          <w:tcPr>
            <w:tcW w:w="2400" w:type="dxa"/>
            <w:shd w:val="clear" w:color="auto" w:fill="F2F2F2"/>
            <w:tcMar>
              <w:top w:w="60" w:type="dxa"/>
              <w:left w:w="80" w:type="dxa"/>
              <w:bottom w:w="60" w:type="dxa"/>
              <w:right w:w="80" w:type="dxa"/>
            </w:tcMar>
          </w:tcPr>
          <w:p w:rsidR="7B4BFEA9" w:rsidP="7B4BFEA9" w:rsidRDefault="7B4BFEA9" w14:paraId="42CA1461" w14:textId="16E755FB">
            <w:pPr>
              <w:spacing w:after="40"/>
              <w:rPr>
                <w:rFonts w:ascii="Calibri" w:hAnsi="Calibri" w:eastAsia="Calibri" w:cs="Calibri"/>
                <w:b w:val="0"/>
                <w:bCs w:val="0"/>
                <w:i w:val="0"/>
                <w:iCs w:val="0"/>
                <w:sz w:val="19"/>
                <w:szCs w:val="19"/>
                <w:lang w:val="en-US"/>
              </w:rPr>
            </w:pPr>
            <w:r w:rsidRPr="7B4BFEA9" w:rsidR="7B4BFEA9">
              <w:rPr>
                <w:rFonts w:ascii="Calibri" w:hAnsi="Calibri" w:eastAsia="Calibri" w:cs="Calibri"/>
                <w:b w:val="0"/>
                <w:bCs w:val="0"/>
                <w:i w:val="0"/>
                <w:iCs w:val="0"/>
                <w:sz w:val="19"/>
                <w:szCs w:val="19"/>
                <w:lang w:val="en-US"/>
              </w:rPr>
              <w:t>A sprint-level QA report is issued at the end of each bi-weekly sprint, covering coverage, defect trends, and automation progress for that sprint. A release-level QA sign-off report, based on the FR-17 exit checklist, is issued ahead of each monthly release gate.</w:t>
            </w:r>
          </w:p>
        </w:tc>
        <w:tc>
          <w:tcPr>
            <w:tcW w:w="2050" w:type="dxa"/>
            <w:shd w:val="clear" w:color="auto" w:fill="F2F2F2"/>
            <w:tcMar>
              <w:top w:w="60" w:type="dxa"/>
              <w:left w:w="80" w:type="dxa"/>
              <w:bottom w:w="60" w:type="dxa"/>
              <w:right w:w="80" w:type="dxa"/>
            </w:tcMar>
          </w:tcPr>
          <w:p w:rsidR="7B4BFEA9" w:rsidP="7B4BFEA9" w:rsidRDefault="7B4BFEA9" w14:paraId="2B57FF25" w14:textId="1D8E9D6E">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Access to a reporting tool or agreed report template; FR-17 exit-checklist results as an input to the release-level report.</w:t>
            </w:r>
          </w:p>
        </w:tc>
        <w:tc>
          <w:tcPr>
            <w:tcW w:w="2050" w:type="dxa"/>
            <w:shd w:val="clear" w:color="auto" w:fill="F2F2F2"/>
            <w:tcMar>
              <w:top w:w="60" w:type="dxa"/>
              <w:left w:w="80" w:type="dxa"/>
              <w:bottom w:w="60" w:type="dxa"/>
              <w:right w:w="80" w:type="dxa"/>
            </w:tcMar>
          </w:tcPr>
          <w:p w:rsidR="7B4BFEA9" w:rsidP="7B4BFEA9" w:rsidRDefault="7B4BFEA9" w14:paraId="24496005" w14:textId="0DA34BE0">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The reporting tool/dashboard format itself is not yet standardized (see Section 17).</w:t>
            </w:r>
          </w:p>
        </w:tc>
      </w:tr>
      <w:tr xmlns:wp14="http://schemas.microsoft.com/office/word/2010/wordml" w:rsidTr="7B4BFEA9" w14:paraId="309E0B12" wp14:textId="77777777">
        <w:tc>
          <w:tcPr>
            <w:tcW w:w="700" w:type="dxa"/>
            <w:tcMar>
              <w:top w:w="60" w:type="dxa"/>
              <w:left w:w="80" w:type="dxa"/>
              <w:bottom w:w="60" w:type="dxa"/>
              <w:right w:w="80" w:type="dxa"/>
            </w:tcMar>
          </w:tcPr>
          <w:p w14:paraId="7F29F6BE" wp14:textId="77777777">
            <w:pPr>
              <w:spacing w:after="40"/>
            </w:pPr>
            <w:r>
              <w:rPr>
                <w:rFonts w:ascii="Calibri" w:hAnsi="Calibri" w:eastAsia="Calibri" w:cs="Calibri"/>
                <w:sz w:val="19"/>
                <w:szCs w:val="19"/>
              </w:rPr>
              <w:t xml:space="preserve">FR-11</w:t>
            </w:r>
          </w:p>
        </w:tc>
        <w:tc>
          <w:tcPr>
            <w:tcW w:w="1500" w:type="dxa"/>
            <w:tcMar>
              <w:top w:w="60" w:type="dxa"/>
              <w:left w:w="80" w:type="dxa"/>
              <w:bottom w:w="60" w:type="dxa"/>
              <w:right w:w="80" w:type="dxa"/>
            </w:tcMar>
          </w:tcPr>
          <w:p w14:paraId="2CDFB3AC" wp14:textId="77777777">
            <w:pPr>
              <w:spacing w:after="40"/>
            </w:pPr>
            <w:r>
              <w:rPr>
                <w:rFonts w:ascii="Calibri" w:hAnsi="Calibri" w:eastAsia="Calibri" w:cs="Calibri"/>
                <w:sz w:val="19"/>
                <w:szCs w:val="19"/>
              </w:rPr>
              <w:t xml:space="preserve">Baseline Security Checks</w:t>
            </w:r>
          </w:p>
        </w:tc>
        <w:tc>
          <w:tcPr>
            <w:tcW w:w="2400" w:type="dxa"/>
            <w:tcMar>
              <w:top w:w="60" w:type="dxa"/>
              <w:left w:w="80" w:type="dxa"/>
              <w:bottom w:w="60" w:type="dxa"/>
              <w:right w:w="80" w:type="dxa"/>
            </w:tcMar>
          </w:tcPr>
          <w:p w14:paraId="338E9D64" wp14:textId="77777777">
            <w:pPr>
              <w:spacing w:after="40"/>
            </w:pPr>
            <w:r>
              <w:rPr>
                <w:rFonts w:ascii="Calibri" w:hAnsi="Calibri" w:eastAsia="Calibri" w:cs="Calibri"/>
                <w:sz w:val="19"/>
                <w:szCs w:val="19"/>
              </w:rPr>
              <w:t xml:space="preserve">Validate baseline security controls (authentication, access control) on customer-facing portals.</w:t>
            </w:r>
          </w:p>
        </w:tc>
        <w:tc>
          <w:tcPr>
            <w:tcW w:w="2400" w:type="dxa"/>
            <w:tcMar>
              <w:top w:w="60" w:type="dxa"/>
              <w:left w:w="80" w:type="dxa"/>
              <w:bottom w:w="60" w:type="dxa"/>
              <w:right w:w="80" w:type="dxa"/>
            </w:tcMar>
          </w:tcPr>
          <w:p w14:paraId="6AD0F8DC" wp14:textId="77777777">
            <w:pPr>
              <w:spacing w:after="40"/>
            </w:pPr>
            <w:r>
              <w:rPr>
                <w:rFonts w:ascii="Calibri" w:hAnsi="Calibri" w:eastAsia="Calibri" w:cs="Calibri"/>
                <w:sz w:val="19"/>
                <w:szCs w:val="19"/>
              </w:rPr>
              <w:t xml:space="preserve">A baseline security checklist is executed once per release.</w:t>
            </w:r>
          </w:p>
        </w:tc>
        <w:tc>
          <w:tcPr>
            <w:tcW w:w="2050" w:type="dxa"/>
            <w:tcMar>
              <w:top w:w="60" w:type="dxa"/>
              <w:left w:w="80" w:type="dxa"/>
              <w:bottom w:w="60" w:type="dxa"/>
              <w:right w:w="80" w:type="dxa"/>
            </w:tcMar>
          </w:tcPr>
          <w:p w14:paraId="129666F1" wp14:textId="77777777">
            <w:pPr>
              <w:spacing w:after="40"/>
            </w:pPr>
            <w:r w:rsidRPr="0A324768" w:rsidR="0A324768">
              <w:rPr>
                <w:rFonts w:ascii="Calibri" w:hAnsi="Calibri" w:eastAsia="Calibri" w:cs="Calibri"/>
                <w:sz w:val="19"/>
                <w:szCs w:val="19"/>
                <w:lang w:val="en-US"/>
              </w:rPr>
              <w:t>Security requirements/checklist from Customer Security function.</w:t>
            </w:r>
          </w:p>
        </w:tc>
        <w:tc>
          <w:tcPr>
            <w:tcW w:w="2050" w:type="dxa"/>
            <w:tcMar>
              <w:top w:w="60" w:type="dxa"/>
              <w:left w:w="80" w:type="dxa"/>
              <w:bottom w:w="60" w:type="dxa"/>
              <w:right w:w="80" w:type="dxa"/>
            </w:tcMar>
          </w:tcPr>
          <w:p w14:paraId="61D12850" wp14:textId="77777777">
            <w:pPr>
              <w:spacing w:after="40"/>
            </w:pPr>
            <w:r w:rsidRPr="0A324768" w:rsidR="0A324768">
              <w:rPr>
                <w:rFonts w:ascii="Calibri" w:hAnsi="Calibri" w:eastAsia="Calibri" w:cs="Calibri"/>
                <w:sz w:val="19"/>
                <w:szCs w:val="19"/>
                <w:lang w:val="en-US"/>
              </w:rPr>
              <w:t>Relationship between this baseline check and the compliance-testing exclusion in Section 10 is not explained.</w:t>
            </w:r>
          </w:p>
        </w:tc>
      </w:tr>
      <w:tr xmlns:wp14="http://schemas.microsoft.com/office/word/2010/wordml" w:rsidTr="7B4BFEA9" w14:paraId="631079F5" wp14:textId="77777777">
        <w:tc>
          <w:tcPr>
            <w:tcW w:w="700" w:type="dxa"/>
            <w:shd w:val="clear" w:color="auto" w:fill="F2F2F2"/>
            <w:tcMar>
              <w:top w:w="60" w:type="dxa"/>
              <w:left w:w="80" w:type="dxa"/>
              <w:bottom w:w="60" w:type="dxa"/>
              <w:right w:w="80" w:type="dxa"/>
            </w:tcMar>
          </w:tcPr>
          <w:p w14:paraId="27D173B2" wp14:textId="77777777">
            <w:pPr>
              <w:spacing w:after="40"/>
            </w:pPr>
            <w:r>
              <w:rPr>
                <w:rFonts w:ascii="Calibri" w:hAnsi="Calibri" w:eastAsia="Calibri" w:cs="Calibri"/>
                <w:sz w:val="19"/>
                <w:szCs w:val="19"/>
              </w:rPr>
              <w:t xml:space="preserve">FR-12</w:t>
            </w:r>
          </w:p>
        </w:tc>
        <w:tc>
          <w:tcPr>
            <w:tcW w:w="1500" w:type="dxa"/>
            <w:shd w:val="clear" w:color="auto" w:fill="F2F2F2"/>
            <w:tcMar>
              <w:top w:w="60" w:type="dxa"/>
              <w:left w:w="80" w:type="dxa"/>
              <w:bottom w:w="60" w:type="dxa"/>
              <w:right w:w="80" w:type="dxa"/>
            </w:tcMar>
          </w:tcPr>
          <w:p w14:paraId="408A1D97" wp14:textId="77777777">
            <w:pPr>
              <w:spacing w:after="40"/>
            </w:pPr>
            <w:r>
              <w:rPr>
                <w:rFonts w:ascii="Calibri" w:hAnsi="Calibri" w:eastAsia="Calibri" w:cs="Calibri"/>
                <w:sz w:val="19"/>
                <w:szCs w:val="19"/>
              </w:rPr>
              <w:t xml:space="preserve">UAT Support</w:t>
            </w:r>
          </w:p>
        </w:tc>
        <w:tc>
          <w:tcPr>
            <w:tcW w:w="2400" w:type="dxa"/>
            <w:shd w:val="clear" w:color="auto" w:fill="F2F2F2"/>
            <w:tcMar>
              <w:top w:w="60" w:type="dxa"/>
              <w:left w:w="80" w:type="dxa"/>
              <w:bottom w:w="60" w:type="dxa"/>
              <w:right w:w="80" w:type="dxa"/>
            </w:tcMar>
          </w:tcPr>
          <w:p w14:paraId="58AA8718" wp14:textId="77777777">
            <w:pPr>
              <w:spacing w:after="40"/>
            </w:pPr>
            <w:r>
              <w:rPr>
                <w:rFonts w:ascii="Calibri" w:hAnsi="Calibri" w:eastAsia="Calibri" w:cs="Calibri"/>
                <w:sz w:val="19"/>
                <w:szCs w:val="19"/>
              </w:rPr>
              <w:t xml:space="preserve">Support Customer business users during User Acceptance Testing.</w:t>
            </w:r>
          </w:p>
        </w:tc>
        <w:tc>
          <w:tcPr>
            <w:tcW w:w="2400" w:type="dxa"/>
            <w:shd w:val="clear" w:color="auto" w:fill="F2F2F2"/>
            <w:tcMar>
              <w:top w:w="60" w:type="dxa"/>
              <w:left w:w="80" w:type="dxa"/>
              <w:bottom w:w="60" w:type="dxa"/>
              <w:right w:w="80" w:type="dxa"/>
            </w:tcMar>
          </w:tcPr>
          <w:p w14:paraId="1D05FCE2" wp14:textId="77777777">
            <w:pPr>
              <w:spacing w:after="40"/>
            </w:pPr>
            <w:r w:rsidRPr="0A324768" w:rsidR="0A324768">
              <w:rPr>
                <w:rFonts w:ascii="Calibri" w:hAnsi="Calibri" w:eastAsia="Calibri" w:cs="Calibri"/>
                <w:sz w:val="19"/>
                <w:szCs w:val="19"/>
                <w:lang w:val="en-US"/>
              </w:rPr>
              <w:t>Vendor QA assists with UAT script preparation and defect triage during the UAT window.</w:t>
            </w:r>
          </w:p>
        </w:tc>
        <w:tc>
          <w:tcPr>
            <w:tcW w:w="2050" w:type="dxa"/>
            <w:shd w:val="clear" w:color="auto" w:fill="F2F2F2"/>
            <w:tcMar>
              <w:top w:w="60" w:type="dxa"/>
              <w:left w:w="80" w:type="dxa"/>
              <w:bottom w:w="60" w:type="dxa"/>
              <w:right w:w="80" w:type="dxa"/>
            </w:tcMar>
          </w:tcPr>
          <w:p w14:paraId="75321F65" wp14:textId="77777777">
            <w:pPr>
              <w:spacing w:after="40"/>
            </w:pPr>
            <w:r w:rsidRPr="0A324768" w:rsidR="0A324768">
              <w:rPr>
                <w:rFonts w:ascii="Calibri" w:hAnsi="Calibri" w:eastAsia="Calibri" w:cs="Calibri"/>
                <w:sz w:val="19"/>
                <w:szCs w:val="19"/>
                <w:lang w:val="en-US"/>
              </w:rPr>
              <w:t>UAT schedule and business-user availability from Customer.</w:t>
            </w:r>
          </w:p>
        </w:tc>
        <w:tc>
          <w:tcPr>
            <w:tcW w:w="2050" w:type="dxa"/>
            <w:shd w:val="clear" w:color="auto" w:fill="F2F2F2"/>
            <w:tcMar>
              <w:top w:w="60" w:type="dxa"/>
              <w:left w:w="80" w:type="dxa"/>
              <w:bottom w:w="60" w:type="dxa"/>
              <w:right w:w="80" w:type="dxa"/>
            </w:tcMar>
          </w:tcPr>
          <w:p w14:paraId="37BB6B82" wp14:textId="77777777">
            <w:pPr>
              <w:spacing w:after="40"/>
            </w:pPr>
            <w:r w:rsidRPr="0A324768" w:rsidR="0A324768">
              <w:rPr>
                <w:rFonts w:ascii="Calibri" w:hAnsi="Calibri" w:eastAsia="Calibri" w:cs="Calibri"/>
                <w:sz w:val="19"/>
                <w:szCs w:val="19"/>
                <w:lang w:val="en-US"/>
              </w:rPr>
              <w:t>Expected level of vendor involvement (hands-on vs. advisory) is not specified.</w:t>
            </w:r>
          </w:p>
        </w:tc>
      </w:tr>
      <w:tr xmlns:wp14="http://schemas.microsoft.com/office/word/2010/wordml" w:rsidTr="7B4BFEA9" w14:paraId="69927AF7" wp14:textId="77777777">
        <w:tc>
          <w:tcPr>
            <w:tcW w:w="700" w:type="dxa"/>
            <w:tcMar>
              <w:top w:w="60" w:type="dxa"/>
              <w:left w:w="80" w:type="dxa"/>
              <w:bottom w:w="60" w:type="dxa"/>
              <w:right w:w="80" w:type="dxa"/>
            </w:tcMar>
          </w:tcPr>
          <w:p w14:paraId="1DE8A8A0" wp14:textId="77777777">
            <w:pPr>
              <w:spacing w:after="40"/>
            </w:pPr>
            <w:r>
              <w:rPr>
                <w:rFonts w:ascii="Calibri" w:hAnsi="Calibri" w:eastAsia="Calibri" w:cs="Calibri"/>
                <w:sz w:val="19"/>
                <w:szCs w:val="19"/>
              </w:rPr>
              <w:t xml:space="preserve">FR-13</w:t>
            </w:r>
          </w:p>
        </w:tc>
        <w:tc>
          <w:tcPr>
            <w:tcW w:w="1500" w:type="dxa"/>
            <w:tcMar>
              <w:top w:w="60" w:type="dxa"/>
              <w:left w:w="80" w:type="dxa"/>
              <w:bottom w:w="60" w:type="dxa"/>
              <w:right w:w="80" w:type="dxa"/>
            </w:tcMar>
          </w:tcPr>
          <w:p w14:paraId="01EC127C" wp14:textId="77777777">
            <w:pPr>
              <w:spacing w:after="40"/>
            </w:pPr>
            <w:r w:rsidRPr="0A324768" w:rsidR="0A324768">
              <w:rPr>
                <w:rFonts w:ascii="Calibri" w:hAnsi="Calibri" w:eastAsia="Calibri" w:cs="Calibri"/>
                <w:sz w:val="19"/>
                <w:szCs w:val="19"/>
                <w:lang w:val="en-US"/>
              </w:rPr>
              <w:t>eSIM &amp; Multi-SIM Provisioning</w:t>
            </w:r>
          </w:p>
        </w:tc>
        <w:tc>
          <w:tcPr>
            <w:tcW w:w="2400" w:type="dxa"/>
            <w:tcMar>
              <w:top w:w="60" w:type="dxa"/>
              <w:left w:w="80" w:type="dxa"/>
              <w:bottom w:w="60" w:type="dxa"/>
              <w:right w:w="80" w:type="dxa"/>
            </w:tcMar>
          </w:tcPr>
          <w:p w14:paraId="1D520302" wp14:textId="77777777">
            <w:pPr>
              <w:spacing w:after="40"/>
            </w:pPr>
            <w:r w:rsidRPr="0A324768" w:rsidR="0A324768">
              <w:rPr>
                <w:rFonts w:ascii="Calibri" w:hAnsi="Calibri" w:eastAsia="Calibri" w:cs="Calibri"/>
                <w:sz w:val="19"/>
                <w:szCs w:val="19"/>
                <w:lang w:val="en-US"/>
              </w:rPr>
              <w:t>Cover eSIM activation and multi-SIM account management workflows on the provisioning platform.</w:t>
            </w:r>
          </w:p>
        </w:tc>
        <w:tc>
          <w:tcPr>
            <w:tcW w:w="2400" w:type="dxa"/>
            <w:tcMar>
              <w:top w:w="60" w:type="dxa"/>
              <w:left w:w="80" w:type="dxa"/>
              <w:bottom w:w="60" w:type="dxa"/>
              <w:right w:w="80" w:type="dxa"/>
            </w:tcMar>
          </w:tcPr>
          <w:p w14:paraId="400F8E2B" wp14:textId="77777777">
            <w:pPr>
              <w:spacing w:after="40"/>
            </w:pPr>
            <w:r w:rsidRPr="0A324768" w:rsidR="0A324768">
              <w:rPr>
                <w:rFonts w:ascii="Calibri" w:hAnsi="Calibri" w:eastAsia="Calibri" w:cs="Calibri"/>
                <w:sz w:val="19"/>
                <w:szCs w:val="19"/>
                <w:lang w:val="en-US"/>
              </w:rPr>
              <w:t>eSIM activation and multi-SIM linking scenarios are validated alongside standard SIM workflows.</w:t>
            </w:r>
          </w:p>
        </w:tc>
        <w:tc>
          <w:tcPr>
            <w:tcW w:w="2050" w:type="dxa"/>
            <w:tcMar>
              <w:top w:w="60" w:type="dxa"/>
              <w:left w:w="80" w:type="dxa"/>
              <w:bottom w:w="60" w:type="dxa"/>
              <w:right w:w="80" w:type="dxa"/>
            </w:tcMar>
          </w:tcPr>
          <w:p w14:paraId="2CE782C6" wp14:textId="77777777">
            <w:pPr>
              <w:spacing w:after="40"/>
            </w:pPr>
            <w:r w:rsidRPr="0A324768" w:rsidR="0A324768">
              <w:rPr>
                <w:rFonts w:ascii="Calibri" w:hAnsi="Calibri" w:eastAsia="Calibri" w:cs="Calibri"/>
                <w:sz w:val="19"/>
                <w:szCs w:val="19"/>
                <w:lang w:val="en-US"/>
              </w:rPr>
              <w:t>Access to eSIM provisioning test profiles and a compatible test device pool.</w:t>
            </w:r>
          </w:p>
        </w:tc>
        <w:tc>
          <w:tcPr>
            <w:tcW w:w="2050" w:type="dxa"/>
            <w:tcMar>
              <w:top w:w="60" w:type="dxa"/>
              <w:left w:w="80" w:type="dxa"/>
              <w:bottom w:w="60" w:type="dxa"/>
              <w:right w:w="80" w:type="dxa"/>
            </w:tcMar>
          </w:tcPr>
          <w:p w14:paraId="2C15EC2E" wp14:textId="77777777">
            <w:pPr>
              <w:spacing w:after="40"/>
            </w:pPr>
            <w:r w:rsidRPr="0A324768" w:rsidR="0A324768">
              <w:rPr>
                <w:rFonts w:ascii="Calibri" w:hAnsi="Calibri" w:eastAsia="Calibri" w:cs="Calibri"/>
                <w:sz w:val="19"/>
                <w:szCs w:val="19"/>
                <w:lang w:val="en-US"/>
              </w:rPr>
              <w:t>Not explicitly confirmed whether eSIM workflows are included under FR-03/FR-04 today or form a separate future initiative.</w:t>
            </w:r>
          </w:p>
        </w:tc>
      </w:tr>
      <w:tr xmlns:wp14="http://schemas.microsoft.com/office/word/2010/wordml" w:rsidTr="7B4BFEA9" w14:paraId="7BA5DE5F" wp14:textId="77777777">
        <w:tc>
          <w:tcPr>
            <w:tcW w:w="700" w:type="dxa"/>
            <w:shd w:val="clear" w:color="auto" w:fill="F2F2F2"/>
            <w:tcMar>
              <w:top w:w="60" w:type="dxa"/>
              <w:left w:w="80" w:type="dxa"/>
              <w:bottom w:w="60" w:type="dxa"/>
              <w:right w:w="80" w:type="dxa"/>
            </w:tcMar>
          </w:tcPr>
          <w:p w14:paraId="04B5A333" wp14:textId="77777777">
            <w:pPr>
              <w:spacing w:after="40"/>
            </w:pPr>
            <w:r>
              <w:rPr>
                <w:rFonts w:ascii="Calibri" w:hAnsi="Calibri" w:eastAsia="Calibri" w:cs="Calibri"/>
                <w:sz w:val="19"/>
                <w:szCs w:val="19"/>
              </w:rPr>
              <w:t xml:space="preserve">FR-14</w:t>
            </w:r>
          </w:p>
        </w:tc>
        <w:tc>
          <w:tcPr>
            <w:tcW w:w="1500" w:type="dxa"/>
            <w:shd w:val="clear" w:color="auto" w:fill="F2F2F2"/>
            <w:tcMar>
              <w:top w:w="60" w:type="dxa"/>
              <w:left w:w="80" w:type="dxa"/>
              <w:bottom w:w="60" w:type="dxa"/>
              <w:right w:w="80" w:type="dxa"/>
            </w:tcMar>
          </w:tcPr>
          <w:p w14:paraId="77E40739" wp14:textId="77777777">
            <w:pPr>
              <w:spacing w:after="40"/>
            </w:pPr>
            <w:r>
              <w:rPr>
                <w:rFonts w:ascii="Calibri" w:hAnsi="Calibri" w:eastAsia="Calibri" w:cs="Calibri"/>
                <w:sz w:val="19"/>
                <w:szCs w:val="19"/>
              </w:rPr>
              <w:t xml:space="preserve">Localization &amp; Multi-Language Testing</w:t>
            </w:r>
          </w:p>
        </w:tc>
        <w:tc>
          <w:tcPr>
            <w:tcW w:w="2400" w:type="dxa"/>
            <w:shd w:val="clear" w:color="auto" w:fill="F2F2F2"/>
            <w:tcMar>
              <w:top w:w="60" w:type="dxa"/>
              <w:left w:w="80" w:type="dxa"/>
              <w:bottom w:w="60" w:type="dxa"/>
              <w:right w:w="80" w:type="dxa"/>
            </w:tcMar>
          </w:tcPr>
          <w:p w14:paraId="23C0EF55" wp14:textId="77777777">
            <w:pPr>
              <w:spacing w:after="40"/>
            </w:pPr>
            <w:r>
              <w:rPr>
                <w:rFonts w:ascii="Calibri" w:hAnsi="Calibri" w:eastAsia="Calibri" w:cs="Calibri"/>
                <w:sz w:val="19"/>
                <w:szCs w:val="19"/>
              </w:rPr>
              <w:t xml:space="preserve">Self-care portal content is presented in English and at least one local language.</w:t>
            </w:r>
          </w:p>
        </w:tc>
        <w:tc>
          <w:tcPr>
            <w:tcW w:w="2400" w:type="dxa"/>
            <w:shd w:val="clear" w:color="auto" w:fill="F2F2F2"/>
            <w:tcMar>
              <w:top w:w="60" w:type="dxa"/>
              <w:left w:w="80" w:type="dxa"/>
              <w:bottom w:w="60" w:type="dxa"/>
              <w:right w:w="80" w:type="dxa"/>
            </w:tcMar>
          </w:tcPr>
          <w:p w14:paraId="1039ED06" wp14:textId="77777777">
            <w:pPr>
              <w:spacing w:after="40"/>
            </w:pPr>
            <w:r w:rsidRPr="0A324768" w:rsidR="0A324768">
              <w:rPr>
                <w:rFonts w:ascii="Calibri" w:hAnsi="Calibri" w:eastAsia="Calibri" w:cs="Calibri"/>
                <w:sz w:val="19"/>
                <w:szCs w:val="19"/>
                <w:lang w:val="en-US"/>
              </w:rPr>
              <w:t>UI text, date/number formats, and layout are validated in each supported language.</w:t>
            </w:r>
          </w:p>
        </w:tc>
        <w:tc>
          <w:tcPr>
            <w:tcW w:w="2050" w:type="dxa"/>
            <w:shd w:val="clear" w:color="auto" w:fill="F2F2F2"/>
            <w:tcMar>
              <w:top w:w="60" w:type="dxa"/>
              <w:left w:w="80" w:type="dxa"/>
              <w:bottom w:w="60" w:type="dxa"/>
              <w:right w:w="80" w:type="dxa"/>
            </w:tcMar>
          </w:tcPr>
          <w:p w14:paraId="2ED00118" wp14:textId="77777777">
            <w:pPr>
              <w:spacing w:after="40"/>
            </w:pPr>
            <w:r w:rsidRPr="0A324768" w:rsidR="0A324768">
              <w:rPr>
                <w:rFonts w:ascii="Calibri" w:hAnsi="Calibri" w:eastAsia="Calibri" w:cs="Calibri"/>
                <w:sz w:val="19"/>
                <w:szCs w:val="19"/>
                <w:lang w:val="en-US"/>
              </w:rPr>
              <w:t>Finalized translated content and locale-specific test data from Customer's content team.</w:t>
            </w:r>
          </w:p>
        </w:tc>
        <w:tc>
          <w:tcPr>
            <w:tcW w:w="2050" w:type="dxa"/>
            <w:shd w:val="clear" w:color="auto" w:fill="F2F2F2"/>
            <w:tcMar>
              <w:top w:w="60" w:type="dxa"/>
              <w:left w:w="80" w:type="dxa"/>
              <w:bottom w:w="60" w:type="dxa"/>
              <w:right w:w="80" w:type="dxa"/>
            </w:tcMar>
          </w:tcPr>
          <w:p w14:paraId="1E424E06" wp14:textId="77777777">
            <w:pPr>
              <w:spacing w:after="40"/>
            </w:pPr>
            <w:r>
              <w:rPr>
                <w:rFonts w:ascii="Calibri" w:hAnsi="Calibri" w:eastAsia="Calibri" w:cs="Calibri"/>
                <w:sz w:val="19"/>
                <w:szCs w:val="19"/>
              </w:rPr>
              <w:t xml:space="preserve">Responsibility for translation-accuracy testing (vendor vs. Customer content team) is not specified.</w:t>
            </w:r>
          </w:p>
        </w:tc>
      </w:tr>
      <w:tr xmlns:wp14="http://schemas.microsoft.com/office/word/2010/wordml" w:rsidTr="7B4BFEA9" w14:paraId="0BCDAF57" wp14:textId="77777777">
        <w:tc>
          <w:tcPr>
            <w:tcW w:w="700" w:type="dxa"/>
            <w:tcMar>
              <w:top w:w="60" w:type="dxa"/>
              <w:left w:w="80" w:type="dxa"/>
              <w:bottom w:w="60" w:type="dxa"/>
              <w:right w:w="80" w:type="dxa"/>
            </w:tcMar>
          </w:tcPr>
          <w:p w14:paraId="3EFEA743" wp14:textId="77777777">
            <w:pPr>
              <w:spacing w:after="40"/>
            </w:pPr>
            <w:r>
              <w:rPr>
                <w:rFonts w:ascii="Calibri" w:hAnsi="Calibri" w:eastAsia="Calibri" w:cs="Calibri"/>
                <w:sz w:val="19"/>
                <w:szCs w:val="19"/>
              </w:rPr>
              <w:t xml:space="preserve">FR-15</w:t>
            </w:r>
          </w:p>
        </w:tc>
        <w:tc>
          <w:tcPr>
            <w:tcW w:w="1500" w:type="dxa"/>
            <w:tcMar>
              <w:top w:w="60" w:type="dxa"/>
              <w:left w:w="80" w:type="dxa"/>
              <w:bottom w:w="60" w:type="dxa"/>
              <w:right w:w="80" w:type="dxa"/>
            </w:tcMar>
          </w:tcPr>
          <w:p w14:paraId="6A8DA80E" wp14:textId="77777777">
            <w:pPr>
              <w:spacing w:after="40"/>
            </w:pPr>
            <w:r>
              <w:rPr>
                <w:rFonts w:ascii="Calibri" w:hAnsi="Calibri" w:eastAsia="Calibri" w:cs="Calibri"/>
                <w:sz w:val="19"/>
                <w:szCs w:val="19"/>
              </w:rPr>
              <w:t xml:space="preserve">Core Workflow Prioritization</w:t>
            </w:r>
          </w:p>
        </w:tc>
        <w:tc>
          <w:tcPr>
            <w:tcW w:w="2400" w:type="dxa"/>
            <w:tcMar>
              <w:top w:w="60" w:type="dxa"/>
              <w:left w:w="80" w:type="dxa"/>
              <w:bottom w:w="60" w:type="dxa"/>
              <w:right w:w="80" w:type="dxa"/>
            </w:tcMar>
          </w:tcPr>
          <w:p w14:paraId="49B18C00" wp14:textId="77777777">
            <w:pPr>
              <w:spacing w:after="40"/>
            </w:pPr>
            <w:r>
              <w:rPr>
                <w:rFonts w:ascii="Calibri" w:hAnsi="Calibri" w:eastAsia="Calibri" w:cs="Calibri"/>
                <w:sz w:val="19"/>
                <w:szCs w:val="19"/>
              </w:rPr>
              <w:t xml:space="preserve">Manual and automated coverage should prioritize "core operator workflows" ahead of secondary ones.</w:t>
            </w:r>
          </w:p>
        </w:tc>
        <w:tc>
          <w:tcPr>
            <w:tcW w:w="2400" w:type="dxa"/>
            <w:tcMar>
              <w:top w:w="60" w:type="dxa"/>
              <w:left w:w="80" w:type="dxa"/>
              <w:bottom w:w="60" w:type="dxa"/>
              <w:right w:w="80" w:type="dxa"/>
            </w:tcMar>
          </w:tcPr>
          <w:p w14:paraId="68F65A7D" wp14:textId="77777777">
            <w:pPr>
              <w:spacing w:after="40"/>
            </w:pPr>
            <w:r w:rsidRPr="0A324768" w:rsidR="0A324768">
              <w:rPr>
                <w:rFonts w:ascii="Calibri" w:hAnsi="Calibri" w:eastAsia="Calibri" w:cs="Calibri"/>
                <w:sz w:val="19"/>
                <w:szCs w:val="19"/>
                <w:lang w:val="en-US"/>
              </w:rPr>
              <w:t>A jointly agreed list of core vs. non-core workflows drives test-effort allocation.</w:t>
            </w:r>
          </w:p>
        </w:tc>
        <w:tc>
          <w:tcPr>
            <w:tcW w:w="2050" w:type="dxa"/>
            <w:tcMar>
              <w:top w:w="60" w:type="dxa"/>
              <w:left w:w="80" w:type="dxa"/>
              <w:bottom w:w="60" w:type="dxa"/>
              <w:right w:w="80" w:type="dxa"/>
            </w:tcMar>
          </w:tcPr>
          <w:p w14:paraId="0DE13E51" wp14:textId="77777777">
            <w:pPr>
              <w:spacing w:after="40"/>
            </w:pPr>
            <w:r>
              <w:rPr>
                <w:rFonts w:ascii="Calibri" w:hAnsi="Calibri" w:eastAsia="Calibri" w:cs="Calibri"/>
                <w:sz w:val="19"/>
                <w:szCs w:val="19"/>
              </w:rPr>
              <w:t xml:space="preserve">Customer sign-off on which workflows are classified as core.</w:t>
            </w:r>
          </w:p>
        </w:tc>
        <w:tc>
          <w:tcPr>
            <w:tcW w:w="2050" w:type="dxa"/>
            <w:tcMar>
              <w:top w:w="60" w:type="dxa"/>
              <w:left w:w="80" w:type="dxa"/>
              <w:bottom w:w="60" w:type="dxa"/>
              <w:right w:w="80" w:type="dxa"/>
            </w:tcMar>
          </w:tcPr>
          <w:p w14:paraId="4C12B9E7" wp14:textId="77777777">
            <w:pPr>
              <w:spacing w:after="40"/>
            </w:pPr>
            <w:r>
              <w:rPr>
                <w:rFonts w:ascii="Calibri" w:hAnsi="Calibri" w:eastAsia="Calibri" w:cs="Calibri"/>
                <w:sz w:val="19"/>
                <w:szCs w:val="19"/>
              </w:rPr>
              <w:t xml:space="preserve">No definition or list of what constitutes a "core" workflow has been provided in this RFP.</w:t>
            </w:r>
          </w:p>
        </w:tc>
      </w:tr>
      <w:tr xmlns:wp14="http://schemas.microsoft.com/office/word/2010/wordml" w:rsidTr="7B4BFEA9" w14:paraId="6392B877" wp14:textId="77777777">
        <w:tc>
          <w:tcPr>
            <w:tcW w:w="700" w:type="dxa"/>
            <w:shd w:val="clear" w:color="auto" w:fill="F2F2F2"/>
            <w:tcMar>
              <w:top w:w="60" w:type="dxa"/>
              <w:left w:w="80" w:type="dxa"/>
              <w:bottom w:w="60" w:type="dxa"/>
              <w:right w:w="80" w:type="dxa"/>
            </w:tcMar>
          </w:tcPr>
          <w:p w14:paraId="09CA5854" wp14:textId="77777777">
            <w:pPr>
              <w:spacing w:after="40"/>
            </w:pPr>
            <w:r>
              <w:rPr>
                <w:rFonts w:ascii="Calibri" w:hAnsi="Calibri" w:eastAsia="Calibri" w:cs="Calibri"/>
                <w:sz w:val="19"/>
                <w:szCs w:val="19"/>
              </w:rPr>
              <w:t xml:space="preserve">FR-16</w:t>
            </w:r>
          </w:p>
        </w:tc>
        <w:tc>
          <w:tcPr>
            <w:tcW w:w="1500" w:type="dxa"/>
            <w:shd w:val="clear" w:color="auto" w:fill="F2F2F2"/>
            <w:tcMar>
              <w:top w:w="60" w:type="dxa"/>
              <w:left w:w="80" w:type="dxa"/>
              <w:bottom w:w="60" w:type="dxa"/>
              <w:right w:w="80" w:type="dxa"/>
            </w:tcMar>
          </w:tcPr>
          <w:p w14:paraId="4A859676" wp14:textId="77777777">
            <w:pPr>
              <w:spacing w:after="40"/>
            </w:pPr>
            <w:r>
              <w:rPr>
                <w:rFonts w:ascii="Calibri" w:hAnsi="Calibri" w:eastAsia="Calibri" w:cs="Calibri"/>
                <w:sz w:val="19"/>
                <w:szCs w:val="19"/>
              </w:rPr>
              <w:t xml:space="preserve">Test Evidence &amp; Defect Log Retention</w:t>
            </w:r>
          </w:p>
        </w:tc>
        <w:tc>
          <w:tcPr>
            <w:tcW w:w="2400" w:type="dxa"/>
            <w:shd w:val="clear" w:color="auto" w:fill="F2F2F2"/>
            <w:tcMar>
              <w:top w:w="60" w:type="dxa"/>
              <w:left w:w="80" w:type="dxa"/>
              <w:bottom w:w="60" w:type="dxa"/>
              <w:right w:w="80" w:type="dxa"/>
            </w:tcMar>
          </w:tcPr>
          <w:p w14:paraId="4272C185" wp14:textId="77777777">
            <w:pPr>
              <w:spacing w:after="40"/>
            </w:pPr>
            <w:r w:rsidRPr="0A324768" w:rsidR="0A324768">
              <w:rPr>
                <w:rFonts w:ascii="Calibri" w:hAnsi="Calibri" w:eastAsia="Calibri" w:cs="Calibri"/>
                <w:sz w:val="19"/>
                <w:szCs w:val="19"/>
                <w:lang w:val="en-US"/>
              </w:rPr>
              <w:t>Test evidence and defect logs must be retained to support internal quality reviews.</w:t>
            </w:r>
          </w:p>
        </w:tc>
        <w:tc>
          <w:tcPr>
            <w:tcW w:w="2400" w:type="dxa"/>
            <w:shd w:val="clear" w:color="auto" w:fill="F2F2F2"/>
            <w:tcMar>
              <w:top w:w="60" w:type="dxa"/>
              <w:left w:w="80" w:type="dxa"/>
              <w:bottom w:w="60" w:type="dxa"/>
              <w:right w:w="80" w:type="dxa"/>
            </w:tcMar>
          </w:tcPr>
          <w:p w14:paraId="0053EAEE" wp14:textId="77777777">
            <w:pPr>
              <w:spacing w:after="40"/>
            </w:pPr>
            <w:r>
              <w:rPr>
                <w:rFonts w:ascii="Calibri" w:hAnsi="Calibri" w:eastAsia="Calibri" w:cs="Calibri"/>
                <w:sz w:val="19"/>
                <w:szCs w:val="19"/>
              </w:rPr>
              <w:t xml:space="preserve">Retained records are available on request for an agreed retention period.</w:t>
            </w:r>
          </w:p>
        </w:tc>
        <w:tc>
          <w:tcPr>
            <w:tcW w:w="2050" w:type="dxa"/>
            <w:shd w:val="clear" w:color="auto" w:fill="F2F2F2"/>
            <w:tcMar>
              <w:top w:w="60" w:type="dxa"/>
              <w:left w:w="80" w:type="dxa"/>
              <w:bottom w:w="60" w:type="dxa"/>
              <w:right w:w="80" w:type="dxa"/>
            </w:tcMar>
          </w:tcPr>
          <w:p w14:paraId="61A02EDD" wp14:textId="77777777">
            <w:pPr>
              <w:spacing w:after="40"/>
            </w:pPr>
            <w:r w:rsidRPr="0A324768" w:rsidR="0A324768">
              <w:rPr>
                <w:rFonts w:ascii="Calibri" w:hAnsi="Calibri" w:eastAsia="Calibri" w:cs="Calibri"/>
                <w:sz w:val="19"/>
                <w:szCs w:val="19"/>
                <w:lang w:val="en-US"/>
              </w:rPr>
              <w:t>Customer's records-management / retention policy.</w:t>
            </w:r>
          </w:p>
        </w:tc>
        <w:tc>
          <w:tcPr>
            <w:tcW w:w="2050" w:type="dxa"/>
            <w:shd w:val="clear" w:color="auto" w:fill="F2F2F2"/>
            <w:tcMar>
              <w:top w:w="60" w:type="dxa"/>
              <w:left w:w="80" w:type="dxa"/>
              <w:bottom w:w="60" w:type="dxa"/>
              <w:right w:w="80" w:type="dxa"/>
            </w:tcMar>
          </w:tcPr>
          <w:p w14:paraId="06A5A174" wp14:textId="77777777">
            <w:pPr>
              <w:spacing w:after="40"/>
            </w:pPr>
            <w:r>
              <w:rPr>
                <w:rFonts w:ascii="Calibri" w:hAnsi="Calibri" w:eastAsia="Calibri" w:cs="Calibri"/>
                <w:sz w:val="19"/>
                <w:szCs w:val="19"/>
              </w:rPr>
              <w:t xml:space="preserve">Retention period is not specified; see also Section 8 (Auditability), which references the wrong requirement ID.</w:t>
            </w:r>
          </w:p>
        </w:tc>
      </w:tr>
      <w:tr xmlns:wp14="http://schemas.microsoft.com/office/word/2010/wordml" w:rsidTr="7B4BFEA9" w14:paraId="2A3E943E" wp14:textId="77777777">
        <w:tc>
          <w:tcPr>
            <w:tcW w:w="700" w:type="dxa"/>
            <w:tcMar>
              <w:top w:w="60" w:type="dxa"/>
              <w:left w:w="80" w:type="dxa"/>
              <w:bottom w:w="60" w:type="dxa"/>
              <w:right w:w="80" w:type="dxa"/>
            </w:tcMar>
          </w:tcPr>
          <w:p w14:paraId="360053C0" wp14:textId="77777777">
            <w:pPr>
              <w:spacing w:after="40"/>
            </w:pPr>
            <w:r>
              <w:rPr>
                <w:rFonts w:ascii="Calibri" w:hAnsi="Calibri" w:eastAsia="Calibri" w:cs="Calibri"/>
                <w:sz w:val="19"/>
                <w:szCs w:val="19"/>
              </w:rPr>
              <w:t xml:space="preserve">FR-17</w:t>
            </w:r>
          </w:p>
        </w:tc>
        <w:tc>
          <w:tcPr>
            <w:tcW w:w="1500" w:type="dxa"/>
            <w:tcMar>
              <w:top w:w="60" w:type="dxa"/>
              <w:left w:w="80" w:type="dxa"/>
              <w:bottom w:w="60" w:type="dxa"/>
              <w:right w:w="80" w:type="dxa"/>
            </w:tcMar>
          </w:tcPr>
          <w:p w:rsidR="7B4BFEA9" w:rsidP="7B4BFEA9" w:rsidRDefault="7B4BFEA9" w14:paraId="017AF5F0" w14:textId="022AF417">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Release Readiness Criteria ("Definition of Done")</w:t>
            </w:r>
          </w:p>
        </w:tc>
        <w:tc>
          <w:tcPr>
            <w:tcW w:w="2400" w:type="dxa"/>
            <w:tcMar>
              <w:top w:w="60" w:type="dxa"/>
              <w:left w:w="80" w:type="dxa"/>
              <w:bottom w:w="60" w:type="dxa"/>
              <w:right w:w="80" w:type="dxa"/>
            </w:tcMar>
          </w:tcPr>
          <w:p w:rsidR="7B4BFEA9" w:rsidP="7B4BFEA9" w:rsidRDefault="7B4BFEA9" w14:paraId="21894E99" w14:textId="5CE9124F">
            <w:pPr>
              <w:spacing w:after="40"/>
              <w:rPr>
                <w:rFonts w:ascii="Calibri" w:hAnsi="Calibri" w:eastAsia="Calibri" w:cs="Calibri"/>
                <w:b w:val="0"/>
                <w:bCs w:val="0"/>
                <w:i w:val="0"/>
                <w:iCs w:val="0"/>
                <w:sz w:val="19"/>
                <w:szCs w:val="19"/>
                <w:lang w:val="en-US"/>
              </w:rPr>
            </w:pPr>
            <w:r w:rsidRPr="7B4BFEA9" w:rsidR="7B4BFEA9">
              <w:rPr>
                <w:rFonts w:ascii="Calibri" w:hAnsi="Calibri" w:eastAsia="Calibri" w:cs="Calibri"/>
                <w:b w:val="0"/>
                <w:bCs w:val="0"/>
                <w:i w:val="0"/>
                <w:iCs w:val="0"/>
                <w:sz w:val="19"/>
                <w:szCs w:val="19"/>
                <w:lang w:val="en-US"/>
              </w:rPr>
              <w:t>QA sign-off is required before a release is considered ready for production.</w:t>
            </w:r>
          </w:p>
        </w:tc>
        <w:tc>
          <w:tcPr>
            <w:tcW w:w="2400" w:type="dxa"/>
            <w:tcMar>
              <w:top w:w="60" w:type="dxa"/>
              <w:left w:w="80" w:type="dxa"/>
              <w:bottom w:w="60" w:type="dxa"/>
              <w:right w:w="80" w:type="dxa"/>
            </w:tcMar>
          </w:tcPr>
          <w:p w:rsidR="7B4BFEA9" w:rsidP="7B4BFEA9" w:rsidRDefault="7B4BFEA9" w14:paraId="45D16F31" w14:textId="73732EB9">
            <w:pPr>
              <w:spacing w:after="40"/>
              <w:rPr>
                <w:rFonts w:ascii="Calibri" w:hAnsi="Calibri" w:eastAsia="Calibri" w:cs="Calibri"/>
                <w:b w:val="0"/>
                <w:bCs w:val="0"/>
                <w:i w:val="0"/>
                <w:iCs w:val="0"/>
                <w:sz w:val="19"/>
                <w:szCs w:val="19"/>
                <w:lang w:val="en-US"/>
              </w:rPr>
            </w:pPr>
            <w:r w:rsidRPr="7B4BFEA9" w:rsidR="7B4BFEA9">
              <w:rPr>
                <w:rFonts w:ascii="Calibri" w:hAnsi="Calibri" w:eastAsia="Calibri" w:cs="Calibri"/>
                <w:b w:val="0"/>
                <w:bCs w:val="0"/>
                <w:i w:val="0"/>
                <w:iCs w:val="0"/>
                <w:sz w:val="19"/>
                <w:szCs w:val="19"/>
                <w:lang w:val="en-US"/>
              </w:rPr>
              <w:t>A documented exit checklist determines whether a release passes QA sign-off; the checklist result is captured in the release-level QA sign-off report (see FR-10) ahead of each monthly release gate.</w:t>
            </w:r>
          </w:p>
        </w:tc>
        <w:tc>
          <w:tcPr>
            <w:tcW w:w="2050" w:type="dxa"/>
            <w:tcMar>
              <w:top w:w="60" w:type="dxa"/>
              <w:left w:w="80" w:type="dxa"/>
              <w:bottom w:w="60" w:type="dxa"/>
              <w:right w:w="80" w:type="dxa"/>
            </w:tcMar>
          </w:tcPr>
          <w:p w:rsidR="7B4BFEA9" w:rsidP="7B4BFEA9" w:rsidRDefault="7B4BFEA9" w14:paraId="3A7785E0" w14:textId="6242F227">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Joint definition of exit criteria with Customer Release Management.</w:t>
            </w:r>
          </w:p>
        </w:tc>
        <w:tc>
          <w:tcPr>
            <w:tcW w:w="2050" w:type="dxa"/>
            <w:tcMar>
              <w:top w:w="60" w:type="dxa"/>
              <w:left w:w="80" w:type="dxa"/>
              <w:bottom w:w="60" w:type="dxa"/>
              <w:right w:w="80" w:type="dxa"/>
            </w:tcMar>
          </w:tcPr>
          <w:p w:rsidR="7B4BFEA9" w:rsidP="7B4BFEA9" w:rsidRDefault="7B4BFEA9" w14:paraId="701BBF35" w14:textId="6961C50E">
            <w:pPr>
              <w:spacing w:after="40"/>
              <w:rPr>
                <w:rFonts w:ascii="Calibri" w:hAnsi="Calibri" w:eastAsia="Calibri" w:cs="Calibri"/>
                <w:b w:val="0"/>
                <w:bCs w:val="0"/>
                <w:i w:val="0"/>
                <w:iCs w:val="0"/>
                <w:sz w:val="19"/>
                <w:szCs w:val="19"/>
              </w:rPr>
            </w:pPr>
            <w:r w:rsidRPr="7B4BFEA9" w:rsidR="7B4BFEA9">
              <w:rPr>
                <w:rFonts w:ascii="Calibri" w:hAnsi="Calibri" w:eastAsia="Calibri" w:cs="Calibri"/>
                <w:b w:val="0"/>
                <w:bCs w:val="0"/>
                <w:i w:val="0"/>
                <w:iCs w:val="0"/>
                <w:sz w:val="19"/>
                <w:szCs w:val="19"/>
              </w:rPr>
              <w:t>No formal "Definition of Done" or release exit checklist currently exists.</w:t>
            </w:r>
          </w:p>
        </w:tc>
      </w:tr>
    </w:tbl>
    <w:p xmlns:wp14="http://schemas.microsoft.com/office/word/2010/wordml" w14:paraId="5DAB6C7B" wp14:textId="77777777">
      <w:pPr>
        <w:spacing w:before="200"/>
      </w:pPr>
      <w:r>
        <w:br w:type="page"/>
      </w:r>
    </w:p>
    <w:p xmlns:wp14="http://schemas.microsoft.com/office/word/2010/wordml" w14:paraId="218EF1A3" wp14:textId="77777777">
      <w:pPr>
        <w:pStyle w:val="Heading1"/>
        <w:pBdr>
          <w:bottom w:val="single" w:color="1F3864" w:sz="6" w:space="4"/>
        </w:pBdr>
        <w:spacing w:before="360" w:after="160"/>
      </w:pPr>
      <w:r w:rsidRPr="7B4BFEA9" w:rsidR="7B4BFEA9">
        <w:rPr>
          <w:rFonts w:ascii="Calibri" w:hAnsi="Calibri" w:eastAsia="Calibri" w:cs="Calibri"/>
          <w:b w:val="1"/>
          <w:bCs w:val="1"/>
          <w:color w:val="1F3864"/>
          <w:sz w:val="30"/>
          <w:szCs w:val="30"/>
        </w:rPr>
        <w:t>12. Deliverables</w:t>
      </w:r>
    </w:p>
    <w:p w:rsidR="0C61EF1D" w:rsidP="7B4BFEA9" w:rsidRDefault="0C61EF1D" w14:paraId="03CA09C3" w14:textId="5BBFE549">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Test strategy and test plan documents, per phase/release.</w:t>
      </w:r>
    </w:p>
    <w:p w:rsidR="0C61EF1D" w:rsidP="7B4BFEA9" w:rsidRDefault="0C61EF1D" w14:paraId="1A2FDE2B" w14:textId="6CA13E4B">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Test-case estimation summary — estimated counts for test cases designed, automated, and manually executed, by phase — as the basis for the proposed team size (see Section 15).</w:t>
      </w:r>
    </w:p>
    <w:p w:rsidR="0C61EF1D" w:rsidP="7B4BFEA9" w:rsidRDefault="0C61EF1D" w14:paraId="64379A4F" w14:textId="595FF1E3">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Automated regression suite with a maintainable framework and supporting documentation.</w:t>
      </w:r>
    </w:p>
    <w:p w:rsidR="0C61EF1D" w:rsidP="7B4BFEA9" w:rsidRDefault="0C61EF1D" w14:paraId="38F1B6D2" w14:textId="0DA691AA">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Defect reports and triage logs.</w:t>
      </w:r>
    </w:p>
    <w:p w:rsidR="0C61EF1D" w:rsidP="7B4BFEA9" w:rsidRDefault="0C61EF1D" w14:paraId="55ECB416" w14:textId="6C5224FC">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Sprint-level QA reports (bi-weekly) and release-level QA sign-off reports (monthly, per FR-10/FR-17).</w:t>
      </w:r>
    </w:p>
    <w:p w:rsidR="0C61EF1D" w:rsidP="7B4BFEA9" w:rsidRDefault="0C61EF1D" w14:paraId="0CF4A8E1" w14:textId="44296F25">
      <w:pPr>
        <w:pStyle w:val="ListParagraph"/>
        <w:numPr>
          <w:ilvl w:val="0"/>
          <w:numId w:val="2"/>
        </w:numPr>
        <w:spacing w:after="90" w:line="276" w:lineRule="auto"/>
        <w:rPr>
          <w:rFonts w:ascii="Calibri" w:hAnsi="Calibri" w:eastAsia="Calibri" w:cs="Calibri"/>
          <w:b w:val="0"/>
          <w:bCs w:val="0"/>
          <w:i w:val="0"/>
          <w:iCs w:val="0"/>
          <w:sz w:val="21"/>
          <w:szCs w:val="21"/>
          <w:lang w:val="en-US"/>
        </w:rPr>
      </w:pPr>
      <w:r w:rsidRPr="7B4BFEA9" w:rsidR="0C61EF1D">
        <w:rPr>
          <w:rFonts w:ascii="Calibri" w:hAnsi="Calibri" w:eastAsia="Calibri" w:cs="Calibri"/>
          <w:b w:val="0"/>
          <w:bCs w:val="0"/>
          <w:i w:val="0"/>
          <w:iCs w:val="0"/>
          <w:sz w:val="21"/>
          <w:szCs w:val="21"/>
          <w:lang w:val="en-US"/>
        </w:rPr>
        <w:t>UAT support artifacts, including scripts and defect logs.</w:t>
      </w:r>
    </w:p>
    <w:p w:rsidR="0C61EF1D" w:rsidP="7B4BFEA9" w:rsidRDefault="0C61EF1D" w14:paraId="237E2AE4" w14:textId="6BF5B65B">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0C61EF1D">
        <w:rPr>
          <w:rFonts w:ascii="Calibri" w:hAnsi="Calibri" w:eastAsia="Calibri" w:cs="Calibri"/>
          <w:b w:val="0"/>
          <w:bCs w:val="0"/>
          <w:i w:val="0"/>
          <w:iCs w:val="0"/>
          <w:sz w:val="21"/>
          <w:szCs w:val="21"/>
        </w:rPr>
        <w:t>End-of-phase QA summary report.</w:t>
      </w:r>
    </w:p>
    <w:p xmlns:wp14="http://schemas.microsoft.com/office/word/2010/wordml" w14:paraId="3F2C4B5E"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13. Team &amp; Staffing — Estimation-Driven Approach</w:t>
      </w:r>
    </w:p>
    <w:p xmlns:wp14="http://schemas.microsoft.com/office/word/2010/wordml" w14:paraId="78615296" wp14:textId="77777777">
      <w:pPr>
        <w:spacing w:after="160" w:line="276"/>
      </w:pPr>
      <w:r>
        <w:rPr>
          <w:rFonts w:ascii="Calibri" w:hAnsi="Calibri" w:eastAsia="Calibri" w:cs="Calibri"/>
          <w:sz w:val="21"/>
          <w:szCs w:val="21"/>
        </w:rPr>
        <w:t xml:space="preserve">Nexus Telecom does not prescribe a required team structure, role mix, or headcount by category. Vendors are expected to derive their proposed team size and composition directly from their own test-case volume and effort estimate (see Section 15), rather than assume a team size upfront.</w:t>
      </w:r>
    </w:p>
    <w:p xmlns:wp14="http://schemas.microsoft.com/office/word/2010/wordml" w14:paraId="7F4BFEAC" wp14:textId="77777777">
      <w:pPr>
        <w:spacing w:after="160" w:line="276" w:lineRule="auto"/>
      </w:pPr>
      <w:r w:rsidRPr="0A324768" w:rsidR="0A324768">
        <w:rPr>
          <w:rFonts w:ascii="Calibri" w:hAnsi="Calibri" w:eastAsia="Calibri" w:cs="Calibri"/>
          <w:sz w:val="21"/>
          <w:szCs w:val="21"/>
          <w:lang w:val="en-US"/>
        </w:rPr>
        <w:t>Vendors must state the underlying assumptions used to arrive at their proposed team size — for example, average test-case design productivity, manual execution throughput, and automation development velocity. Nexus Telecom has not specified a required onshore/offshore ratio or working-hours overlap; these should also be justified as part of the same estimate rather than assumed.</w:t>
      </w:r>
    </w:p>
    <w:p xmlns:wp14="http://schemas.microsoft.com/office/word/2010/wordml" w14:paraId="434E098A"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14. Timeline &amp; Key Milestones</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8500"/>
      </w:tblGrid>
      <w:tr xmlns:wp14="http://schemas.microsoft.com/office/word/2010/wordml" w:rsidTr="0A324768" w14:paraId="0F54A41F" wp14:textId="77777777">
        <w:trPr>
          <w:tblHeader/>
        </w:trPr>
        <w:tc>
          <w:tcPr>
            <w:tcW w:w="2600" w:type="dxa"/>
            <w:shd w:val="clear" w:color="auto" w:fill="1F3864"/>
            <w:tcMar>
              <w:top w:w="60" w:type="dxa"/>
              <w:left w:w="80" w:type="dxa"/>
              <w:bottom w:w="60" w:type="dxa"/>
              <w:right w:w="80" w:type="dxa"/>
            </w:tcMar>
            <w:vAlign w:val="center"/>
          </w:tcPr>
          <w:p w14:paraId="661B0C4B" wp14:textId="77777777">
            <w:r>
              <w:rPr>
                <w:rFonts w:ascii="Calibri" w:hAnsi="Calibri" w:eastAsia="Calibri" w:cs="Calibri"/>
                <w:b/>
                <w:bCs/>
                <w:color w:val="FFFFFF"/>
                <w:sz w:val="18"/>
                <w:szCs w:val="18"/>
              </w:rPr>
              <w:t xml:space="preserve">Phase</w:t>
            </w:r>
          </w:p>
        </w:tc>
        <w:tc>
          <w:tcPr>
            <w:tcW w:w="8500" w:type="dxa"/>
            <w:shd w:val="clear" w:color="auto" w:fill="1F3864"/>
            <w:tcMar>
              <w:top w:w="60" w:type="dxa"/>
              <w:left w:w="80" w:type="dxa"/>
              <w:bottom w:w="60" w:type="dxa"/>
              <w:right w:w="80" w:type="dxa"/>
            </w:tcMar>
            <w:vAlign w:val="center"/>
          </w:tcPr>
          <w:p w14:paraId="409C6ACB" wp14:textId="77777777">
            <w:r>
              <w:rPr>
                <w:rFonts w:ascii="Calibri" w:hAnsi="Calibri" w:eastAsia="Calibri" w:cs="Calibri"/>
                <w:b/>
                <w:bCs/>
                <w:color w:val="FFFFFF"/>
                <w:sz w:val="18"/>
                <w:szCs w:val="18"/>
              </w:rPr>
              <w:t xml:space="preserve">Key Activities</w:t>
            </w:r>
          </w:p>
        </w:tc>
      </w:tr>
      <w:tr xmlns:wp14="http://schemas.microsoft.com/office/word/2010/wordml" w:rsidTr="0A324768" w14:paraId="7E018C2D" wp14:textId="77777777">
        <w:tc>
          <w:tcPr>
            <w:tcW w:w="2600" w:type="dxa"/>
            <w:tcMar>
              <w:top w:w="60" w:type="dxa"/>
              <w:left w:w="80" w:type="dxa"/>
              <w:bottom w:w="60" w:type="dxa"/>
              <w:right w:w="80" w:type="dxa"/>
            </w:tcMar>
          </w:tcPr>
          <w:p w14:paraId="38AFE716" wp14:textId="77777777">
            <w:pPr>
              <w:spacing w:after="40"/>
            </w:pPr>
            <w:r>
              <w:rPr>
                <w:rFonts w:ascii="Calibri" w:hAnsi="Calibri" w:eastAsia="Calibri" w:cs="Calibri"/>
                <w:b/>
                <w:bCs/>
                <w:sz w:val="19"/>
                <w:szCs w:val="19"/>
              </w:rPr>
              <w:t xml:space="preserve">Phase 1 (Months 1–2)</w:t>
            </w:r>
          </w:p>
        </w:tc>
        <w:tc>
          <w:tcPr>
            <w:tcW w:w="8500" w:type="dxa"/>
            <w:tcMar>
              <w:top w:w="60" w:type="dxa"/>
              <w:left w:w="80" w:type="dxa"/>
              <w:bottom w:w="60" w:type="dxa"/>
              <w:right w:w="80" w:type="dxa"/>
            </w:tcMar>
          </w:tcPr>
          <w:p w14:paraId="26CDF628" wp14:textId="77777777">
            <w:pPr>
              <w:spacing w:after="40"/>
            </w:pPr>
            <w:r>
              <w:rPr>
                <w:rFonts w:ascii="Calibri" w:hAnsi="Calibri" w:eastAsia="Calibri" w:cs="Calibri"/>
                <w:sz w:val="19"/>
                <w:szCs w:val="19"/>
              </w:rPr>
              <w:t xml:space="preserve">Onboarding, environment access, test strategy sign-off, initial manual test coverage.</w:t>
            </w:r>
          </w:p>
        </w:tc>
      </w:tr>
      <w:tr xmlns:wp14="http://schemas.microsoft.com/office/word/2010/wordml" w:rsidTr="0A324768" w14:paraId="47668730" wp14:textId="77777777">
        <w:tc>
          <w:tcPr>
            <w:tcW w:w="2600" w:type="dxa"/>
            <w:shd w:val="clear" w:color="auto" w:fill="F2F2F2"/>
            <w:tcMar>
              <w:top w:w="60" w:type="dxa"/>
              <w:left w:w="80" w:type="dxa"/>
              <w:bottom w:w="60" w:type="dxa"/>
              <w:right w:w="80" w:type="dxa"/>
            </w:tcMar>
          </w:tcPr>
          <w:p w14:paraId="18149C40" wp14:textId="77777777">
            <w:pPr>
              <w:spacing w:after="40"/>
            </w:pPr>
            <w:r>
              <w:rPr>
                <w:rFonts w:ascii="Calibri" w:hAnsi="Calibri" w:eastAsia="Calibri" w:cs="Calibri"/>
                <w:b/>
                <w:bCs/>
                <w:sz w:val="19"/>
                <w:szCs w:val="19"/>
              </w:rPr>
              <w:t xml:space="preserve">Phase 2 (Months 3–6)</w:t>
            </w:r>
          </w:p>
        </w:tc>
        <w:tc>
          <w:tcPr>
            <w:tcW w:w="8500" w:type="dxa"/>
            <w:shd w:val="clear" w:color="auto" w:fill="F2F2F2"/>
            <w:tcMar>
              <w:top w:w="60" w:type="dxa"/>
              <w:left w:w="80" w:type="dxa"/>
              <w:bottom w:w="60" w:type="dxa"/>
              <w:right w:w="80" w:type="dxa"/>
            </w:tcMar>
          </w:tcPr>
          <w:p w14:paraId="080D5A8B" wp14:textId="77777777">
            <w:pPr>
              <w:spacing w:after="40"/>
            </w:pPr>
            <w:r>
              <w:rPr>
                <w:rFonts w:ascii="Calibri" w:hAnsi="Calibri" w:eastAsia="Calibri" w:cs="Calibri"/>
                <w:sz w:val="19"/>
                <w:szCs w:val="19"/>
              </w:rPr>
              <w:t xml:space="preserve">Full manual and API test coverage; automation framework build-out; automation coverage progress per Section 11, FR-04.</w:t>
            </w:r>
          </w:p>
        </w:tc>
      </w:tr>
      <w:tr xmlns:wp14="http://schemas.microsoft.com/office/word/2010/wordml" w:rsidTr="0A324768" w14:paraId="67B923A4" wp14:textId="77777777">
        <w:tc>
          <w:tcPr>
            <w:tcW w:w="2600" w:type="dxa"/>
            <w:tcMar>
              <w:top w:w="60" w:type="dxa"/>
              <w:left w:w="80" w:type="dxa"/>
              <w:bottom w:w="60" w:type="dxa"/>
              <w:right w:w="80" w:type="dxa"/>
            </w:tcMar>
          </w:tcPr>
          <w:p w14:paraId="4BA82ACB" wp14:textId="77777777">
            <w:pPr>
              <w:spacing w:after="40"/>
            </w:pPr>
            <w:r>
              <w:rPr>
                <w:rFonts w:ascii="Calibri" w:hAnsi="Calibri" w:eastAsia="Calibri" w:cs="Calibri"/>
                <w:b/>
                <w:bCs/>
                <w:sz w:val="19"/>
                <w:szCs w:val="19"/>
              </w:rPr>
              <w:t xml:space="preserve">Phase 3 (Months 7–12)</w:t>
            </w:r>
          </w:p>
        </w:tc>
        <w:tc>
          <w:tcPr>
            <w:tcW w:w="8500" w:type="dxa"/>
            <w:tcMar>
              <w:top w:w="60" w:type="dxa"/>
              <w:left w:w="80" w:type="dxa"/>
              <w:bottom w:w="60" w:type="dxa"/>
              <w:right w:w="80" w:type="dxa"/>
            </w:tcMar>
          </w:tcPr>
          <w:p w14:paraId="530CBDD3" wp14:textId="77777777">
            <w:pPr>
              <w:spacing w:after="40"/>
            </w:pPr>
            <w:r w:rsidRPr="0A324768" w:rsidR="0A324768">
              <w:rPr>
                <w:rFonts w:ascii="Calibri" w:hAnsi="Calibri" w:eastAsia="Calibri" w:cs="Calibri"/>
                <w:sz w:val="19"/>
                <w:szCs w:val="19"/>
                <w:lang w:val="en-US"/>
              </w:rPr>
              <w:t>Steady-state QA operations, regression automation maintenance, UAT support for major releases.</w:t>
            </w:r>
          </w:p>
        </w:tc>
      </w:tr>
    </w:tbl>
    <w:p xmlns:wp14="http://schemas.microsoft.com/office/word/2010/wordml" w14:paraId="29C8BE88" wp14:textId="77777777">
      <w:pPr>
        <w:spacing w:after="160" w:line="276" w:lineRule="auto"/>
      </w:pPr>
      <w:r w:rsidRPr="0A324768" w:rsidR="0A324768">
        <w:rPr>
          <w:rFonts w:ascii="Calibri" w:hAnsi="Calibri" w:eastAsia="Calibri" w:cs="Calibri"/>
          <w:i w:val="1"/>
          <w:iCs w:val="1"/>
          <w:sz w:val="21"/>
          <w:szCs w:val="21"/>
          <w:lang w:val="en-US"/>
        </w:rPr>
        <w:t>Dates are indicative; the final timeline will be mutually agreed during contracting.</w:t>
      </w:r>
    </w:p>
    <w:p xmlns:wp14="http://schemas.microsoft.com/office/word/2010/wordml" w14:paraId="20131D8A"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15. Commercial Proposal Requirements</w:t>
      </w:r>
    </w:p>
    <w:p xmlns:wp14="http://schemas.microsoft.com/office/word/2010/wordml" w14:paraId="2C9B5CD6" wp14:textId="77777777">
      <w:pPr>
        <w:spacing w:after="160" w:line="276" w:lineRule="auto"/>
      </w:pPr>
      <w:r w:rsidRPr="0A324768" w:rsidR="0A324768">
        <w:rPr>
          <w:rFonts w:ascii="Calibri" w:hAnsi="Calibri" w:eastAsia="Calibri" w:cs="Calibri"/>
          <w:sz w:val="21"/>
          <w:szCs w:val="21"/>
          <w:lang w:val="en-US"/>
        </w:rPr>
        <w:t>Vendors shall submit a bottom-up estimate, together with the resulting commercial proposal, covering:</w:t>
      </w:r>
    </w:p>
    <w:p xmlns:wp14="http://schemas.microsoft.com/office/word/2010/wordml" w14:paraId="6E4C639E" wp14:textId="77777777">
      <w:pPr>
        <w:pStyle w:val="ListParagraph"/>
        <w:numPr>
          <w:ilvl w:val="0"/>
          <w:numId w:val="2"/>
        </w:numPr>
        <w:spacing w:after="90" w:line="276"/>
      </w:pPr>
      <w:r>
        <w:rPr>
          <w:rFonts w:ascii="Calibri" w:hAnsi="Calibri" w:eastAsia="Calibri" w:cs="Calibri"/>
          <w:sz w:val="21"/>
          <w:szCs w:val="21"/>
        </w:rPr>
        <w:t xml:space="preserve">Estimated number of test cases to be designed, by test type (UI, API, manual/exploratory) and in-scope requirement (see Section 11).</w:t>
      </w:r>
    </w:p>
    <w:p xmlns:wp14="http://schemas.microsoft.com/office/word/2010/wordml" w14:paraId="3CD8189B" wp14:textId="77777777">
      <w:pPr>
        <w:pStyle w:val="ListParagraph"/>
        <w:numPr>
          <w:ilvl w:val="0"/>
          <w:numId w:val="2"/>
        </w:numPr>
        <w:spacing w:after="90" w:line="276"/>
      </w:pPr>
      <w:r>
        <w:rPr>
          <w:rFonts w:ascii="Calibri" w:hAnsi="Calibri" w:eastAsia="Calibri" w:cs="Calibri"/>
          <w:sz w:val="21"/>
          <w:szCs w:val="21"/>
        </w:rPr>
        <w:t xml:space="preserve">Estimated number of test cases to be automated versus executed manually, by phase (see Section 14).</w:t>
      </w:r>
    </w:p>
    <w:p xmlns:wp14="http://schemas.microsoft.com/office/word/2010/wordml" w14:paraId="5B3852B1" wp14:textId="77777777">
      <w:pPr>
        <w:pStyle w:val="ListParagraph"/>
        <w:numPr>
          <w:ilvl w:val="0"/>
          <w:numId w:val="2"/>
        </w:numPr>
        <w:spacing w:after="90" w:line="276"/>
      </w:pPr>
      <w:r>
        <w:rPr>
          <w:rFonts w:ascii="Calibri" w:hAnsi="Calibri" w:eastAsia="Calibri" w:cs="Calibri"/>
          <w:sz w:val="21"/>
          <w:szCs w:val="21"/>
        </w:rPr>
        <w:t xml:space="preserve">The resulting proposed team size and composition, derived from the estimate above rather than assumed upfront, together with the underlying assumptions used to arrive at it (e.g., test-case design/execution productivity rates, automation development velocity, working days per sprint).</w:t>
      </w:r>
    </w:p>
    <w:p xmlns:wp14="http://schemas.microsoft.com/office/word/2010/wordml" w14:paraId="5E5D3E4B" wp14:textId="77777777">
      <w:pPr>
        <w:pStyle w:val="ListParagraph"/>
        <w:numPr>
          <w:ilvl w:val="0"/>
          <w:numId w:val="2"/>
        </w:numPr>
        <w:spacing w:after="90" w:line="276"/>
      </w:pPr>
      <w:r>
        <w:rPr>
          <w:rFonts w:ascii="Calibri" w:hAnsi="Calibri" w:eastAsia="Calibri" w:cs="Calibri"/>
          <w:sz w:val="21"/>
          <w:szCs w:val="21"/>
        </w:rPr>
        <w:t xml:space="preserve">Proposed rate card aligned to the derived team size (onshore/offshore blended, per role).</w:t>
      </w:r>
    </w:p>
    <w:p xmlns:wp14="http://schemas.microsoft.com/office/word/2010/wordml" w14:paraId="2EFFB87D" wp14:textId="77777777">
      <w:pPr>
        <w:pStyle w:val="ListParagraph"/>
        <w:numPr>
          <w:ilvl w:val="0"/>
          <w:numId w:val="2"/>
        </w:numPr>
        <w:spacing w:after="90" w:line="276"/>
      </w:pPr>
      <w:r>
        <w:rPr>
          <w:rFonts w:ascii="Calibri" w:hAnsi="Calibri" w:eastAsia="Calibri" w:cs="Calibri"/>
          <w:sz w:val="21"/>
          <w:szCs w:val="21"/>
        </w:rPr>
        <w:t xml:space="preserve">Proposed engagement model (Time &amp; Materials, fixed capacity, or hybrid).</w:t>
      </w:r>
    </w:p>
    <w:p xmlns:wp14="http://schemas.microsoft.com/office/word/2010/wordml" w14:paraId="7F60F467" wp14:textId="77777777">
      <w:pPr>
        <w:pStyle w:val="ListParagraph"/>
        <w:numPr>
          <w:ilvl w:val="0"/>
          <w:numId w:val="2"/>
        </w:numPr>
        <w:spacing w:after="90" w:line="276" w:lineRule="auto"/>
        <w:rPr/>
      </w:pPr>
      <w:r w:rsidRPr="0A324768" w:rsidR="0A324768">
        <w:rPr>
          <w:rFonts w:ascii="Calibri" w:hAnsi="Calibri" w:eastAsia="Calibri" w:cs="Calibri"/>
          <w:sz w:val="21"/>
          <w:szCs w:val="21"/>
          <w:lang w:val="en-US"/>
        </w:rPr>
        <w:t>Automation tooling and licensing cost implications, if any, and how such costs would be allocated between vendor and Customer (see Section 5).</w:t>
      </w:r>
    </w:p>
    <w:p xmlns:wp14="http://schemas.microsoft.com/office/word/2010/wordml" w14:paraId="501938AB" wp14:textId="77777777">
      <w:pPr>
        <w:pStyle w:val="ListParagraph"/>
        <w:numPr>
          <w:ilvl w:val="0"/>
          <w:numId w:val="2"/>
        </w:numPr>
        <w:spacing w:after="90" w:line="276"/>
      </w:pPr>
      <w:r>
        <w:rPr>
          <w:rFonts w:ascii="Calibri" w:hAnsi="Calibri" w:eastAsia="Calibri" w:cs="Calibri"/>
          <w:sz w:val="21"/>
          <w:szCs w:val="21"/>
        </w:rPr>
        <w:t xml:space="preserve">Key assumptions and dependencies underlying the proposal.</w:t>
      </w:r>
    </w:p>
    <w:p xmlns:wp14="http://schemas.microsoft.com/office/word/2010/wordml" w14:paraId="6FA5080A" wp14:textId="77777777">
      <w:pPr>
        <w:pStyle w:val="ListParagraph"/>
        <w:numPr>
          <w:ilvl w:val="0"/>
          <w:numId w:val="2"/>
        </w:numPr>
        <w:spacing w:after="90" w:line="276"/>
      </w:pPr>
      <w:r>
        <w:rPr>
          <w:rFonts w:ascii="Calibri" w:hAnsi="Calibri" w:eastAsia="Calibri" w:cs="Calibri"/>
          <w:sz w:val="21"/>
          <w:szCs w:val="21"/>
        </w:rPr>
        <w:t xml:space="preserve">High-level implementation plan aligned to Section 14.</w:t>
      </w:r>
    </w:p>
    <w:p xmlns:wp14="http://schemas.microsoft.com/office/word/2010/wordml" w14:paraId="7D7C99FD"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16. Evaluation Criteria (Vendor-Facing)</w:t>
      </w:r>
    </w:p>
    <w:p xmlns:wp14="http://schemas.microsoft.com/office/word/2010/wordml" w14:paraId="364FB85F" wp14:textId="77777777">
      <w:pPr>
        <w:spacing w:after="160" w:line="276"/>
      </w:pPr>
      <w:r>
        <w:rPr>
          <w:rFonts w:ascii="Calibri" w:hAnsi="Calibri" w:eastAsia="Calibri" w:cs="Calibri"/>
          <w:sz w:val="21"/>
          <w:szCs w:val="21"/>
        </w:rPr>
        <w:t xml:space="preserve">Proposals will be evaluated on:</w:t>
      </w:r>
    </w:p>
    <w:p xmlns:wp14="http://schemas.microsoft.com/office/word/2010/wordml" w14:paraId="3892F5B0" wp14:textId="77777777">
      <w:pPr>
        <w:pStyle w:val="ListParagraph"/>
        <w:numPr>
          <w:ilvl w:val="0"/>
          <w:numId w:val="2"/>
        </w:numPr>
        <w:spacing w:after="90" w:line="276" w:lineRule="auto"/>
        <w:rPr/>
      </w:pPr>
      <w:r w:rsidRPr="0A324768" w:rsidR="0A324768">
        <w:rPr>
          <w:rFonts w:ascii="Calibri" w:hAnsi="Calibri" w:eastAsia="Calibri" w:cs="Calibri"/>
          <w:sz w:val="21"/>
          <w:szCs w:val="21"/>
          <w:lang w:val="en-US"/>
        </w:rPr>
        <w:t>Demonstrated QA/testing capability in telecom or similarly complex, systems-of-systems domains.</w:t>
      </w:r>
    </w:p>
    <w:p xmlns:wp14="http://schemas.microsoft.com/office/word/2010/wordml" w14:paraId="32BC1F45" wp14:textId="77777777">
      <w:pPr>
        <w:pStyle w:val="ListParagraph"/>
        <w:numPr>
          <w:ilvl w:val="0"/>
          <w:numId w:val="2"/>
        </w:numPr>
        <w:spacing w:after="90" w:line="276"/>
      </w:pPr>
      <w:r>
        <w:rPr>
          <w:rFonts w:ascii="Calibri" w:hAnsi="Calibri" w:eastAsia="Calibri" w:cs="Calibri"/>
          <w:sz w:val="21"/>
          <w:szCs w:val="21"/>
        </w:rPr>
        <w:t xml:space="preserve">Proposed test automation strategy and coverage approach.</w:t>
      </w:r>
    </w:p>
    <w:p xmlns:wp14="http://schemas.microsoft.com/office/word/2010/wordml" w14:paraId="45B1A65C" wp14:textId="77777777">
      <w:pPr>
        <w:pStyle w:val="ListParagraph"/>
        <w:numPr>
          <w:ilvl w:val="0"/>
          <w:numId w:val="2"/>
        </w:numPr>
        <w:spacing w:after="90" w:line="276"/>
      </w:pPr>
      <w:r>
        <w:rPr>
          <w:rFonts w:ascii="Calibri" w:hAnsi="Calibri" w:eastAsia="Calibri" w:cs="Calibri"/>
          <w:sz w:val="21"/>
          <w:szCs w:val="21"/>
        </w:rPr>
        <w:t xml:space="preserve">Soundness and transparency of the test-case-based estimate, and how the proposed team size is derived from it.</w:t>
      </w:r>
    </w:p>
    <w:p xmlns:wp14="http://schemas.microsoft.com/office/word/2010/wordml" w14:paraId="3D330297" wp14:textId="77777777">
      <w:pPr>
        <w:pStyle w:val="ListParagraph"/>
        <w:numPr>
          <w:ilvl w:val="0"/>
          <w:numId w:val="2"/>
        </w:numPr>
        <w:spacing w:after="90" w:line="276"/>
      </w:pPr>
      <w:r>
        <w:rPr>
          <w:rFonts w:ascii="Calibri" w:hAnsi="Calibri" w:eastAsia="Calibri" w:cs="Calibri"/>
          <w:sz w:val="21"/>
          <w:szCs w:val="21"/>
        </w:rPr>
        <w:t xml:space="preserve">Quality of clarification questions and risk identification during Q&amp;A.</w:t>
      </w:r>
    </w:p>
    <w:p xmlns:wp14="http://schemas.microsoft.com/office/word/2010/wordml" w14:paraId="63BC55E8" wp14:textId="77777777">
      <w:pPr>
        <w:pStyle w:val="ListParagraph"/>
        <w:numPr>
          <w:ilvl w:val="0"/>
          <w:numId w:val="2"/>
        </w:numPr>
        <w:spacing w:after="90" w:line="276"/>
      </w:pPr>
      <w:r>
        <w:rPr>
          <w:rFonts w:ascii="Calibri" w:hAnsi="Calibri" w:eastAsia="Calibri" w:cs="Calibri"/>
          <w:sz w:val="21"/>
          <w:szCs w:val="21"/>
        </w:rPr>
        <w:t xml:space="preserve">Commercial competitiveness.</w:t>
      </w:r>
    </w:p>
    <w:p xmlns:wp14="http://schemas.microsoft.com/office/word/2010/wordml" w14:paraId="74A8CE41" wp14:textId="77777777">
      <w:pPr>
        <w:pStyle w:val="ListParagraph"/>
        <w:numPr>
          <w:ilvl w:val="0"/>
          <w:numId w:val="2"/>
        </w:numPr>
        <w:spacing w:after="90" w:line="276"/>
      </w:pPr>
      <w:r>
        <w:rPr>
          <w:rFonts w:ascii="Calibri" w:hAnsi="Calibri" w:eastAsia="Calibri" w:cs="Calibri"/>
          <w:sz w:val="21"/>
          <w:szCs w:val="21"/>
        </w:rPr>
        <w:t xml:space="preserve">Cultural and delivery fit with Nexus Telecom's Agile model.</w:t>
      </w:r>
    </w:p>
    <w:p xmlns:wp14="http://schemas.microsoft.com/office/word/2010/wordml" w14:paraId="3D1C9407" wp14:textId="77777777">
      <w:pPr>
        <w:pStyle w:val="Heading1"/>
        <w:pBdr>
          <w:bottom w:val="single" w:color="1F3864" w:sz="6" w:space="4"/>
        </w:pBdr>
        <w:spacing w:before="360" w:after="160"/>
      </w:pPr>
      <w:r w:rsidRPr="7B4BFEA9" w:rsidR="7B4BFEA9">
        <w:rPr>
          <w:rFonts w:ascii="Calibri" w:hAnsi="Calibri" w:eastAsia="Calibri" w:cs="Calibri"/>
          <w:b w:val="1"/>
          <w:bCs w:val="1"/>
          <w:color w:val="1F3864"/>
          <w:sz w:val="30"/>
          <w:szCs w:val="30"/>
        </w:rPr>
        <w:t>17. Project Structure &amp; Communication</w:t>
      </w:r>
    </w:p>
    <w:p w:rsidR="6C858B17" w:rsidP="7B4BFEA9" w:rsidRDefault="6C858B17" w14:paraId="568675D4" w14:textId="1B8AAC1F">
      <w:pPr>
        <w:pStyle w:val="ListParagraph"/>
        <w:numPr>
          <w:ilvl w:val="0"/>
          <w:numId w:val="2"/>
        </w:numPr>
        <w:spacing w:after="90" w:line="276" w:lineRule="auto"/>
        <w:rPr>
          <w:rFonts w:ascii="Calibri" w:hAnsi="Calibri" w:eastAsia="Calibri" w:cs="Calibri"/>
          <w:b w:val="0"/>
          <w:bCs w:val="0"/>
          <w:i w:val="0"/>
          <w:iCs w:val="0"/>
          <w:sz w:val="21"/>
          <w:szCs w:val="21"/>
          <w:lang w:val="en-US"/>
        </w:rPr>
      </w:pPr>
      <w:r w:rsidRPr="7B4BFEA9" w:rsidR="6C858B17">
        <w:rPr>
          <w:rFonts w:ascii="Calibri" w:hAnsi="Calibri" w:eastAsia="Calibri" w:cs="Calibri"/>
          <w:b w:val="0"/>
          <w:bCs w:val="0"/>
          <w:i w:val="0"/>
          <w:iCs w:val="0"/>
          <w:sz w:val="21"/>
          <w:szCs w:val="21"/>
          <w:lang w:val="en-US"/>
        </w:rPr>
        <w:t>All questions during the RFP period must be submitted in writing, to the designated procurement contact's actual email address, during the Q&amp;A/grooming window (31 July – 1 August 2026, closing 10:00 BST). Answers are shared in writing with all Proponents; verbal clarifications are non-binding.</w:t>
      </w:r>
    </w:p>
    <w:p w:rsidR="6C858B17" w:rsidP="7B4BFEA9" w:rsidRDefault="6C858B17" w14:paraId="01680761" w14:textId="2597E18D">
      <w:pPr>
        <w:pStyle w:val="ListParagraph"/>
        <w:numPr>
          <w:ilvl w:val="0"/>
          <w:numId w:val="2"/>
        </w:numPr>
        <w:spacing w:after="90" w:line="276" w:lineRule="auto"/>
        <w:rPr>
          <w:rFonts w:ascii="Calibri" w:hAnsi="Calibri" w:eastAsia="Calibri" w:cs="Calibri"/>
          <w:b w:val="0"/>
          <w:bCs w:val="0"/>
          <w:i w:val="0"/>
          <w:iCs w:val="0"/>
          <w:sz w:val="21"/>
          <w:szCs w:val="21"/>
          <w:lang w:val="en-US"/>
        </w:rPr>
      </w:pPr>
      <w:r w:rsidRPr="7B4BFEA9" w:rsidR="6C858B17">
        <w:rPr>
          <w:rFonts w:ascii="Calibri" w:hAnsi="Calibri" w:eastAsia="Calibri" w:cs="Calibri"/>
          <w:b w:val="0"/>
          <w:bCs w:val="0"/>
          <w:i w:val="0"/>
          <w:iCs w:val="0"/>
          <w:sz w:val="21"/>
          <w:szCs w:val="21"/>
          <w:lang w:val="en-US"/>
        </w:rPr>
        <w:t>Proposals are due 1 August 2026, 13:00 BST, to the designated procurement folder. Late proposals are accepted but recorded as late.</w:t>
      </w:r>
    </w:p>
    <w:p w:rsidR="6C858B17" w:rsidP="7B4BFEA9" w:rsidRDefault="6C858B17" w14:paraId="10BAFFF9" w14:textId="56D7B3CD">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6C858B17">
        <w:rPr>
          <w:rFonts w:ascii="Calibri" w:hAnsi="Calibri" w:eastAsia="Calibri" w:cs="Calibri"/>
          <w:b w:val="0"/>
          <w:bCs w:val="0"/>
          <w:i w:val="0"/>
          <w:iCs w:val="0"/>
          <w:sz w:val="21"/>
          <w:szCs w:val="21"/>
        </w:rPr>
        <w:t>Shortlisted vendors present on 1 August 2026, 14:00 BST — 10 minutes per vendor, strictly enforced, in English.</w:t>
      </w:r>
    </w:p>
    <w:p w:rsidR="6C858B17" w:rsidP="7B4BFEA9" w:rsidRDefault="6C858B17" w14:paraId="57F20228" w14:textId="4F77AD31">
      <w:pPr>
        <w:pStyle w:val="ListParagraph"/>
        <w:numPr>
          <w:ilvl w:val="0"/>
          <w:numId w:val="2"/>
        </w:numPr>
        <w:spacing w:after="90" w:line="276" w:lineRule="auto"/>
        <w:rPr>
          <w:rFonts w:ascii="Calibri" w:hAnsi="Calibri" w:eastAsia="Calibri" w:cs="Calibri"/>
          <w:b w:val="0"/>
          <w:bCs w:val="0"/>
          <w:i w:val="0"/>
          <w:iCs w:val="0"/>
          <w:sz w:val="21"/>
          <w:szCs w:val="21"/>
        </w:rPr>
      </w:pPr>
      <w:r w:rsidRPr="7B4BFEA9" w:rsidR="6C858B17">
        <w:rPr>
          <w:rFonts w:ascii="Calibri" w:hAnsi="Calibri" w:eastAsia="Calibri" w:cs="Calibri"/>
          <w:b w:val="0"/>
          <w:bCs w:val="0"/>
          <w:i w:val="0"/>
          <w:iCs w:val="0"/>
          <w:sz w:val="21"/>
          <w:szCs w:val="21"/>
        </w:rPr>
        <w:t>QA reporting follows a two-tier cadence: a sprint-level report at the end of each bi-weekly sprint, and a release-level QA sign-off report ahead of each monthly release gate, in addition to Scrum ceremonies (see Section 11, FR-10, FR-17).</w:t>
      </w:r>
    </w:p>
    <w:p w:rsidR="6C858B17" w:rsidP="7B4BFEA9" w:rsidRDefault="6C858B17" w14:paraId="23AB13D1" w14:textId="335ECB4D">
      <w:pPr>
        <w:pStyle w:val="ListParagraph"/>
        <w:numPr>
          <w:ilvl w:val="0"/>
          <w:numId w:val="2"/>
        </w:numPr>
        <w:spacing w:after="90" w:line="276" w:lineRule="auto"/>
        <w:rPr>
          <w:rFonts w:ascii="Calibri" w:hAnsi="Calibri" w:eastAsia="Calibri" w:cs="Calibri"/>
          <w:b w:val="0"/>
          <w:bCs w:val="0"/>
          <w:i w:val="0"/>
          <w:iCs w:val="0"/>
          <w:sz w:val="21"/>
          <w:szCs w:val="21"/>
          <w:lang w:val="en-GB"/>
        </w:rPr>
      </w:pPr>
      <w:r w:rsidRPr="7B4BFEA9" w:rsidR="6C858B17">
        <w:rPr>
          <w:rFonts w:ascii="Calibri" w:hAnsi="Calibri" w:eastAsia="Calibri" w:cs="Calibri"/>
          <w:b w:val="0"/>
          <w:bCs w:val="0"/>
          <w:i w:val="0"/>
          <w:iCs w:val="0"/>
          <w:sz w:val="21"/>
          <w:szCs w:val="21"/>
          <w:lang w:val="en-GB"/>
        </w:rPr>
        <w:t>Key Customer stakeholders: QA &amp; Vendor Governance Office (Himadri Mondol</w:t>
      </w:r>
      <w:r w:rsidRPr="7B4BFEA9" w:rsidR="385747B0">
        <w:rPr>
          <w:rFonts w:ascii="Calibri" w:hAnsi="Calibri" w:eastAsia="Calibri" w:cs="Calibri"/>
          <w:b w:val="0"/>
          <w:bCs w:val="0"/>
          <w:i w:val="0"/>
          <w:iCs w:val="0"/>
          <w:sz w:val="21"/>
          <w:szCs w:val="21"/>
          <w:lang w:val="en-GB"/>
        </w:rPr>
        <w:t>, Email: himadri.mondal@bjitgroup.com</w:t>
      </w:r>
      <w:r w:rsidRPr="7B4BFEA9" w:rsidR="6C858B17">
        <w:rPr>
          <w:rFonts w:ascii="Calibri" w:hAnsi="Calibri" w:eastAsia="Calibri" w:cs="Calibri"/>
          <w:b w:val="0"/>
          <w:bCs w:val="0"/>
          <w:i w:val="0"/>
          <w:iCs w:val="0"/>
          <w:sz w:val="21"/>
          <w:szCs w:val="21"/>
          <w:lang w:val="en-GB"/>
        </w:rPr>
        <w:t>), Product Engineering leads, Infrastructure/DevOps team, and Compliance (advisory only, for out-of-scope items).</w:t>
      </w:r>
    </w:p>
    <w:p xmlns:wp14="http://schemas.microsoft.com/office/word/2010/wordml" w14:paraId="6A42E25D"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18. Appendix A: Glossary</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8900"/>
      </w:tblGrid>
      <w:tr xmlns:wp14="http://schemas.microsoft.com/office/word/2010/wordml" w:rsidTr="2BEB4790" w14:paraId="24AC212E" wp14:textId="77777777">
        <w:tc>
          <w:tcPr>
            <w:tcW w:w="2200" w:type="dxa"/>
            <w:tcMar>
              <w:top w:w="60" w:type="dxa"/>
              <w:left w:w="80" w:type="dxa"/>
              <w:bottom w:w="60" w:type="dxa"/>
              <w:right w:w="80" w:type="dxa"/>
            </w:tcMar>
          </w:tcPr>
          <w:p w14:paraId="5F2D2C8F" wp14:textId="77777777">
            <w:pPr>
              <w:spacing w:after="40"/>
            </w:pPr>
            <w:r>
              <w:rPr>
                <w:rFonts w:ascii="Calibri" w:hAnsi="Calibri" w:eastAsia="Calibri" w:cs="Calibri"/>
                <w:b/>
                <w:bCs/>
                <w:sz w:val="19"/>
                <w:szCs w:val="19"/>
              </w:rPr>
              <w:t xml:space="preserve">MNO</w:t>
            </w:r>
          </w:p>
        </w:tc>
        <w:tc>
          <w:tcPr>
            <w:tcW w:w="8900" w:type="dxa"/>
            <w:tcMar>
              <w:top w:w="60" w:type="dxa"/>
              <w:left w:w="80" w:type="dxa"/>
              <w:bottom w:w="60" w:type="dxa"/>
              <w:right w:w="80" w:type="dxa"/>
            </w:tcMar>
          </w:tcPr>
          <w:p w14:paraId="20523E9A" wp14:textId="77777777">
            <w:pPr>
              <w:spacing w:after="40"/>
            </w:pPr>
            <w:r>
              <w:rPr>
                <w:rFonts w:ascii="Calibri" w:hAnsi="Calibri" w:eastAsia="Calibri" w:cs="Calibri"/>
                <w:sz w:val="19"/>
                <w:szCs w:val="19"/>
              </w:rPr>
              <w:t xml:space="preserve">Mobile Network Operator</w:t>
            </w:r>
          </w:p>
        </w:tc>
      </w:tr>
      <w:tr xmlns:wp14="http://schemas.microsoft.com/office/word/2010/wordml" w:rsidTr="2BEB4790" w14:paraId="02FA97E9" wp14:textId="77777777">
        <w:tc>
          <w:tcPr>
            <w:tcW w:w="2200" w:type="dxa"/>
            <w:shd w:val="clear" w:color="auto" w:fill="F2F2F2"/>
            <w:tcMar>
              <w:top w:w="60" w:type="dxa"/>
              <w:left w:w="80" w:type="dxa"/>
              <w:bottom w:w="60" w:type="dxa"/>
              <w:right w:w="80" w:type="dxa"/>
            </w:tcMar>
          </w:tcPr>
          <w:p w14:paraId="54EFD957" wp14:textId="77777777">
            <w:pPr>
              <w:spacing w:after="40"/>
            </w:pPr>
            <w:r>
              <w:rPr>
                <w:rFonts w:ascii="Calibri" w:hAnsi="Calibri" w:eastAsia="Calibri" w:cs="Calibri"/>
                <w:b/>
                <w:bCs/>
                <w:sz w:val="19"/>
                <w:szCs w:val="19"/>
              </w:rPr>
              <w:t xml:space="preserve">SIT</w:t>
            </w:r>
          </w:p>
        </w:tc>
        <w:tc>
          <w:tcPr>
            <w:tcW w:w="8900" w:type="dxa"/>
            <w:shd w:val="clear" w:color="auto" w:fill="F2F2F2"/>
            <w:tcMar>
              <w:top w:w="60" w:type="dxa"/>
              <w:left w:w="80" w:type="dxa"/>
              <w:bottom w:w="60" w:type="dxa"/>
              <w:right w:w="80" w:type="dxa"/>
            </w:tcMar>
          </w:tcPr>
          <w:p w14:paraId="1A1B86E0" wp14:textId="77777777">
            <w:pPr>
              <w:spacing w:after="40"/>
            </w:pPr>
            <w:r>
              <w:rPr>
                <w:rFonts w:ascii="Calibri" w:hAnsi="Calibri" w:eastAsia="Calibri" w:cs="Calibri"/>
                <w:sz w:val="19"/>
                <w:szCs w:val="19"/>
              </w:rPr>
              <w:t xml:space="preserve">System Integration Testing</w:t>
            </w:r>
          </w:p>
        </w:tc>
      </w:tr>
      <w:tr xmlns:wp14="http://schemas.microsoft.com/office/word/2010/wordml" w:rsidTr="2BEB4790" w14:paraId="26214810" wp14:textId="77777777">
        <w:tc>
          <w:tcPr>
            <w:tcW w:w="2200" w:type="dxa"/>
            <w:tcMar>
              <w:top w:w="60" w:type="dxa"/>
              <w:left w:w="80" w:type="dxa"/>
              <w:bottom w:w="60" w:type="dxa"/>
              <w:right w:w="80" w:type="dxa"/>
            </w:tcMar>
          </w:tcPr>
          <w:p w14:paraId="17957BFB" wp14:textId="77777777">
            <w:pPr>
              <w:spacing w:after="40"/>
            </w:pPr>
            <w:r>
              <w:rPr>
                <w:rFonts w:ascii="Calibri" w:hAnsi="Calibri" w:eastAsia="Calibri" w:cs="Calibri"/>
                <w:b/>
                <w:bCs/>
                <w:sz w:val="19"/>
                <w:szCs w:val="19"/>
              </w:rPr>
              <w:t xml:space="preserve">UAT</w:t>
            </w:r>
          </w:p>
        </w:tc>
        <w:tc>
          <w:tcPr>
            <w:tcW w:w="8900" w:type="dxa"/>
            <w:tcMar>
              <w:top w:w="60" w:type="dxa"/>
              <w:left w:w="80" w:type="dxa"/>
              <w:bottom w:w="60" w:type="dxa"/>
              <w:right w:w="80" w:type="dxa"/>
            </w:tcMar>
          </w:tcPr>
          <w:p w14:paraId="1635ED76" wp14:textId="77777777">
            <w:pPr>
              <w:spacing w:after="40"/>
            </w:pPr>
            <w:r>
              <w:rPr>
                <w:rFonts w:ascii="Calibri" w:hAnsi="Calibri" w:eastAsia="Calibri" w:cs="Calibri"/>
                <w:sz w:val="19"/>
                <w:szCs w:val="19"/>
              </w:rPr>
              <w:t xml:space="preserve">User Acceptance Testing</w:t>
            </w:r>
          </w:p>
        </w:tc>
      </w:tr>
      <w:tr xmlns:wp14="http://schemas.microsoft.com/office/word/2010/wordml" w:rsidTr="2BEB4790" w14:paraId="040710F2" wp14:textId="77777777">
        <w:tc>
          <w:tcPr>
            <w:tcW w:w="2200" w:type="dxa"/>
            <w:shd w:val="clear" w:color="auto" w:fill="F2F2F2"/>
            <w:tcMar>
              <w:top w:w="60" w:type="dxa"/>
              <w:left w:w="80" w:type="dxa"/>
              <w:bottom w:w="60" w:type="dxa"/>
              <w:right w:w="80" w:type="dxa"/>
            </w:tcMar>
          </w:tcPr>
          <w:p w14:paraId="6086C2E3" wp14:textId="77777777">
            <w:pPr>
              <w:spacing w:after="40"/>
            </w:pPr>
            <w:r>
              <w:rPr>
                <w:rFonts w:ascii="Calibri" w:hAnsi="Calibri" w:eastAsia="Calibri" w:cs="Calibri"/>
                <w:b/>
                <w:bCs/>
                <w:sz w:val="19"/>
                <w:szCs w:val="19"/>
              </w:rPr>
              <w:t xml:space="preserve">CRM</w:t>
            </w:r>
          </w:p>
        </w:tc>
        <w:tc>
          <w:tcPr>
            <w:tcW w:w="8900" w:type="dxa"/>
            <w:shd w:val="clear" w:color="auto" w:fill="F2F2F2"/>
            <w:tcMar>
              <w:top w:w="60" w:type="dxa"/>
              <w:left w:w="80" w:type="dxa"/>
              <w:bottom w:w="60" w:type="dxa"/>
              <w:right w:w="80" w:type="dxa"/>
            </w:tcMar>
          </w:tcPr>
          <w:p w14:paraId="248B063B" wp14:textId="77777777">
            <w:pPr>
              <w:spacing w:after="40"/>
            </w:pPr>
            <w:r>
              <w:rPr>
                <w:rFonts w:ascii="Calibri" w:hAnsi="Calibri" w:eastAsia="Calibri" w:cs="Calibri"/>
                <w:sz w:val="19"/>
                <w:szCs w:val="19"/>
              </w:rPr>
              <w:t xml:space="preserve">Customer Relationship Management</w:t>
            </w:r>
          </w:p>
        </w:tc>
      </w:tr>
      <w:tr xmlns:wp14="http://schemas.microsoft.com/office/word/2010/wordml" w:rsidTr="2BEB4790" w14:paraId="2E2B0ACE" wp14:textId="77777777">
        <w:tc>
          <w:tcPr>
            <w:tcW w:w="2200" w:type="dxa"/>
            <w:tcMar>
              <w:top w:w="60" w:type="dxa"/>
              <w:left w:w="80" w:type="dxa"/>
              <w:bottom w:w="60" w:type="dxa"/>
              <w:right w:w="80" w:type="dxa"/>
            </w:tcMar>
          </w:tcPr>
          <w:p w14:paraId="4A99E66B" wp14:textId="77777777">
            <w:pPr>
              <w:spacing w:after="40"/>
            </w:pPr>
            <w:r>
              <w:rPr>
                <w:rFonts w:ascii="Calibri" w:hAnsi="Calibri" w:eastAsia="Calibri" w:cs="Calibri"/>
                <w:b/>
                <w:bCs/>
                <w:sz w:val="19"/>
                <w:szCs w:val="19"/>
              </w:rPr>
              <w:t xml:space="preserve">OSS/BSS</w:t>
            </w:r>
          </w:p>
        </w:tc>
        <w:tc>
          <w:tcPr>
            <w:tcW w:w="8900" w:type="dxa"/>
            <w:tcMar>
              <w:top w:w="60" w:type="dxa"/>
              <w:left w:w="80" w:type="dxa"/>
              <w:bottom w:w="60" w:type="dxa"/>
              <w:right w:w="80" w:type="dxa"/>
            </w:tcMar>
          </w:tcPr>
          <w:p w14:paraId="447E2583" wp14:textId="77777777">
            <w:pPr>
              <w:spacing w:after="40"/>
            </w:pPr>
            <w:r>
              <w:rPr>
                <w:rFonts w:ascii="Calibri" w:hAnsi="Calibri" w:eastAsia="Calibri" w:cs="Calibri"/>
                <w:sz w:val="19"/>
                <w:szCs w:val="19"/>
              </w:rPr>
              <w:t xml:space="preserve">Operations Support Systems / Business Support Systems</w:t>
            </w:r>
          </w:p>
        </w:tc>
      </w:tr>
      <w:tr xmlns:wp14="http://schemas.microsoft.com/office/word/2010/wordml" w:rsidTr="2BEB4790" w14:paraId="40604720" wp14:textId="77777777">
        <w:tc>
          <w:tcPr>
            <w:tcW w:w="2200" w:type="dxa"/>
            <w:shd w:val="clear" w:color="auto" w:fill="F2F2F2"/>
            <w:tcMar>
              <w:top w:w="60" w:type="dxa"/>
              <w:left w:w="80" w:type="dxa"/>
              <w:bottom w:w="60" w:type="dxa"/>
              <w:right w:w="80" w:type="dxa"/>
            </w:tcMar>
          </w:tcPr>
          <w:p w14:paraId="030DAD25" wp14:textId="77777777">
            <w:pPr>
              <w:spacing w:after="40"/>
            </w:pPr>
            <w:r w:rsidRPr="0A324768" w:rsidR="0A324768">
              <w:rPr>
                <w:rFonts w:ascii="Calibri" w:hAnsi="Calibri" w:eastAsia="Calibri" w:cs="Calibri"/>
                <w:b w:val="1"/>
                <w:bCs w:val="1"/>
                <w:sz w:val="19"/>
                <w:szCs w:val="19"/>
                <w:lang w:val="en-US"/>
              </w:rPr>
              <w:t>BillCore</w:t>
            </w:r>
          </w:p>
        </w:tc>
        <w:tc>
          <w:tcPr>
            <w:tcW w:w="8900" w:type="dxa"/>
            <w:shd w:val="clear" w:color="auto" w:fill="F2F2F2"/>
            <w:tcMar>
              <w:top w:w="60" w:type="dxa"/>
              <w:left w:w="80" w:type="dxa"/>
              <w:bottom w:w="60" w:type="dxa"/>
              <w:right w:w="80" w:type="dxa"/>
            </w:tcMar>
          </w:tcPr>
          <w:p w14:paraId="71D0C22F" wp14:textId="77777777">
            <w:pPr>
              <w:spacing w:after="40"/>
            </w:pPr>
            <w:r>
              <w:rPr>
                <w:rFonts w:ascii="Calibri" w:hAnsi="Calibri" w:eastAsia="Calibri" w:cs="Calibri"/>
                <w:sz w:val="19"/>
                <w:szCs w:val="19"/>
              </w:rPr>
              <w:t xml:space="preserve">Nexus Telecom's internal name for its billing platform</w:t>
            </w:r>
          </w:p>
        </w:tc>
      </w:tr>
      <w:tr xmlns:wp14="http://schemas.microsoft.com/office/word/2010/wordml" w:rsidTr="2BEB4790" w14:paraId="05589B07" wp14:textId="77777777">
        <w:tc>
          <w:tcPr>
            <w:tcW w:w="2200" w:type="dxa"/>
            <w:tcMar>
              <w:top w:w="60" w:type="dxa"/>
              <w:left w:w="80" w:type="dxa"/>
              <w:bottom w:w="60" w:type="dxa"/>
              <w:right w:w="80" w:type="dxa"/>
            </w:tcMar>
          </w:tcPr>
          <w:p w14:paraId="24C582DD" wp14:textId="77777777">
            <w:pPr>
              <w:spacing w:after="40"/>
            </w:pPr>
            <w:r w:rsidRPr="2BEB4790" w:rsidR="2BEB4790">
              <w:rPr>
                <w:rFonts w:ascii="Calibri" w:hAnsi="Calibri" w:eastAsia="Calibri" w:cs="Calibri"/>
                <w:b w:val="1"/>
                <w:bCs w:val="1"/>
                <w:sz w:val="19"/>
                <w:szCs w:val="19"/>
                <w:lang w:val="en-GB"/>
              </w:rPr>
              <w:t>Nexus-Prov</w:t>
            </w:r>
          </w:p>
        </w:tc>
        <w:tc>
          <w:tcPr>
            <w:tcW w:w="8900" w:type="dxa"/>
            <w:tcMar>
              <w:top w:w="60" w:type="dxa"/>
              <w:left w:w="80" w:type="dxa"/>
              <w:bottom w:w="60" w:type="dxa"/>
              <w:right w:w="80" w:type="dxa"/>
            </w:tcMar>
          </w:tcPr>
          <w:p w14:paraId="721C884E" wp14:textId="77777777">
            <w:pPr>
              <w:spacing w:after="40"/>
            </w:pPr>
            <w:r>
              <w:rPr>
                <w:rFonts w:ascii="Calibri" w:hAnsi="Calibri" w:eastAsia="Calibri" w:cs="Calibri"/>
                <w:sz w:val="19"/>
                <w:szCs w:val="19"/>
              </w:rPr>
              <w:t xml:space="preserve">Nexus Telecom's provisioning system</w:t>
            </w:r>
          </w:p>
        </w:tc>
      </w:tr>
    </w:tbl>
    <w:p xmlns:wp14="http://schemas.microsoft.com/office/word/2010/wordml" w14:paraId="59F34783"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19. Appendix B: Assumptions Log (Vendor to Complete)</w:t>
      </w:r>
    </w:p>
    <w:p xmlns:wp14="http://schemas.microsoft.com/office/word/2010/wordml" w14:paraId="44A97218" wp14:textId="77777777">
      <w:pPr>
        <w:spacing w:after="160" w:line="276" w:lineRule="auto"/>
      </w:pPr>
      <w:r w:rsidRPr="0A324768" w:rsidR="0A324768">
        <w:rPr>
          <w:rFonts w:ascii="Calibri" w:hAnsi="Calibri" w:eastAsia="Calibri" w:cs="Calibri"/>
          <w:sz w:val="21"/>
          <w:szCs w:val="21"/>
          <w:lang w:val="en-US"/>
        </w:rPr>
        <w:t>Vendors should use the table below to log any assumptions made in preparing their proposal, along with the impact if an assumption proves incorrect.</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6700"/>
      </w:tblGrid>
      <w:tr xmlns:wp14="http://schemas.microsoft.com/office/word/2010/wordml" w14:paraId="1AA085CE" wp14:textId="77777777">
        <w:trPr>
          <w:tblHeader/>
        </w:trPr>
        <w:tc>
          <w:tcPr>
            <w:tcW w:w="4400" w:type="dxa"/>
            <w:shd w:val="clear" w:color="auto" w:fill="1F3864"/>
            <w:tcMar>
              <w:top w:w="60" w:type="dxa"/>
              <w:left w:w="80" w:type="dxa"/>
              <w:bottom w:w="60" w:type="dxa"/>
              <w:right w:w="80" w:type="dxa"/>
            </w:tcMar>
            <w:vAlign w:val="center"/>
          </w:tcPr>
          <w:p w14:paraId="09E653FB" wp14:textId="77777777">
            <w:r>
              <w:rPr>
                <w:rFonts w:ascii="Calibri" w:hAnsi="Calibri" w:eastAsia="Calibri" w:cs="Calibri"/>
                <w:b/>
                <w:bCs/>
                <w:color w:val="FFFFFF"/>
                <w:sz w:val="18"/>
                <w:szCs w:val="18"/>
              </w:rPr>
              <w:t xml:space="preserve">Assumption</w:t>
            </w:r>
          </w:p>
        </w:tc>
        <w:tc>
          <w:tcPr>
            <w:tcW w:w="6700" w:type="dxa"/>
            <w:shd w:val="clear" w:color="auto" w:fill="1F3864"/>
            <w:tcMar>
              <w:top w:w="60" w:type="dxa"/>
              <w:left w:w="80" w:type="dxa"/>
              <w:bottom w:w="60" w:type="dxa"/>
              <w:right w:w="80" w:type="dxa"/>
            </w:tcMar>
            <w:vAlign w:val="center"/>
          </w:tcPr>
          <w:p w14:paraId="7E2F8744" wp14:textId="77777777">
            <w:r>
              <w:rPr>
                <w:rFonts w:ascii="Calibri" w:hAnsi="Calibri" w:eastAsia="Calibri" w:cs="Calibri"/>
                <w:b/>
                <w:bCs/>
                <w:color w:val="FFFFFF"/>
                <w:sz w:val="18"/>
                <w:szCs w:val="18"/>
              </w:rPr>
              <w:t xml:space="preserve">Impact if Incorrect</w:t>
            </w:r>
          </w:p>
        </w:tc>
      </w:tr>
      <w:tr xmlns:wp14="http://schemas.microsoft.com/office/word/2010/wordml" w14:paraId="489D927A" wp14:textId="77777777">
        <w:tc>
          <w:tcPr>
            <w:tcW w:w="4400" w:type="dxa"/>
            <w:tcMar>
              <w:top w:w="60" w:type="dxa"/>
              <w:left w:w="80" w:type="dxa"/>
              <w:bottom w:w="60" w:type="dxa"/>
              <w:right w:w="80" w:type="dxa"/>
            </w:tcMar>
          </w:tcPr>
          <w:p w14:paraId="53920444" wp14:textId="77777777">
            <w:pPr>
              <w:spacing w:after="40"/>
            </w:pPr>
            <w:r>
              <w:rPr>
                <w:rFonts w:ascii="Calibri" w:hAnsi="Calibri" w:eastAsia="Calibri" w:cs="Calibri"/>
                <w:b/>
                <w:bCs/>
                <w:sz w:val="19"/>
                <w:szCs w:val="19"/>
              </w:rPr>
              <w:t xml:space="preserve">[Vendor to complete]</w:t>
            </w:r>
          </w:p>
        </w:tc>
        <w:tc>
          <w:tcPr>
            <w:tcW w:w="6700" w:type="dxa"/>
            <w:tcMar>
              <w:top w:w="60" w:type="dxa"/>
              <w:left w:w="80" w:type="dxa"/>
              <w:bottom w:w="60" w:type="dxa"/>
              <w:right w:w="80" w:type="dxa"/>
            </w:tcMar>
          </w:tcPr>
          <w:p w14:paraId="1019CA5C" wp14:textId="77777777">
            <w:pPr>
              <w:spacing w:after="40"/>
            </w:pPr>
            <w:r>
              <w:rPr>
                <w:rFonts w:ascii="Calibri" w:hAnsi="Calibri" w:eastAsia="Calibri" w:cs="Calibri"/>
                <w:sz w:val="19"/>
                <w:szCs w:val="19"/>
              </w:rPr>
              <w:t xml:space="preserve">[Vendor to complete]</w:t>
            </w:r>
          </w:p>
        </w:tc>
      </w:tr>
      <w:tr xmlns:wp14="http://schemas.microsoft.com/office/word/2010/wordml" w14:paraId="5A0AB395" wp14:textId="77777777">
        <w:tc>
          <w:tcPr>
            <w:tcW w:w="4400" w:type="dxa"/>
            <w:shd w:val="clear" w:color="auto" w:fill="F2F2F2"/>
            <w:tcMar>
              <w:top w:w="60" w:type="dxa"/>
              <w:left w:w="80" w:type="dxa"/>
              <w:bottom w:w="60" w:type="dxa"/>
              <w:right w:w="80" w:type="dxa"/>
            </w:tcMar>
          </w:tcPr>
          <w:p w14:paraId="4C50B95F" wp14:textId="77777777">
            <w:pPr>
              <w:spacing w:after="40"/>
            </w:pPr>
            <w:r>
              <w:rPr>
                <w:rFonts w:ascii="Calibri" w:hAnsi="Calibri" w:eastAsia="Calibri" w:cs="Calibri"/>
                <w:b/>
                <w:bCs/>
                <w:sz w:val="19"/>
                <w:szCs w:val="19"/>
              </w:rPr>
              <w:t xml:space="preserve">[Vendor to complete]</w:t>
            </w:r>
          </w:p>
        </w:tc>
        <w:tc>
          <w:tcPr>
            <w:tcW w:w="6700" w:type="dxa"/>
            <w:shd w:val="clear" w:color="auto" w:fill="F2F2F2"/>
            <w:tcMar>
              <w:top w:w="60" w:type="dxa"/>
              <w:left w:w="80" w:type="dxa"/>
              <w:bottom w:w="60" w:type="dxa"/>
              <w:right w:w="80" w:type="dxa"/>
            </w:tcMar>
          </w:tcPr>
          <w:p w14:paraId="1B0887DB" wp14:textId="77777777">
            <w:pPr>
              <w:spacing w:after="40"/>
            </w:pPr>
            <w:r>
              <w:rPr>
                <w:rFonts w:ascii="Calibri" w:hAnsi="Calibri" w:eastAsia="Calibri" w:cs="Calibri"/>
                <w:sz w:val="19"/>
                <w:szCs w:val="19"/>
              </w:rPr>
              <w:t xml:space="preserve">[Vendor to complete]</w:t>
            </w:r>
          </w:p>
        </w:tc>
      </w:tr>
      <w:tr xmlns:wp14="http://schemas.microsoft.com/office/word/2010/wordml" w14:paraId="0FBF0D25" wp14:textId="77777777">
        <w:tc>
          <w:tcPr>
            <w:tcW w:w="4400" w:type="dxa"/>
            <w:tcMar>
              <w:top w:w="60" w:type="dxa"/>
              <w:left w:w="80" w:type="dxa"/>
              <w:bottom w:w="60" w:type="dxa"/>
              <w:right w:w="80" w:type="dxa"/>
            </w:tcMar>
          </w:tcPr>
          <w:p w14:paraId="3782AC1F" wp14:textId="77777777">
            <w:pPr>
              <w:spacing w:after="40"/>
            </w:pPr>
            <w:r>
              <w:rPr>
                <w:rFonts w:ascii="Calibri" w:hAnsi="Calibri" w:eastAsia="Calibri" w:cs="Calibri"/>
                <w:b/>
                <w:bCs/>
                <w:sz w:val="19"/>
                <w:szCs w:val="19"/>
              </w:rPr>
              <w:t xml:space="preserve">[Vendor to complete]</w:t>
            </w:r>
          </w:p>
        </w:tc>
        <w:tc>
          <w:tcPr>
            <w:tcW w:w="6700" w:type="dxa"/>
            <w:tcMar>
              <w:top w:w="60" w:type="dxa"/>
              <w:left w:w="80" w:type="dxa"/>
              <w:bottom w:w="60" w:type="dxa"/>
              <w:right w:w="80" w:type="dxa"/>
            </w:tcMar>
          </w:tcPr>
          <w:p w14:paraId="22A7BF04" wp14:textId="77777777">
            <w:pPr>
              <w:spacing w:after="40"/>
            </w:pPr>
            <w:r>
              <w:rPr>
                <w:rFonts w:ascii="Calibri" w:hAnsi="Calibri" w:eastAsia="Calibri" w:cs="Calibri"/>
                <w:sz w:val="19"/>
                <w:szCs w:val="19"/>
              </w:rPr>
              <w:t xml:space="preserve">[Vendor to complete]</w:t>
            </w:r>
          </w:p>
        </w:tc>
      </w:tr>
    </w:tbl>
    <w:p xmlns:wp14="http://schemas.microsoft.com/office/word/2010/wordml" w14:paraId="058DC331"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20. Appendix C: Test Strategy &amp; Automation Notes</w:t>
      </w:r>
    </w:p>
    <w:p xmlns:wp14="http://schemas.microsoft.com/office/word/2010/wordml" w14:paraId="1122B671" wp14:textId="77777777">
      <w:pPr>
        <w:spacing w:after="160" w:line="276"/>
      </w:pPr>
      <w:r>
        <w:rPr>
          <w:rFonts w:ascii="Calibri" w:hAnsi="Calibri" w:eastAsia="Calibri" w:cs="Calibri"/>
          <w:sz w:val="21"/>
          <w:szCs w:val="21"/>
        </w:rPr>
        <w:t xml:space="preserve">Automation maturity across Nexus Telecom's squads is currently low, with an estimated less than 20% of existing regression testing automated today. Given the early-stage nature of this automation initiative, a realistic baseline expectation for the QA partner is 40–50% automation coverage of the regression suite within the first two quarters of engagement. Full regression automation is not mandated within the current contract term.</w:t>
      </w:r>
    </w:p>
    <w:p xmlns:wp14="http://schemas.microsoft.com/office/word/2010/wordml" w14:paraId="4A050800" wp14:textId="77777777">
      <w:pPr>
        <w:spacing w:after="160" w:line="276" w:lineRule="auto"/>
      </w:pPr>
      <w:r w:rsidRPr="0A324768" w:rsidR="0A324768">
        <w:rPr>
          <w:rFonts w:ascii="Calibri" w:hAnsi="Calibri" w:eastAsia="Calibri" w:cs="Calibri"/>
          <w:i w:val="1"/>
          <w:iCs w:val="1"/>
          <w:sz w:val="21"/>
          <w:szCs w:val="21"/>
          <w:lang w:val="en-US"/>
        </w:rPr>
        <w:t>Vendors should note that this appendix reflects Nexus Telecom's internal test strategy working notes, which may not be fully reconciled with the requirements stated in Section 11.</w:t>
      </w:r>
    </w:p>
    <w:p xmlns:wp14="http://schemas.microsoft.com/office/word/2010/wordml" w14:paraId="2EFB78A9"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21. Appendix D: Business &amp; Volume Assumptions</w:t>
      </w:r>
    </w:p>
    <w:tbl>
      <w:tblPr>
        <w:tblW w:w="111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8100"/>
      </w:tblGrid>
      <w:tr xmlns:wp14="http://schemas.microsoft.com/office/word/2010/wordml" w:rsidTr="0A324768" w14:paraId="28E877EF" wp14:textId="77777777">
        <w:trPr>
          <w:tblHeader/>
        </w:trPr>
        <w:tc>
          <w:tcPr>
            <w:tcW w:w="3000" w:type="dxa"/>
            <w:shd w:val="clear" w:color="auto" w:fill="1F3864"/>
            <w:tcMar>
              <w:top w:w="60" w:type="dxa"/>
              <w:left w:w="80" w:type="dxa"/>
              <w:bottom w:w="60" w:type="dxa"/>
              <w:right w:w="80" w:type="dxa"/>
            </w:tcMar>
            <w:vAlign w:val="center"/>
          </w:tcPr>
          <w:p w14:paraId="769726BA" wp14:textId="77777777">
            <w:r>
              <w:rPr>
                <w:rFonts w:ascii="Calibri" w:hAnsi="Calibri" w:eastAsia="Calibri" w:cs="Calibri"/>
                <w:b/>
                <w:bCs/>
                <w:color w:val="FFFFFF"/>
                <w:sz w:val="18"/>
                <w:szCs w:val="18"/>
              </w:rPr>
              <w:t xml:space="preserve">Item</w:t>
            </w:r>
          </w:p>
        </w:tc>
        <w:tc>
          <w:tcPr>
            <w:tcW w:w="8100" w:type="dxa"/>
            <w:shd w:val="clear" w:color="auto" w:fill="1F3864"/>
            <w:tcMar>
              <w:top w:w="60" w:type="dxa"/>
              <w:left w:w="80" w:type="dxa"/>
              <w:bottom w:w="60" w:type="dxa"/>
              <w:right w:w="80" w:type="dxa"/>
            </w:tcMar>
            <w:vAlign w:val="center"/>
          </w:tcPr>
          <w:p w14:paraId="397DD337" wp14:textId="77777777">
            <w:r>
              <w:rPr>
                <w:rFonts w:ascii="Calibri" w:hAnsi="Calibri" w:eastAsia="Calibri" w:cs="Calibri"/>
                <w:b/>
                <w:bCs/>
                <w:color w:val="FFFFFF"/>
                <w:sz w:val="18"/>
                <w:szCs w:val="18"/>
              </w:rPr>
              <w:t xml:space="preserve">Assumption</w:t>
            </w:r>
          </w:p>
        </w:tc>
      </w:tr>
      <w:tr xmlns:wp14="http://schemas.microsoft.com/office/word/2010/wordml" w:rsidTr="0A324768" w14:paraId="7A367557" wp14:textId="77777777">
        <w:tc>
          <w:tcPr>
            <w:tcW w:w="3000" w:type="dxa"/>
            <w:tcMar>
              <w:top w:w="60" w:type="dxa"/>
              <w:left w:w="80" w:type="dxa"/>
              <w:bottom w:w="60" w:type="dxa"/>
              <w:right w:w="80" w:type="dxa"/>
            </w:tcMar>
          </w:tcPr>
          <w:p w14:paraId="775D33E7" wp14:textId="77777777">
            <w:pPr>
              <w:spacing w:after="40"/>
            </w:pPr>
            <w:r>
              <w:rPr>
                <w:rFonts w:ascii="Calibri" w:hAnsi="Calibri" w:eastAsia="Calibri" w:cs="Calibri"/>
                <w:b/>
                <w:bCs/>
                <w:sz w:val="19"/>
                <w:szCs w:val="19"/>
              </w:rPr>
              <w:t xml:space="preserve">Active Subscriber Base</w:t>
            </w:r>
          </w:p>
        </w:tc>
        <w:tc>
          <w:tcPr>
            <w:tcW w:w="8100" w:type="dxa"/>
            <w:tcMar>
              <w:top w:w="60" w:type="dxa"/>
              <w:left w:w="80" w:type="dxa"/>
              <w:bottom w:w="60" w:type="dxa"/>
              <w:right w:w="80" w:type="dxa"/>
            </w:tcMar>
          </w:tcPr>
          <w:p w14:paraId="0F83EB67" wp14:textId="77777777">
            <w:pPr>
              <w:spacing w:after="40"/>
            </w:pPr>
            <w:r>
              <w:rPr>
                <w:rFonts w:ascii="Calibri" w:hAnsi="Calibri" w:eastAsia="Calibri" w:cs="Calibri"/>
                <w:sz w:val="19"/>
                <w:szCs w:val="19"/>
              </w:rPr>
              <w:t xml:space="preserve">Approximately 2.1 million (per Q2 2026 internal regulatory filing).</w:t>
            </w:r>
          </w:p>
        </w:tc>
      </w:tr>
      <w:tr xmlns:wp14="http://schemas.microsoft.com/office/word/2010/wordml" w:rsidTr="0A324768" w14:paraId="432AF541" wp14:textId="77777777">
        <w:tc>
          <w:tcPr>
            <w:tcW w:w="3000" w:type="dxa"/>
            <w:shd w:val="clear" w:color="auto" w:fill="F2F2F2"/>
            <w:tcMar>
              <w:top w:w="60" w:type="dxa"/>
              <w:left w:w="80" w:type="dxa"/>
              <w:bottom w:w="60" w:type="dxa"/>
              <w:right w:w="80" w:type="dxa"/>
            </w:tcMar>
          </w:tcPr>
          <w:p w14:paraId="2CDC937A" wp14:textId="77777777">
            <w:pPr>
              <w:spacing w:after="40"/>
            </w:pPr>
            <w:r>
              <w:rPr>
                <w:rFonts w:ascii="Calibri" w:hAnsi="Calibri" w:eastAsia="Calibri" w:cs="Calibri"/>
                <w:b/>
                <w:bCs/>
                <w:sz w:val="19"/>
                <w:szCs w:val="19"/>
              </w:rPr>
              <w:t xml:space="preserve">Self-Care Portal MAU Target (Year 1)</w:t>
            </w:r>
          </w:p>
        </w:tc>
        <w:tc>
          <w:tcPr>
            <w:tcW w:w="8100" w:type="dxa"/>
            <w:shd w:val="clear" w:color="auto" w:fill="F2F2F2"/>
            <w:tcMar>
              <w:top w:w="60" w:type="dxa"/>
              <w:left w:w="80" w:type="dxa"/>
              <w:bottom w:w="60" w:type="dxa"/>
              <w:right w:w="80" w:type="dxa"/>
            </w:tcMar>
          </w:tcPr>
          <w:p w14:paraId="0E45315E" wp14:textId="77777777">
            <w:pPr>
              <w:spacing w:after="40"/>
            </w:pPr>
            <w:r>
              <w:rPr>
                <w:rFonts w:ascii="Calibri" w:hAnsi="Calibri" w:eastAsia="Calibri" w:cs="Calibri"/>
                <w:sz w:val="19"/>
                <w:szCs w:val="19"/>
              </w:rPr>
              <w:t xml:space="preserve">Approximately 450,000 monthly active users.</w:t>
            </w:r>
          </w:p>
        </w:tc>
      </w:tr>
      <w:tr xmlns:wp14="http://schemas.microsoft.com/office/word/2010/wordml" w:rsidTr="0A324768" w14:paraId="29F9C64F" wp14:textId="77777777">
        <w:tc>
          <w:tcPr>
            <w:tcW w:w="3000" w:type="dxa"/>
            <w:tcMar>
              <w:top w:w="60" w:type="dxa"/>
              <w:left w:w="80" w:type="dxa"/>
              <w:bottom w:w="60" w:type="dxa"/>
              <w:right w:w="80" w:type="dxa"/>
            </w:tcMar>
          </w:tcPr>
          <w:p w14:paraId="43B2C98D" wp14:textId="77777777">
            <w:pPr>
              <w:spacing w:after="40"/>
            </w:pPr>
            <w:r>
              <w:rPr>
                <w:rFonts w:ascii="Calibri" w:hAnsi="Calibri" w:eastAsia="Calibri" w:cs="Calibri"/>
                <w:b/>
                <w:bCs/>
                <w:sz w:val="19"/>
                <w:szCs w:val="19"/>
              </w:rPr>
              <w:t xml:space="preserve">Peak Traffic Window</w:t>
            </w:r>
          </w:p>
        </w:tc>
        <w:tc>
          <w:tcPr>
            <w:tcW w:w="8100" w:type="dxa"/>
            <w:tcMar>
              <w:top w:w="60" w:type="dxa"/>
              <w:left w:w="80" w:type="dxa"/>
              <w:bottom w:w="60" w:type="dxa"/>
              <w:right w:w="80" w:type="dxa"/>
            </w:tcMar>
          </w:tcPr>
          <w:p w14:paraId="0533B9B6" wp14:textId="77777777">
            <w:pPr>
              <w:spacing w:after="40"/>
            </w:pPr>
            <w:r w:rsidRPr="0A324768" w:rsidR="0A324768">
              <w:rPr>
                <w:rFonts w:ascii="Calibri" w:hAnsi="Calibri" w:eastAsia="Calibri" w:cs="Calibri"/>
                <w:sz w:val="19"/>
                <w:szCs w:val="19"/>
                <w:lang w:val="en-US"/>
              </w:rPr>
              <w:t>Monthly billing-cycle peak (first three days of each billing cycle), approximately 3–4× normal transaction volume.</w:t>
            </w:r>
          </w:p>
        </w:tc>
      </w:tr>
      <w:tr xmlns:wp14="http://schemas.microsoft.com/office/word/2010/wordml" w:rsidTr="0A324768" w14:paraId="245D604D" wp14:textId="77777777">
        <w:tc>
          <w:tcPr>
            <w:tcW w:w="3000" w:type="dxa"/>
            <w:shd w:val="clear" w:color="auto" w:fill="F2F2F2"/>
            <w:tcMar>
              <w:top w:w="60" w:type="dxa"/>
              <w:left w:w="80" w:type="dxa"/>
              <w:bottom w:w="60" w:type="dxa"/>
              <w:right w:w="80" w:type="dxa"/>
            </w:tcMar>
          </w:tcPr>
          <w:p w14:paraId="4B02998F" wp14:textId="77777777">
            <w:pPr>
              <w:spacing w:after="40"/>
            </w:pPr>
            <w:r>
              <w:rPr>
                <w:rFonts w:ascii="Calibri" w:hAnsi="Calibri" w:eastAsia="Calibri" w:cs="Calibri"/>
                <w:b/>
                <w:bCs/>
                <w:sz w:val="19"/>
                <w:szCs w:val="19"/>
              </w:rPr>
              <w:t xml:space="preserve">Core Systems Referenced</w:t>
            </w:r>
          </w:p>
        </w:tc>
        <w:tc>
          <w:tcPr>
            <w:tcW w:w="8100" w:type="dxa"/>
            <w:shd w:val="clear" w:color="auto" w:fill="F2F2F2"/>
            <w:tcMar>
              <w:top w:w="60" w:type="dxa"/>
              <w:left w:w="80" w:type="dxa"/>
              <w:bottom w:w="60" w:type="dxa"/>
              <w:right w:w="80" w:type="dxa"/>
            </w:tcMar>
          </w:tcPr>
          <w:p w14:paraId="38C8A610" wp14:textId="77777777">
            <w:pPr>
              <w:spacing w:after="40"/>
            </w:pPr>
            <w:r w:rsidRPr="0A324768" w:rsidR="0A324768">
              <w:rPr>
                <w:rFonts w:ascii="Calibri" w:hAnsi="Calibri" w:eastAsia="Calibri" w:cs="Calibri"/>
                <w:sz w:val="19"/>
                <w:szCs w:val="19"/>
                <w:lang w:val="en-US"/>
              </w:rPr>
              <w:t>BillCore (billing), Nexus-Prov (provisioning), Nexus-CRM, Self-Care Portal, Agent/Partner Portal.</w:t>
            </w:r>
          </w:p>
        </w:tc>
      </w:tr>
      <w:tr xmlns:wp14="http://schemas.microsoft.com/office/word/2010/wordml" w:rsidTr="0A324768" w14:paraId="1D8B8D92" wp14:textId="77777777">
        <w:tc>
          <w:tcPr>
            <w:tcW w:w="3000" w:type="dxa"/>
            <w:tcMar>
              <w:top w:w="60" w:type="dxa"/>
              <w:left w:w="80" w:type="dxa"/>
              <w:bottom w:w="60" w:type="dxa"/>
              <w:right w:w="80" w:type="dxa"/>
            </w:tcMar>
          </w:tcPr>
          <w:p w14:paraId="196622C1" wp14:textId="77777777">
            <w:pPr>
              <w:spacing w:after="40"/>
            </w:pPr>
            <w:r>
              <w:rPr>
                <w:rFonts w:ascii="Calibri" w:hAnsi="Calibri" w:eastAsia="Calibri" w:cs="Calibri"/>
                <w:b/>
                <w:bCs/>
                <w:sz w:val="19"/>
                <w:szCs w:val="19"/>
              </w:rPr>
              <w:t xml:space="preserve">Data Volume at Engagement Start</w:t>
            </w:r>
          </w:p>
        </w:tc>
        <w:tc>
          <w:tcPr>
            <w:tcW w:w="8100" w:type="dxa"/>
            <w:tcMar>
              <w:top w:w="60" w:type="dxa"/>
              <w:left w:w="80" w:type="dxa"/>
              <w:bottom w:w="60" w:type="dxa"/>
              <w:right w:w="80" w:type="dxa"/>
            </w:tcMar>
          </w:tcPr>
          <w:p w14:paraId="69460931" wp14:textId="77777777">
            <w:pPr>
              <w:spacing w:after="40"/>
            </w:pPr>
            <w:r w:rsidRPr="0A324768" w:rsidR="0A324768">
              <w:rPr>
                <w:rFonts w:ascii="Calibri" w:hAnsi="Calibri" w:eastAsia="Calibri" w:cs="Calibri"/>
                <w:sz w:val="19"/>
                <w:szCs w:val="19"/>
                <w:lang w:val="en-US"/>
              </w:rPr>
              <w:t>Subscriber master ~2.1 million records; historical billing data retained for 24 months.</w:t>
            </w:r>
          </w:p>
        </w:tc>
      </w:tr>
      <w:tr xmlns:wp14="http://schemas.microsoft.com/office/word/2010/wordml" w:rsidTr="0A324768" w14:paraId="636C8519" wp14:textId="77777777">
        <w:tc>
          <w:tcPr>
            <w:tcW w:w="3000" w:type="dxa"/>
            <w:shd w:val="clear" w:color="auto" w:fill="F2F2F2"/>
            <w:tcMar>
              <w:top w:w="60" w:type="dxa"/>
              <w:left w:w="80" w:type="dxa"/>
              <w:bottom w:w="60" w:type="dxa"/>
              <w:right w:w="80" w:type="dxa"/>
            </w:tcMar>
          </w:tcPr>
          <w:p w14:paraId="20E8E4C2" wp14:textId="77777777">
            <w:pPr>
              <w:spacing w:after="40"/>
            </w:pPr>
            <w:r>
              <w:rPr>
                <w:rFonts w:ascii="Calibri" w:hAnsi="Calibri" w:eastAsia="Calibri" w:cs="Calibri"/>
                <w:b/>
                <w:bCs/>
                <w:sz w:val="19"/>
                <w:szCs w:val="19"/>
              </w:rPr>
              <w:t xml:space="preserve">Legacy Platform Note</w:t>
            </w:r>
          </w:p>
        </w:tc>
        <w:tc>
          <w:tcPr>
            <w:tcW w:w="8100" w:type="dxa"/>
            <w:shd w:val="clear" w:color="auto" w:fill="F2F2F2"/>
            <w:tcMar>
              <w:top w:w="60" w:type="dxa"/>
              <w:left w:w="80" w:type="dxa"/>
              <w:bottom w:w="60" w:type="dxa"/>
              <w:right w:w="80" w:type="dxa"/>
            </w:tcMar>
          </w:tcPr>
          <w:p w14:paraId="2F689024" wp14:textId="77777777">
            <w:pPr>
              <w:spacing w:after="40"/>
            </w:pPr>
            <w:r w:rsidRPr="0A324768" w:rsidR="0A324768">
              <w:rPr>
                <w:rFonts w:ascii="Calibri" w:hAnsi="Calibri" w:eastAsia="Calibri" w:cs="Calibri"/>
                <w:sz w:val="19"/>
                <w:szCs w:val="19"/>
                <w:lang w:val="en-US"/>
              </w:rPr>
              <w:t>A subset of legacy prepaid billing logic on BillCore calculates pro-rated charges using a fixed 30-day month convention regardless of actual calendar days — a known source of edge-case defects in billing reconciliation testing.</w:t>
            </w:r>
          </w:p>
        </w:tc>
      </w:tr>
    </w:tbl>
    <w:p w:rsidR="0A324768" w:rsidP="0A324768" w:rsidRDefault="0A324768" w14:paraId="11B37D7C" w14:textId="4BFFF4C7">
      <w:pPr>
        <w:pStyle w:val="Heading1"/>
        <w:pBdr>
          <w:bottom w:val="single" w:color="1F3864" w:sz="6" w:space="4"/>
        </w:pBdr>
        <w:spacing w:before="360" w:after="160"/>
        <w:rPr>
          <w:rFonts w:ascii="Calibri" w:hAnsi="Calibri" w:eastAsia="Calibri" w:cs="Calibri"/>
          <w:b w:val="1"/>
          <w:bCs w:val="1"/>
          <w:color w:val="1F3864"/>
          <w:sz w:val="30"/>
          <w:szCs w:val="30"/>
        </w:rPr>
      </w:pPr>
    </w:p>
    <w:p xmlns:wp14="http://schemas.microsoft.com/office/word/2010/wordml" w14:paraId="2E7CC135" wp14:textId="77777777">
      <w:pPr>
        <w:pStyle w:val="Heading1"/>
        <w:pBdr>
          <w:bottom w:val="single" w:color="1F3864" w:sz="6" w:space="4"/>
        </w:pBdr>
        <w:spacing w:before="360" w:after="160"/>
      </w:pPr>
      <w:r>
        <w:rPr>
          <w:rFonts w:ascii="Calibri" w:hAnsi="Calibri" w:eastAsia="Calibri" w:cs="Calibri"/>
          <w:b/>
          <w:bCs/>
          <w:color w:val="1F3864"/>
          <w:sz w:val="30"/>
          <w:szCs w:val="30"/>
        </w:rPr>
        <w:t xml:space="preserve">22. Submission Instructions</w:t>
      </w:r>
    </w:p>
    <w:p xmlns:wp14="http://schemas.microsoft.com/office/word/2010/wordml" w14:paraId="43428177" wp14:textId="77777777">
      <w:pPr>
        <w:spacing w:after="160" w:line="276" w:lineRule="auto"/>
      </w:pPr>
      <w:r w:rsidRPr="0A324768" w:rsidR="0A324768">
        <w:rPr>
          <w:rFonts w:ascii="Calibri" w:hAnsi="Calibri" w:eastAsia="Calibri" w:cs="Calibri"/>
          <w:sz w:val="21"/>
          <w:szCs w:val="21"/>
          <w:lang w:val="en-US"/>
        </w:rPr>
        <w:t>Proposals should be submitted per the instructions provided by the Nexus Telecom procurement contact, by the proposal due date stated on the cover page. Late submissions may not be considered. All questions must follow the written Q&amp;A process described in Section 17; direct communication with Nexus Telecom development team members outside of designated Q&amp;A sessions is not permitted.</w:t>
      </w:r>
    </w:p>
    <w:p xmlns:wp14="http://schemas.microsoft.com/office/word/2010/wordml" w14:paraId="02EB378F" wp14:textId="77777777">
      <w:r>
        <w:br w:type="page"/>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8560A02" wp14:textId="77777777">
    <w:pPr>
      <w:jc w:val="right"/>
    </w:pPr>
    <w:r>
      <w:rPr>
        <w:rFonts w:ascii="Calibri" w:hAnsi="Calibri" w:eastAsia="Calibri" w:cs="Calibri"/>
        <w:color w:val="595959"/>
        <w:sz w:val="16"/>
        <w:szCs w:val="16"/>
      </w:rPr>
      <w:t xml:space="preserve">RFP-12 | Nexus Telecom | QA Partner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08bd0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07ac119"/>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44C1F88"/>
    <w:rsid w:val="044C1F88"/>
    <w:rsid w:val="05F10035"/>
    <w:rsid w:val="06ABDDF3"/>
    <w:rsid w:val="06ABDDF3"/>
    <w:rsid w:val="08F03159"/>
    <w:rsid w:val="08F03159"/>
    <w:rsid w:val="0A324768"/>
    <w:rsid w:val="0C358F2F"/>
    <w:rsid w:val="0C358F2F"/>
    <w:rsid w:val="0C61EF1D"/>
    <w:rsid w:val="108A33AF"/>
    <w:rsid w:val="1121135F"/>
    <w:rsid w:val="12DC71D7"/>
    <w:rsid w:val="141ECF24"/>
    <w:rsid w:val="1FC5D41F"/>
    <w:rsid w:val="283F94D3"/>
    <w:rsid w:val="2AEFA35B"/>
    <w:rsid w:val="2BEB4790"/>
    <w:rsid w:val="341C4F8C"/>
    <w:rsid w:val="371A4A58"/>
    <w:rsid w:val="385747B0"/>
    <w:rsid w:val="3ABD9ED0"/>
    <w:rsid w:val="3D81D8CC"/>
    <w:rsid w:val="3DDABC7F"/>
    <w:rsid w:val="4362D0F2"/>
    <w:rsid w:val="48FC3FAE"/>
    <w:rsid w:val="4AF73433"/>
    <w:rsid w:val="4C0A6042"/>
    <w:rsid w:val="4CF29BE7"/>
    <w:rsid w:val="507EEB22"/>
    <w:rsid w:val="5230CAAC"/>
    <w:rsid w:val="566D11B8"/>
    <w:rsid w:val="5800DF54"/>
    <w:rsid w:val="58864367"/>
    <w:rsid w:val="5A2E78FE"/>
    <w:rsid w:val="5A2E78FE"/>
    <w:rsid w:val="5E4D6C24"/>
    <w:rsid w:val="687E98A2"/>
    <w:rsid w:val="6C858B17"/>
    <w:rsid w:val="72217D2D"/>
    <w:rsid w:val="73D288FF"/>
    <w:rsid w:val="73D288FF"/>
    <w:rsid w:val="79A1AE2C"/>
    <w:rsid w:val="7B4BFEA9"/>
  </w:rsids>
  <w14:docId w14:val="1F680D5E"/>
  <w15:docId w15:val="{7EE58FCE-82AB-4F68-BF24-D5AE2C5250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Himadri Mondal</lastModifiedBy>
  <revision>4</revision>
  <dcterms:created xsi:type="dcterms:W3CDTF">2026-07-29T10:00:05.9180000Z</dcterms:created>
  <dcterms:modified xsi:type="dcterms:W3CDTF">2026-07-30T11:18:16.7924108Z</dcterms:modified>
</coreProperties>
</file>

<file path=docProps/custom.xml><?xml version="1.0" encoding="utf-8"?>
<Properties xmlns="http://schemas.openxmlformats.org/officeDocument/2006/custom-properties" xmlns:vt="http://schemas.openxmlformats.org/officeDocument/2006/docPropsVTypes"/>
</file>