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0560B" w14:textId="77777777" w:rsidR="00BA28F0" w:rsidRDefault="00000000">
      <w:pPr>
        <w:spacing w:before="1600" w:after="0"/>
        <w:jc w:val="center"/>
      </w:pPr>
      <w:r>
        <w:rPr>
          <w:b/>
          <w:caps/>
          <w:color w:val="9E1B32"/>
          <w:spacing w:val="60"/>
          <w:sz w:val="26"/>
        </w:rPr>
        <w:t>Delivery Excellence Workshop</w:t>
      </w:r>
    </w:p>
    <w:p w14:paraId="0C51D032" w14:textId="77777777" w:rsidR="00BA28F0" w:rsidRDefault="00000000">
      <w:pPr>
        <w:pBdr>
          <w:bottom w:val="single" w:sz="8" w:space="8" w:color="9E1B32"/>
        </w:pBdr>
        <w:spacing w:before="60" w:after="360"/>
        <w:jc w:val="center"/>
      </w:pPr>
      <w:r>
        <w:rPr>
          <w:color w:val="595959"/>
        </w:rPr>
        <w:t>1 August 2026  ·  BJIT</w:t>
      </w:r>
    </w:p>
    <w:p w14:paraId="39ACCCBB" w14:textId="77777777" w:rsidR="00BA28F0" w:rsidRDefault="00000000">
      <w:pPr>
        <w:spacing w:before="240" w:after="80"/>
        <w:jc w:val="center"/>
      </w:pPr>
      <w:r>
        <w:rPr>
          <w:b/>
          <w:color w:val="6E1220"/>
          <w:sz w:val="40"/>
        </w:rPr>
        <w:t>RfP 18</w:t>
      </w:r>
    </w:p>
    <w:p w14:paraId="3536EF1C" w14:textId="77777777" w:rsidR="00BA28F0" w:rsidRDefault="00000000">
      <w:pPr>
        <w:spacing w:after="480"/>
        <w:jc w:val="center"/>
      </w:pPr>
      <w:r>
        <w:rPr>
          <w:b/>
          <w:color w:val="595959"/>
          <w:sz w:val="22"/>
        </w:rPr>
        <w:t>Intended for: GROUP 18</w:t>
      </w:r>
    </w:p>
    <w:p w14:paraId="177FE276" w14:textId="77777777" w:rsidR="00BA28F0" w:rsidRDefault="00000000">
      <w:pPr>
        <w:spacing w:after="60"/>
        <w:jc w:val="center"/>
      </w:pPr>
      <w:r>
        <w:rPr>
          <w:caps/>
          <w:color w:val="808080"/>
          <w:spacing w:val="40"/>
          <w:sz w:val="18"/>
        </w:rPr>
        <w:t>Project Title</w:t>
      </w:r>
    </w:p>
    <w:p w14:paraId="201F81D1" w14:textId="77777777" w:rsidR="00BA28F0" w:rsidRDefault="00000000">
      <w:pPr>
        <w:spacing w:after="120"/>
        <w:jc w:val="center"/>
      </w:pPr>
      <w:r>
        <w:rPr>
          <w:b/>
          <w:sz w:val="32"/>
        </w:rPr>
        <w:t>“Mall Core Renewal”</w:t>
      </w:r>
    </w:p>
    <w:p w14:paraId="73C3E432" w14:textId="77777777" w:rsidR="00BA28F0" w:rsidRDefault="00000000">
      <w:pPr>
        <w:spacing w:after="480"/>
        <w:ind w:left="720" w:right="720"/>
        <w:jc w:val="center"/>
      </w:pPr>
      <w:r>
        <w:rPr>
          <w:sz w:val="26"/>
        </w:rPr>
        <w:t>Massive Refactoring and Sustained Delivery of the EC Mall Expansion Platform</w:t>
      </w:r>
    </w:p>
    <w:p w14:paraId="3D1657FD" w14:textId="77777777" w:rsidR="00BA28F0" w:rsidRDefault="00000000">
      <w:pPr>
        <w:spacing w:after="40"/>
        <w:jc w:val="center"/>
      </w:pPr>
      <w:r>
        <w:rPr>
          <w:b/>
          <w:sz w:val="22"/>
        </w:rPr>
        <w:t>Japan Next Generation Corporation (JNGC) — EC Mall Expansion Service Group</w:t>
      </w:r>
    </w:p>
    <w:p w14:paraId="1D3A4846" w14:textId="77777777" w:rsidR="00BA28F0" w:rsidRDefault="00000000">
      <w:pPr>
        <w:spacing w:after="40"/>
        <w:jc w:val="center"/>
      </w:pPr>
      <w:r>
        <w:rPr>
          <w:color w:val="595959"/>
        </w:rPr>
        <w:t>Category: Web (Existing Stack / Brownfield)  ·  Java / JavaEE / Spring  ·  Mule ESB  ·  Oracle Service Bus  ·  Kafka  ·  AWS + On-Premises</w:t>
      </w:r>
    </w:p>
    <w:p w14:paraId="5FF36438" w14:textId="77777777" w:rsidR="00BA28F0" w:rsidRDefault="00000000">
      <w:pPr>
        <w:spacing w:after="480"/>
        <w:jc w:val="center"/>
      </w:pPr>
      <w:r>
        <w:rPr>
          <w:b/>
          <w:color w:val="9E1B32"/>
        </w:rPr>
        <w:t>Engagement model: ODC (Offshore Development Centre) — long-running, dedicated capacity, multi-cultural blended squads</w:t>
      </w:r>
    </w:p>
    <w:p w14:paraId="17589A6D" w14:textId="77777777" w:rsidR="00BA28F0" w:rsidRDefault="00000000">
      <w:pPr>
        <w:pBdr>
          <w:top w:val="single" w:sz="8" w:space="8" w:color="BFBFBF"/>
        </w:pBdr>
        <w:spacing w:before="240" w:after="60"/>
        <w:jc w:val="center"/>
      </w:pPr>
      <w:r>
        <w:rPr>
          <w:i/>
          <w:sz w:val="18"/>
        </w:rPr>
        <w:t>Request for Proposal — issued to invited Proponents. Read in full before submitting a question.</w:t>
      </w:r>
    </w:p>
    <w:p w14:paraId="3D291885" w14:textId="77777777" w:rsidR="00BA28F0" w:rsidRDefault="00000000">
      <w:pPr>
        <w:spacing w:after="200"/>
        <w:jc w:val="center"/>
      </w:pPr>
      <w:r>
        <w:rPr>
          <w:b/>
          <w:i/>
          <w:color w:val="9E1B32"/>
          <w:sz w:val="18"/>
        </w:rPr>
        <w:t>Confidential — provided solely for the purpose of preparing a proposal. Not for redistribution.</w:t>
      </w:r>
    </w:p>
    <w:p w14:paraId="6C9E86BF" w14:textId="77777777" w:rsidR="00BA28F0" w:rsidRDefault="00000000">
      <w:pPr>
        <w:ind w:left="360" w:right="360"/>
        <w:jc w:val="center"/>
      </w:pPr>
      <w:r>
        <w:rPr>
          <w:i/>
          <w:color w:val="7F7F7F"/>
          <w:sz w:val="16"/>
        </w:rPr>
        <w:t>Workshop note: this scenario is written for internal BJIT delivery-excellence training. Japan Next Generation Corporation (JNGC) is a fictional client; all volumes, systems, contacts, dates and commercial terms are illustrative and must not be treated as factual statements about any real organisation.</w:t>
      </w:r>
    </w:p>
    <w:p w14:paraId="18A444D3" w14:textId="77777777" w:rsidR="00BA28F0" w:rsidRDefault="00000000">
      <w:r>
        <w:br w:type="page"/>
      </w:r>
    </w:p>
    <w:p w14:paraId="70F11ACE" w14:textId="77777777" w:rsidR="00BA28F0" w:rsidRDefault="00000000">
      <w:pPr>
        <w:pBdr>
          <w:bottom w:val="single" w:sz="12" w:space="6" w:color="9E1B32"/>
        </w:pBdr>
        <w:spacing w:after="40"/>
      </w:pPr>
      <w:r>
        <w:rPr>
          <w:b/>
          <w:color w:val="6E1220"/>
          <w:sz w:val="30"/>
        </w:rPr>
        <w:lastRenderedPageBreak/>
        <w:t>Contents</w:t>
      </w:r>
    </w:p>
    <w:p w14:paraId="6C9E4DF7" w14:textId="77777777" w:rsidR="00BA28F0" w:rsidRDefault="00000000">
      <w:pPr>
        <w:spacing w:before="80" w:after="120"/>
      </w:pPr>
      <w:r>
        <w:rPr>
          <w:i/>
          <w:color w:val="595959"/>
          <w:sz w:val="18"/>
        </w:rPr>
        <w:t>Entries in bold carry the requirements, volumes and deadlines a bidder needs to size, price and submit.</w:t>
      </w:r>
    </w:p>
    <w:p w14:paraId="1021E3C3" w14:textId="77777777" w:rsidR="00BA28F0" w:rsidRDefault="00000000">
      <w:pPr>
        <w:spacing w:before="160" w:after="60"/>
      </w:pPr>
      <w:r>
        <w:rPr>
          <w:b/>
          <w:caps/>
          <w:color w:val="9E1B32"/>
          <w:spacing w:val="30"/>
          <w:sz w:val="17"/>
        </w:rPr>
        <w:t>The Request</w:t>
      </w:r>
    </w:p>
    <w:p w14:paraId="7F2B5A05" w14:textId="77777777" w:rsidR="00BA28F0" w:rsidRDefault="00000000">
      <w:pPr>
        <w:tabs>
          <w:tab w:val="right" w:leader="dot" w:pos="9200"/>
        </w:tabs>
        <w:spacing w:after="60"/>
      </w:pPr>
      <w:r>
        <w:rPr>
          <w:b/>
          <w:sz w:val="19"/>
        </w:rPr>
        <w:t>Request for Proposal — control block and key dates</w:t>
      </w:r>
      <w:r>
        <w:tab/>
      </w:r>
      <w:r>
        <w:rPr>
          <w:b/>
          <w:sz w:val="19"/>
        </w:rPr>
        <w:t>3</w:t>
      </w:r>
    </w:p>
    <w:p w14:paraId="3D297C22" w14:textId="77777777" w:rsidR="00BA28F0" w:rsidRDefault="00000000">
      <w:pPr>
        <w:spacing w:before="160" w:after="60"/>
      </w:pPr>
      <w:r>
        <w:rPr>
          <w:b/>
          <w:caps/>
          <w:color w:val="9E1B32"/>
          <w:spacing w:val="30"/>
          <w:sz w:val="17"/>
        </w:rPr>
        <w:t>Context</w:t>
      </w:r>
    </w:p>
    <w:p w14:paraId="7B8C0A2D" w14:textId="77777777" w:rsidR="00BA28F0" w:rsidRDefault="00000000">
      <w:pPr>
        <w:tabs>
          <w:tab w:val="right" w:leader="dot" w:pos="9200"/>
        </w:tabs>
        <w:spacing w:after="60"/>
        <w:ind w:left="180"/>
      </w:pPr>
      <w:r>
        <w:rPr>
          <w:sz w:val="19"/>
        </w:rPr>
        <w:t>1. About JNGC and the EC Mall Expansion Service Group</w:t>
      </w:r>
      <w:r>
        <w:tab/>
      </w:r>
      <w:r>
        <w:rPr>
          <w:sz w:val="19"/>
        </w:rPr>
        <w:t>3</w:t>
      </w:r>
    </w:p>
    <w:p w14:paraId="466F5AC8" w14:textId="77777777" w:rsidR="00BA28F0" w:rsidRDefault="00000000">
      <w:pPr>
        <w:tabs>
          <w:tab w:val="right" w:leader="dot" w:pos="9200"/>
        </w:tabs>
        <w:spacing w:after="60"/>
        <w:ind w:left="180"/>
      </w:pPr>
      <w:r>
        <w:rPr>
          <w:sz w:val="19"/>
        </w:rPr>
        <w:t>2. Background — Why We Are Refactoring Now</w:t>
      </w:r>
      <w:r>
        <w:tab/>
      </w:r>
      <w:r>
        <w:rPr>
          <w:sz w:val="19"/>
        </w:rPr>
        <w:t>3</w:t>
      </w:r>
    </w:p>
    <w:p w14:paraId="38FA7D01" w14:textId="77777777" w:rsidR="00BA28F0" w:rsidRDefault="00000000">
      <w:pPr>
        <w:tabs>
          <w:tab w:val="right" w:leader="dot" w:pos="9200"/>
        </w:tabs>
        <w:spacing w:after="60"/>
        <w:ind w:left="180"/>
      </w:pPr>
      <w:r>
        <w:rPr>
          <w:sz w:val="19"/>
        </w:rPr>
        <w:t>3. Objectives</w:t>
      </w:r>
      <w:r>
        <w:tab/>
      </w:r>
      <w:r>
        <w:rPr>
          <w:sz w:val="19"/>
        </w:rPr>
        <w:t>4</w:t>
      </w:r>
    </w:p>
    <w:p w14:paraId="7C9A5ABD" w14:textId="77777777" w:rsidR="00BA28F0" w:rsidRDefault="00000000">
      <w:pPr>
        <w:tabs>
          <w:tab w:val="right" w:leader="dot" w:pos="9200"/>
        </w:tabs>
        <w:spacing w:after="60"/>
        <w:ind w:left="180"/>
      </w:pPr>
      <w:r>
        <w:rPr>
          <w:sz w:val="19"/>
        </w:rPr>
        <w:t>4. Current-State Landscape</w:t>
      </w:r>
      <w:r>
        <w:tab/>
      </w:r>
      <w:r>
        <w:rPr>
          <w:sz w:val="19"/>
        </w:rPr>
        <w:t>4</w:t>
      </w:r>
    </w:p>
    <w:p w14:paraId="4897FA86" w14:textId="77777777" w:rsidR="00BA28F0" w:rsidRDefault="00000000">
      <w:pPr>
        <w:spacing w:before="160" w:after="60"/>
      </w:pPr>
      <w:r>
        <w:rPr>
          <w:b/>
          <w:caps/>
          <w:color w:val="9E1B32"/>
          <w:spacing w:val="30"/>
          <w:sz w:val="17"/>
        </w:rPr>
        <w:t>Scope and Requirements</w:t>
      </w:r>
    </w:p>
    <w:p w14:paraId="0972B5E2" w14:textId="77777777" w:rsidR="00BA28F0" w:rsidRDefault="00000000">
      <w:pPr>
        <w:tabs>
          <w:tab w:val="right" w:leader="dot" w:pos="9200"/>
        </w:tabs>
        <w:spacing w:after="60"/>
        <w:ind w:left="180"/>
      </w:pPr>
      <w:r>
        <w:rPr>
          <w:sz w:val="19"/>
        </w:rPr>
        <w:t>5. Scope of Work Requested from the Vendor</w:t>
      </w:r>
      <w:r>
        <w:tab/>
      </w:r>
      <w:r>
        <w:rPr>
          <w:sz w:val="19"/>
        </w:rPr>
        <w:t>5</w:t>
      </w:r>
    </w:p>
    <w:p w14:paraId="10B8525B" w14:textId="77777777" w:rsidR="00BA28F0" w:rsidRDefault="00000000">
      <w:pPr>
        <w:tabs>
          <w:tab w:val="right" w:leader="dot" w:pos="9200"/>
        </w:tabs>
        <w:spacing w:after="60"/>
        <w:ind w:left="180"/>
      </w:pPr>
      <w:r>
        <w:rPr>
          <w:sz w:val="19"/>
        </w:rPr>
        <w:t>6. Items Retained by JNGC (Out of Vendor Scope)</w:t>
      </w:r>
      <w:r>
        <w:tab/>
      </w:r>
      <w:r>
        <w:rPr>
          <w:sz w:val="19"/>
        </w:rPr>
        <w:t>6</w:t>
      </w:r>
    </w:p>
    <w:p w14:paraId="0A3C29D4" w14:textId="77777777" w:rsidR="00BA28F0" w:rsidRDefault="00000000">
      <w:pPr>
        <w:tabs>
          <w:tab w:val="right" w:leader="dot" w:pos="9200"/>
        </w:tabs>
        <w:spacing w:after="60"/>
        <w:ind w:left="180"/>
      </w:pPr>
      <w:r>
        <w:rPr>
          <w:b/>
          <w:sz w:val="19"/>
        </w:rPr>
        <w:t>7. Non-Functional Requirements</w:t>
      </w:r>
      <w:r>
        <w:tab/>
      </w:r>
      <w:r>
        <w:rPr>
          <w:b/>
          <w:sz w:val="19"/>
        </w:rPr>
        <w:t>7</w:t>
      </w:r>
    </w:p>
    <w:p w14:paraId="411D6968" w14:textId="77777777" w:rsidR="00BA28F0" w:rsidRDefault="00000000">
      <w:pPr>
        <w:tabs>
          <w:tab w:val="right" w:leader="dot" w:pos="9200"/>
        </w:tabs>
        <w:spacing w:after="60"/>
        <w:ind w:left="180"/>
      </w:pPr>
      <w:r>
        <w:rPr>
          <w:sz w:val="19"/>
        </w:rPr>
        <w:t>8. Resource Requirements and Ramp</w:t>
      </w:r>
      <w:r>
        <w:tab/>
      </w:r>
      <w:r>
        <w:rPr>
          <w:sz w:val="19"/>
        </w:rPr>
        <w:t>7</w:t>
      </w:r>
    </w:p>
    <w:p w14:paraId="206187E2" w14:textId="77777777" w:rsidR="00BA28F0" w:rsidRDefault="00000000">
      <w:pPr>
        <w:spacing w:before="160" w:after="60"/>
      </w:pPr>
      <w:r>
        <w:rPr>
          <w:b/>
          <w:caps/>
          <w:color w:val="9E1B32"/>
          <w:spacing w:val="30"/>
          <w:sz w:val="17"/>
        </w:rPr>
        <w:t>Delivery, Governance and Timeline</w:t>
      </w:r>
    </w:p>
    <w:p w14:paraId="58A6BF6B" w14:textId="77777777" w:rsidR="00BA28F0" w:rsidRDefault="00000000">
      <w:pPr>
        <w:tabs>
          <w:tab w:val="right" w:leader="dot" w:pos="9200"/>
        </w:tabs>
        <w:spacing w:after="60"/>
        <w:ind w:left="180"/>
      </w:pPr>
      <w:r>
        <w:rPr>
          <w:sz w:val="19"/>
        </w:rPr>
        <w:t>9. Governance and Collaboration</w:t>
      </w:r>
      <w:r>
        <w:tab/>
      </w:r>
      <w:r>
        <w:rPr>
          <w:sz w:val="19"/>
        </w:rPr>
        <w:t>8</w:t>
      </w:r>
    </w:p>
    <w:p w14:paraId="100A4F4E" w14:textId="77777777" w:rsidR="00BA28F0" w:rsidRDefault="00000000">
      <w:pPr>
        <w:tabs>
          <w:tab w:val="right" w:leader="dot" w:pos="9200"/>
        </w:tabs>
        <w:spacing w:after="60"/>
        <w:ind w:left="180"/>
      </w:pPr>
      <w:r>
        <w:rPr>
          <w:sz w:val="19"/>
        </w:rPr>
        <w:t>10. Key Performance Indicators</w:t>
      </w:r>
      <w:r>
        <w:tab/>
      </w:r>
      <w:r>
        <w:rPr>
          <w:sz w:val="19"/>
        </w:rPr>
        <w:t>8</w:t>
      </w:r>
    </w:p>
    <w:p w14:paraId="7691183B" w14:textId="77777777" w:rsidR="00BA28F0" w:rsidRDefault="00000000">
      <w:pPr>
        <w:tabs>
          <w:tab w:val="right" w:leader="dot" w:pos="9200"/>
        </w:tabs>
        <w:spacing w:after="60"/>
        <w:ind w:left="180"/>
      </w:pPr>
      <w:r>
        <w:rPr>
          <w:sz w:val="19"/>
        </w:rPr>
        <w:t>11. Transition and Mobilisation</w:t>
      </w:r>
      <w:r>
        <w:tab/>
      </w:r>
      <w:r>
        <w:rPr>
          <w:sz w:val="19"/>
        </w:rPr>
        <w:t>9</w:t>
      </w:r>
    </w:p>
    <w:p w14:paraId="375B98C7" w14:textId="77777777" w:rsidR="00BA28F0" w:rsidRDefault="00000000">
      <w:pPr>
        <w:tabs>
          <w:tab w:val="right" w:leader="dot" w:pos="9200"/>
        </w:tabs>
        <w:spacing w:after="60"/>
        <w:ind w:left="180"/>
      </w:pPr>
      <w:r>
        <w:rPr>
          <w:sz w:val="19"/>
        </w:rPr>
        <w:t>12. Exit and Knowledge Continuity</w:t>
      </w:r>
      <w:r>
        <w:tab/>
      </w:r>
      <w:r>
        <w:rPr>
          <w:sz w:val="19"/>
        </w:rPr>
        <w:t>9</w:t>
      </w:r>
    </w:p>
    <w:p w14:paraId="5000E22F" w14:textId="77777777" w:rsidR="00BA28F0" w:rsidRDefault="00000000">
      <w:pPr>
        <w:tabs>
          <w:tab w:val="right" w:leader="dot" w:pos="9200"/>
        </w:tabs>
        <w:spacing w:after="60"/>
        <w:ind w:left="180"/>
      </w:pPr>
      <w:r>
        <w:rPr>
          <w:sz w:val="19"/>
        </w:rPr>
        <w:t>13. Security, Risk and Compliance</w:t>
      </w:r>
      <w:r>
        <w:tab/>
      </w:r>
      <w:r>
        <w:rPr>
          <w:sz w:val="19"/>
        </w:rPr>
        <w:t>9</w:t>
      </w:r>
    </w:p>
    <w:p w14:paraId="4CF20163" w14:textId="77777777" w:rsidR="00BA28F0" w:rsidRDefault="00000000">
      <w:pPr>
        <w:tabs>
          <w:tab w:val="right" w:leader="dot" w:pos="9200"/>
        </w:tabs>
        <w:spacing w:after="60"/>
        <w:ind w:left="180"/>
      </w:pPr>
      <w:r>
        <w:rPr>
          <w:b/>
          <w:sz w:val="19"/>
        </w:rPr>
        <w:t>14. Timeline Expectation</w:t>
      </w:r>
      <w:r>
        <w:tab/>
      </w:r>
      <w:r>
        <w:rPr>
          <w:b/>
          <w:sz w:val="19"/>
        </w:rPr>
        <w:t>9</w:t>
      </w:r>
    </w:p>
    <w:p w14:paraId="7B2C0469" w14:textId="77777777" w:rsidR="00BA28F0" w:rsidRDefault="00000000">
      <w:pPr>
        <w:spacing w:before="160" w:after="60"/>
      </w:pPr>
      <w:r>
        <w:rPr>
          <w:b/>
          <w:caps/>
          <w:color w:val="9E1B32"/>
          <w:spacing w:val="30"/>
          <w:sz w:val="17"/>
        </w:rPr>
        <w:t>Submission and Evaluation</w:t>
      </w:r>
    </w:p>
    <w:p w14:paraId="62B21AFE" w14:textId="77777777" w:rsidR="00BA28F0" w:rsidRDefault="00000000">
      <w:pPr>
        <w:tabs>
          <w:tab w:val="right" w:leader="dot" w:pos="9200"/>
        </w:tabs>
        <w:spacing w:after="60"/>
        <w:ind w:left="180"/>
      </w:pPr>
      <w:r>
        <w:rPr>
          <w:sz w:val="19"/>
        </w:rPr>
        <w:t>15. Proposal Requirements</w:t>
      </w:r>
      <w:r>
        <w:tab/>
      </w:r>
      <w:r>
        <w:rPr>
          <w:sz w:val="19"/>
        </w:rPr>
        <w:t>9</w:t>
      </w:r>
    </w:p>
    <w:p w14:paraId="65C25D02" w14:textId="77777777" w:rsidR="00BA28F0" w:rsidRDefault="00000000">
      <w:pPr>
        <w:tabs>
          <w:tab w:val="right" w:leader="dot" w:pos="9200"/>
        </w:tabs>
        <w:spacing w:after="60"/>
        <w:ind w:left="180"/>
      </w:pPr>
      <w:r>
        <w:rPr>
          <w:b/>
          <w:sz w:val="19"/>
        </w:rPr>
        <w:t>16. Evaluation Criteria and Commercial Terms</w:t>
      </w:r>
      <w:r>
        <w:tab/>
      </w:r>
      <w:r>
        <w:rPr>
          <w:b/>
          <w:sz w:val="19"/>
        </w:rPr>
        <w:t>10</w:t>
      </w:r>
    </w:p>
    <w:p w14:paraId="6C7714A7" w14:textId="77777777" w:rsidR="00BA28F0" w:rsidRDefault="00000000">
      <w:pPr>
        <w:spacing w:before="160" w:after="60"/>
      </w:pPr>
      <w:r>
        <w:rPr>
          <w:b/>
          <w:caps/>
          <w:color w:val="9E1B32"/>
          <w:spacing w:val="30"/>
          <w:sz w:val="17"/>
        </w:rPr>
        <w:t>Appendices</w:t>
      </w:r>
    </w:p>
    <w:p w14:paraId="2F603F55" w14:textId="77777777" w:rsidR="00BA28F0" w:rsidRDefault="00000000">
      <w:pPr>
        <w:tabs>
          <w:tab w:val="right" w:leader="dot" w:pos="9200"/>
        </w:tabs>
        <w:spacing w:after="60"/>
        <w:ind w:left="180"/>
      </w:pPr>
      <w:r>
        <w:rPr>
          <w:b/>
          <w:sz w:val="19"/>
        </w:rPr>
        <w:t>Appendix A — Business and Volume Assumptions</w:t>
      </w:r>
      <w:r>
        <w:tab/>
      </w:r>
      <w:r>
        <w:rPr>
          <w:b/>
          <w:sz w:val="19"/>
        </w:rPr>
        <w:t>11</w:t>
      </w:r>
    </w:p>
    <w:p w14:paraId="1A6A72AD" w14:textId="77777777" w:rsidR="00BA28F0" w:rsidRDefault="00000000">
      <w:pPr>
        <w:tabs>
          <w:tab w:val="right" w:leader="dot" w:pos="9200"/>
        </w:tabs>
        <w:spacing w:after="60"/>
        <w:ind w:left="180"/>
      </w:pPr>
      <w:r>
        <w:rPr>
          <w:b/>
          <w:sz w:val="19"/>
        </w:rPr>
        <w:t>Appendix B — Refactoring Workstreams</w:t>
      </w:r>
      <w:r>
        <w:tab/>
      </w:r>
      <w:r>
        <w:rPr>
          <w:b/>
          <w:sz w:val="19"/>
        </w:rPr>
        <w:t>13</w:t>
      </w:r>
    </w:p>
    <w:p w14:paraId="00BE25AD" w14:textId="77777777" w:rsidR="00BA28F0" w:rsidRDefault="00000000">
      <w:pPr>
        <w:tabs>
          <w:tab w:val="right" w:leader="dot" w:pos="9200"/>
        </w:tabs>
        <w:spacing w:after="60"/>
        <w:ind w:left="180"/>
      </w:pPr>
      <w:r>
        <w:rPr>
          <w:sz w:val="19"/>
        </w:rPr>
        <w:t>Appendix C — Technology Inventory (Current State)</w:t>
      </w:r>
      <w:r>
        <w:tab/>
      </w:r>
      <w:r>
        <w:rPr>
          <w:sz w:val="19"/>
        </w:rPr>
        <w:t>14</w:t>
      </w:r>
    </w:p>
    <w:p w14:paraId="19B8149F" w14:textId="77777777" w:rsidR="00BA28F0" w:rsidRDefault="00000000">
      <w:pPr>
        <w:tabs>
          <w:tab w:val="right" w:leader="dot" w:pos="9200"/>
        </w:tabs>
        <w:spacing w:after="60"/>
        <w:ind w:left="180"/>
      </w:pPr>
      <w:r>
        <w:rPr>
          <w:b/>
          <w:sz w:val="19"/>
        </w:rPr>
        <w:t>Appendix D — In-Scope Module Inventory</w:t>
      </w:r>
      <w:r>
        <w:tab/>
      </w:r>
      <w:r>
        <w:rPr>
          <w:b/>
          <w:sz w:val="19"/>
        </w:rPr>
        <w:t>15</w:t>
      </w:r>
    </w:p>
    <w:p w14:paraId="45FBE923" w14:textId="77777777" w:rsidR="00BA28F0" w:rsidRDefault="00000000">
      <w:r>
        <w:br w:type="page"/>
      </w:r>
    </w:p>
    <w:p w14:paraId="6C2BACBB" w14:textId="77777777" w:rsidR="00BA28F0" w:rsidRDefault="00000000">
      <w:pPr>
        <w:pStyle w:val="Heading1"/>
      </w:pPr>
      <w:bookmarkStart w:id="0" w:name="request-for-proposal"/>
      <w:r>
        <w:lastRenderedPageBreak/>
        <w:t>Request for Proposal</w:t>
      </w:r>
      <w:bookmarkEnd w:id="0"/>
    </w:p>
    <w:p w14:paraId="628E6F54" w14:textId="77777777" w:rsidR="00BA28F0" w:rsidRDefault="00000000">
      <w:pPr>
        <w:pStyle w:val="FirstParagraph"/>
      </w:pPr>
      <w:r>
        <w:rPr>
          <w:b/>
        </w:rPr>
        <w:t>“Mall Core Renewal” — Massive Refactoring and Sustained Delivery of the EC Mall Expansion Platform</w:t>
      </w:r>
    </w:p>
    <w:tbl>
      <w:tblPr>
        <w:tblStyle w:val="Table"/>
        <w:tblW w:w="5000" w:type="pct"/>
        <w:tblLook w:val="07C0" w:firstRow="0" w:lastRow="1" w:firstColumn="1" w:lastColumn="1" w:noHBand="1" w:noVBand="1"/>
      </w:tblPr>
      <w:tblGrid>
        <w:gridCol w:w="1280"/>
        <w:gridCol w:w="8574"/>
      </w:tblGrid>
      <w:tr w:rsidR="00BA28F0" w14:paraId="43A77B64" w14:textId="77777777">
        <w:tc>
          <w:tcPr>
            <w:tcW w:w="0" w:type="auto"/>
          </w:tcPr>
          <w:p w14:paraId="0D51CADA" w14:textId="77777777" w:rsidR="00BA28F0" w:rsidRDefault="00000000">
            <w:pPr>
              <w:pStyle w:val="Compact"/>
            </w:pPr>
            <w:r>
              <w:rPr>
                <w:b/>
              </w:rPr>
              <w:t>Issuer</w:t>
            </w:r>
          </w:p>
        </w:tc>
        <w:tc>
          <w:tcPr>
            <w:tcW w:w="0" w:type="auto"/>
          </w:tcPr>
          <w:p w14:paraId="15DFBECD" w14:textId="77777777" w:rsidR="00BA28F0" w:rsidRDefault="00000000">
            <w:pPr>
              <w:pStyle w:val="Compact"/>
            </w:pPr>
            <w:r>
              <w:t>Japan Next Generation Corporation (“JNGC”, jngc.co.jp) — EC Mall Expansion Service Group (ECモール拡張サービスグループ), Setagaya-ku, Tokyo, Japan</w:t>
            </w:r>
          </w:p>
        </w:tc>
      </w:tr>
      <w:tr w:rsidR="00BA28F0" w14:paraId="6850C6E5" w14:textId="77777777">
        <w:tc>
          <w:tcPr>
            <w:tcW w:w="0" w:type="auto"/>
          </w:tcPr>
          <w:p w14:paraId="0B3578A8" w14:textId="77777777" w:rsidR="00BA28F0" w:rsidRDefault="00000000">
            <w:pPr>
              <w:pStyle w:val="Compact"/>
            </w:pPr>
            <w:r>
              <w:rPr>
                <w:b/>
              </w:rPr>
              <w:t>Reference &amp; issue date</w:t>
            </w:r>
          </w:p>
        </w:tc>
        <w:tc>
          <w:tcPr>
            <w:tcW w:w="0" w:type="auto"/>
          </w:tcPr>
          <w:p w14:paraId="1D6289E5" w14:textId="77777777" w:rsidR="00BA28F0" w:rsidRDefault="00000000">
            <w:pPr>
              <w:pStyle w:val="Compact"/>
            </w:pPr>
            <w:r>
              <w:t>JNG-ECX-2026-047 · issued 28 July 2026</w:t>
            </w:r>
          </w:p>
        </w:tc>
      </w:tr>
      <w:tr w:rsidR="00BA28F0" w14:paraId="3F382C70" w14:textId="77777777">
        <w:tc>
          <w:tcPr>
            <w:tcW w:w="0" w:type="auto"/>
          </w:tcPr>
          <w:p w14:paraId="7DEB1B93" w14:textId="77777777" w:rsidR="00BA28F0" w:rsidRDefault="00000000">
            <w:pPr>
              <w:pStyle w:val="Compact"/>
            </w:pPr>
            <w:r>
              <w:rPr>
                <w:b/>
              </w:rPr>
              <w:t>Process &amp; deadlines</w:t>
            </w:r>
          </w:p>
        </w:tc>
        <w:tc>
          <w:tcPr>
            <w:tcW w:w="0" w:type="auto"/>
          </w:tcPr>
          <w:p w14:paraId="3F8DD52E" w14:textId="77777777" w:rsidR="00BA28F0" w:rsidRDefault="00000000">
            <w:pPr>
              <w:pStyle w:val="Compact"/>
            </w:pPr>
            <w:r>
              <w:rPr>
                <w:b/>
              </w:rPr>
              <w:t>Written Q&amp;A window</w:t>
            </w:r>
            <w:r>
              <w:t xml:space="preserve"> 28 July – 1 August 2026, closing </w:t>
            </w:r>
            <w:r>
              <w:rPr>
                <w:b/>
              </w:rPr>
              <w:t>10:00 BST</w:t>
            </w:r>
            <w:r>
              <w:t xml:space="preserve">. </w:t>
            </w:r>
            <w:r>
              <w:rPr>
                <w:b/>
              </w:rPr>
              <w:t>Proposal deadline</w:t>
            </w:r>
            <w:r>
              <w:t xml:space="preserve"> 1 August 2026, </w:t>
            </w:r>
            <w:r>
              <w:rPr>
                <w:b/>
              </w:rPr>
              <w:t>13:00 BST</w:t>
            </w:r>
            <w:r>
              <w:t xml:space="preserve">, to our procurement folder; late proposals are accepted but recorded as late. </w:t>
            </w:r>
            <w:r>
              <w:rPr>
                <w:b/>
              </w:rPr>
              <w:t>Presentations</w:t>
            </w:r>
            <w:r>
              <w:t xml:space="preserve"> 1 August 2026, </w:t>
            </w:r>
            <w:r>
              <w:rPr>
                <w:b/>
              </w:rPr>
              <w:t>14:00 BST</w:t>
            </w:r>
            <w:r>
              <w:t xml:space="preserve"> — 10 minutes per vendor, strictly enforced, in English. Questions </w:t>
            </w:r>
            <w:r>
              <w:rPr>
                <w:b/>
              </w:rPr>
              <w:t>in writing only</w:t>
            </w:r>
            <w:r>
              <w:t xml:space="preserve"> (procurement.ecx@jngc.co.jp); answers are shared in writing with all Proponents and verbal exchanges are non-binding.</w:t>
            </w:r>
          </w:p>
        </w:tc>
      </w:tr>
      <w:tr w:rsidR="00BA28F0" w14:paraId="3F68E43B" w14:textId="77777777">
        <w:tc>
          <w:tcPr>
            <w:tcW w:w="0" w:type="auto"/>
          </w:tcPr>
          <w:p w14:paraId="690D9FA6" w14:textId="77777777" w:rsidR="00BA28F0" w:rsidRDefault="00000000">
            <w:pPr>
              <w:pStyle w:val="Compact"/>
            </w:pPr>
            <w:r>
              <w:rPr>
                <w:b/>
              </w:rPr>
              <w:t>Engagement model &amp; term</w:t>
            </w:r>
          </w:p>
        </w:tc>
        <w:tc>
          <w:tcPr>
            <w:tcW w:w="0" w:type="auto"/>
          </w:tcPr>
          <w:p w14:paraId="4AB290C6" w14:textId="77777777" w:rsidR="00BA28F0" w:rsidRDefault="00000000">
            <w:pPr>
              <w:pStyle w:val="Compact"/>
            </w:pPr>
            <w:r>
              <w:rPr>
                <w:b/>
              </w:rPr>
              <w:t>ODC (Offshore Development Centre)</w:t>
            </w:r>
            <w:r>
              <w:t xml:space="preserve"> — a dedicated, long-running capacity engagement governed by individual Statements of Work (SOW), invoiced monthly against a role-based rate card. Term 36 months from service commencement, with two optional 12-month extensions at JNGC’s sole discretion.</w:t>
            </w:r>
          </w:p>
        </w:tc>
      </w:tr>
      <w:tr w:rsidR="00BA28F0" w14:paraId="6422C794" w14:textId="77777777">
        <w:tc>
          <w:tcPr>
            <w:tcW w:w="0" w:type="auto"/>
          </w:tcPr>
          <w:p w14:paraId="36087F47" w14:textId="77777777" w:rsidR="00BA28F0" w:rsidRDefault="00000000">
            <w:pPr>
              <w:pStyle w:val="Compact"/>
            </w:pPr>
            <w:r>
              <w:rPr>
                <w:b/>
              </w:rPr>
              <w:t>Capacity expectation</w:t>
            </w:r>
          </w:p>
        </w:tc>
        <w:tc>
          <w:tcPr>
            <w:tcW w:w="0" w:type="auto"/>
          </w:tcPr>
          <w:p w14:paraId="7F07AA72" w14:textId="77777777" w:rsidR="00BA28F0" w:rsidRDefault="00000000">
            <w:pPr>
              <w:pStyle w:val="Compact"/>
            </w:pPr>
            <w:r>
              <w:t xml:space="preserve">JNGC seeks a </w:t>
            </w:r>
            <w:r>
              <w:rPr>
                <w:b/>
              </w:rPr>
              <w:t>very optimistic, cost-effective yet efficient team offer</w:t>
            </w:r>
            <w:r>
              <w:t>. Team size is not prescribed — the Vendor proposes it, sized from the scope in this document, and reviewed quarterly.</w:t>
            </w:r>
          </w:p>
        </w:tc>
      </w:tr>
      <w:tr w:rsidR="00BA28F0" w14:paraId="4F04402F" w14:textId="77777777">
        <w:tc>
          <w:tcPr>
            <w:tcW w:w="0" w:type="auto"/>
          </w:tcPr>
          <w:p w14:paraId="254F75D3" w14:textId="77777777" w:rsidR="00BA28F0" w:rsidRDefault="00000000">
            <w:pPr>
              <w:pStyle w:val="Compact"/>
            </w:pPr>
            <w:r>
              <w:rPr>
                <w:b/>
              </w:rPr>
              <w:t>Working overlap</w:t>
            </w:r>
          </w:p>
        </w:tc>
        <w:tc>
          <w:tcPr>
            <w:tcW w:w="0" w:type="auto"/>
          </w:tcPr>
          <w:p w14:paraId="7467D932" w14:textId="77777777" w:rsidR="00BA28F0" w:rsidRDefault="00000000">
            <w:pPr>
              <w:pStyle w:val="Compact"/>
            </w:pPr>
            <w:r>
              <w:t xml:space="preserve">A minimum of </w:t>
            </w:r>
            <w:r>
              <w:rPr>
                <w:b/>
              </w:rPr>
              <w:t>6 hours of daily working overlap with Japan Standard Time (JST, UTC+9)</w:t>
            </w:r>
            <w:r>
              <w:t xml:space="preserve"> is mandatory for every ODC member.</w:t>
            </w:r>
          </w:p>
        </w:tc>
      </w:tr>
      <w:tr w:rsidR="00BA28F0" w14:paraId="02D48293" w14:textId="77777777">
        <w:tc>
          <w:tcPr>
            <w:tcW w:w="0" w:type="auto"/>
          </w:tcPr>
          <w:p w14:paraId="711F3000" w14:textId="77777777" w:rsidR="00BA28F0" w:rsidRDefault="00000000">
            <w:pPr>
              <w:pStyle w:val="Compact"/>
            </w:pPr>
            <w:r>
              <w:rPr>
                <w:b/>
              </w:rPr>
              <w:t>Time zone</w:t>
            </w:r>
          </w:p>
        </w:tc>
        <w:tc>
          <w:tcPr>
            <w:tcW w:w="0" w:type="auto"/>
          </w:tcPr>
          <w:p w14:paraId="5481638A" w14:textId="77777777" w:rsidR="00BA28F0" w:rsidRDefault="00000000">
            <w:pPr>
              <w:pStyle w:val="Compact"/>
            </w:pPr>
            <w:r>
              <w:t xml:space="preserve">RfP process times are </w:t>
            </w:r>
            <w:r>
              <w:rPr>
                <w:b/>
              </w:rPr>
              <w:t>BST — Bangladesh Standard Time (UTC+6)</w:t>
            </w:r>
            <w:r>
              <w:t>. Operational times relating to the platform (service windows, cut-offs, coverage hours) are stated in JST where they appear.</w:t>
            </w:r>
          </w:p>
        </w:tc>
      </w:tr>
    </w:tbl>
    <w:p w14:paraId="2DA1E1EC" w14:textId="77777777" w:rsidR="00BA28F0" w:rsidRDefault="00000000">
      <w:pPr>
        <w:pStyle w:val="BodyText"/>
      </w:pPr>
      <w:r>
        <w:rPr>
          <w:i/>
        </w:rPr>
        <w:t>Confidential and provided solely for preparing a proposal. Budget information will not be disclosed. JNGC is under no obligation to award a contract as a result of this RfP.</w:t>
      </w:r>
    </w:p>
    <w:p w14:paraId="3664EE22" w14:textId="77777777" w:rsidR="00BA28F0" w:rsidRDefault="00000000">
      <w:r>
        <w:pict w14:anchorId="60496BED">
          <v:rect id="_x0000_i1025" style="width:0;height:1.5pt" o:hralign="center" o:hrstd="t" o:hr="t"/>
        </w:pict>
      </w:r>
    </w:p>
    <w:p w14:paraId="59105F33" w14:textId="77777777" w:rsidR="00BA28F0" w:rsidRDefault="00000000">
      <w:pPr>
        <w:pStyle w:val="Heading1"/>
      </w:pPr>
      <w:bookmarkStart w:id="1" w:name="X6ceb2b03334bc8fe8ee910bba0786caaf4636a6"/>
      <w:r>
        <w:t>1. About JNGC and the EC Mall Expansion Service Group</w:t>
      </w:r>
      <w:bookmarkEnd w:id="1"/>
    </w:p>
    <w:p w14:paraId="642100FD" w14:textId="77777777" w:rsidR="00BA28F0" w:rsidRDefault="00000000">
      <w:pPr>
        <w:pStyle w:val="FirstParagraph"/>
      </w:pPr>
      <w:r>
        <w:t xml:space="preserve">Japan Next Generation Corporation (“JNGC”, jngc.co.jp) operates one of Japan’s largest online shopping malls — a marketplace in which independent merchants run their own storefronts on a shared platform. The platform’s core value is the </w:t>
      </w:r>
      <w:r>
        <w:rPr>
          <w:b/>
        </w:rPr>
        <w:t>shared service machinery behind both sides of the marketplace</w:t>
      </w:r>
      <w:r>
        <w:t>: catalogue and search, cart and order capture, settlement orchestration, points and campaign engines, logistics hand-off, and the APIs through which hundreds of millions of shopper sessions and tens of thousands of merchants, their back-office vendors and internal operations tools transact every day.</w:t>
      </w:r>
    </w:p>
    <w:p w14:paraId="612FE577" w14:textId="77777777" w:rsidR="00BA28F0" w:rsidRDefault="00000000">
      <w:pPr>
        <w:pStyle w:val="BodyText"/>
      </w:pPr>
      <w:r>
        <w:t xml:space="preserve">The </w:t>
      </w:r>
      <w:r>
        <w:rPr>
          <w:b/>
        </w:rPr>
        <w:t>EC Mall Expansion Service Group (“ECX”)</w:t>
      </w:r>
      <w:r>
        <w:t xml:space="preserve"> owns the </w:t>
      </w:r>
      <w:r>
        <w:rPr>
          <w:i/>
        </w:rPr>
        <w:t>expansion</w:t>
      </w:r>
      <w:r>
        <w:t xml:space="preserve"> surface of the mall: the API and middleware estate that lets new sales channels, shopper experiences, merchant tooling, partner categories and geographies be attached to the mall core without changing the mall core itself. Its service surface is </w:t>
      </w:r>
      <w:r>
        <w:rPr>
          <w:b/>
        </w:rPr>
        <w:t>two-sided</w:t>
      </w:r>
      <w:r>
        <w:t xml:space="preserve">: the same Unified Middleware layer serves the </w:t>
      </w:r>
      <w:r>
        <w:rPr>
          <w:b/>
        </w:rPr>
        <w:t>shopper gateway</w:t>
      </w:r>
      <w:r>
        <w:t xml:space="preserve"> (consumer web and native app) and the </w:t>
      </w:r>
      <w:r>
        <w:rPr>
          <w:b/>
        </w:rPr>
        <w:t>merchant gateway</w:t>
      </w:r>
      <w:r>
        <w:t xml:space="preserve"> (merchant and third-party back-office traffic), plus internal operations tooling. ECX owns the API Gateway, the Unified Middleware layer, the expansion microservices and the event backbone. It does </w:t>
      </w:r>
      <w:r>
        <w:rPr>
          <w:b/>
        </w:rPr>
        <w:t>not</w:t>
      </w:r>
      <w:r>
        <w:t xml:space="preserve"> own the mall core transaction ledger, the merchant contract master or the group identity platform — those are operated by sibling organisations and consumed by ECX as upstream systems.</w:t>
      </w:r>
    </w:p>
    <w:p w14:paraId="0582F43B" w14:textId="77777777" w:rsidR="00BA28F0" w:rsidRDefault="00000000">
      <w:pPr>
        <w:pStyle w:val="BodyText"/>
      </w:pPr>
      <w:r>
        <w:t>ECX works with offshore development partners through the JNGC global engineering sourcing framework. This engagement is executed predominantly remotely and in English.</w:t>
      </w:r>
    </w:p>
    <w:p w14:paraId="0BE0216D" w14:textId="77777777" w:rsidR="00BA28F0" w:rsidRDefault="00000000">
      <w:pPr>
        <w:pStyle w:val="Heading1"/>
      </w:pPr>
      <w:bookmarkStart w:id="2" w:name="background-why-we-are-refactoring-now"/>
      <w:r>
        <w:t>2. Background — Why We Are Refactoring Now</w:t>
      </w:r>
      <w:bookmarkEnd w:id="2"/>
    </w:p>
    <w:p w14:paraId="306F0999" w14:textId="77777777" w:rsidR="00BA28F0" w:rsidRDefault="00000000">
      <w:pPr>
        <w:pStyle w:val="FirstParagraph"/>
      </w:pPr>
      <w:r>
        <w:t>The ECX estate has been in continuous production since 2015 and has grown by accretion: each new channel, merchant category and campaign mechanic was delivered against a launch date, and the integration layer absorbed the complexity. Eleven years on the platform is stable and heavily used, but:</w:t>
      </w:r>
    </w:p>
    <w:p w14:paraId="2ECFF27F" w14:textId="77777777" w:rsidR="00BA28F0" w:rsidRDefault="00000000">
      <w:pPr>
        <w:pStyle w:val="Compact"/>
        <w:numPr>
          <w:ilvl w:val="0"/>
          <w:numId w:val="2"/>
        </w:numPr>
      </w:pPr>
      <w:r>
        <w:rPr>
          <w:b/>
        </w:rPr>
        <w:t>The Unified Middleware layer is the bottleneck.</w:t>
      </w:r>
      <w:r>
        <w:t xml:space="preserve"> Business logic that should live in a service now lives in ESB flows and XQuery transformations. A single-field change to an order payload routinely touches four artefacts across two middleware products and requires a full-platform regression.</w:t>
      </w:r>
    </w:p>
    <w:p w14:paraId="7A96C9A6" w14:textId="77777777" w:rsidR="00BA28F0" w:rsidRDefault="00000000">
      <w:pPr>
        <w:pStyle w:val="Compact"/>
        <w:numPr>
          <w:ilvl w:val="0"/>
          <w:numId w:val="2"/>
        </w:numPr>
      </w:pPr>
      <w:r>
        <w:rPr>
          <w:b/>
        </w:rPr>
        <w:t>Two of the middleware products are approaching end of commercial life</w:t>
      </w:r>
      <w:r>
        <w:t xml:space="preserve"> on our current licensing arrangement. Continuing past the current term is a decision we do not wish to take.</w:t>
      </w:r>
    </w:p>
    <w:p w14:paraId="05C2EB81" w14:textId="77777777" w:rsidR="00BA28F0" w:rsidRDefault="00000000">
      <w:pPr>
        <w:pStyle w:val="Compact"/>
        <w:numPr>
          <w:ilvl w:val="0"/>
          <w:numId w:val="2"/>
        </w:numPr>
      </w:pPr>
      <w:r>
        <w:rPr>
          <w:b/>
        </w:rPr>
        <w:lastRenderedPageBreak/>
        <w:t>Delivery has degraded.</w:t>
      </w:r>
      <w:r>
        <w:t xml:space="preserve"> Median lead time for a </w:t>
      </w:r>
      <w:r>
        <w:rPr>
          <w:i/>
        </w:rPr>
        <w:t>small</w:t>
      </w:r>
      <w:r>
        <w:t xml:space="preserve"> API change is 34 calendar days against an internal target of 10, and roughly one in six production releases in the last four quarters required a hotfix or partial rollback within 72 hours.</w:t>
      </w:r>
    </w:p>
    <w:p w14:paraId="21D173A1" w14:textId="77777777" w:rsidR="00BA28F0" w:rsidRDefault="00000000">
      <w:pPr>
        <w:pStyle w:val="Compact"/>
        <w:numPr>
          <w:ilvl w:val="0"/>
          <w:numId w:val="2"/>
        </w:numPr>
      </w:pPr>
      <w:r>
        <w:rPr>
          <w:b/>
        </w:rPr>
        <w:t>Knowledge is concentrated and the mall keeps growing.</w:t>
      </w:r>
      <w:r>
        <w:t xml:space="preserve"> Three engineers hold most of the working knowledge of the mediation layer and two rotate off this fiscal year, while merchant count, SKU count and event volume have all roughly doubled since 2021 without the integration layer’s design assumptions being revisited.</w:t>
      </w:r>
    </w:p>
    <w:p w14:paraId="7B4DB111" w14:textId="77777777" w:rsidR="00BA28F0" w:rsidRDefault="00000000">
      <w:pPr>
        <w:pStyle w:val="FirstParagraph"/>
      </w:pPr>
      <w:r>
        <w:t xml:space="preserve">Management has approved </w:t>
      </w:r>
      <w:r>
        <w:rPr>
          <w:b/>
        </w:rPr>
        <w:t>“Mall Core Renewal”</w:t>
      </w:r>
      <w:r>
        <w:t xml:space="preserve"> — a multi-year refactoring programme executed by a dedicated offshore development centre. This is explicitly </w:t>
      </w:r>
      <w:r>
        <w:rPr>
          <w:b/>
        </w:rPr>
        <w:t>not</w:t>
      </w:r>
      <w:r>
        <w:t xml:space="preserve"> a greenfield build and </w:t>
      </w:r>
      <w:r>
        <w:rPr>
          <w:b/>
        </w:rPr>
        <w:t>not</w:t>
      </w:r>
      <w:r>
        <w:t xml:space="preserve"> a big-bang re-platforming. It is controlled, incremental, behaviour-preserving modernisation of a live, revenue-carrying system, executed </w:t>
      </w:r>
      <w:r>
        <w:rPr>
          <w:b/>
        </w:rPr>
        <w:t>alongside</w:t>
      </w:r>
      <w:r>
        <w:t xml:space="preserve"> continuing feature delivery. The mall does not stop; the refactoring happens underneath it.</w:t>
      </w:r>
    </w:p>
    <w:p w14:paraId="6E8EC140" w14:textId="77777777" w:rsidR="00BA28F0" w:rsidRDefault="00000000">
      <w:pPr>
        <w:pStyle w:val="Heading1"/>
      </w:pPr>
      <w:bookmarkStart w:id="3" w:name="objectives"/>
      <w:r>
        <w:t>3. Objectives</w:t>
      </w:r>
      <w:bookmarkEnd w:id="3"/>
    </w:p>
    <w:p w14:paraId="759899A0" w14:textId="77777777" w:rsidR="00BA28F0" w:rsidRDefault="00000000">
      <w:pPr>
        <w:pStyle w:val="FirstParagraph"/>
      </w:pPr>
      <w:r>
        <w:t>In priority order:</w:t>
      </w:r>
    </w:p>
    <w:p w14:paraId="7A4A862F" w14:textId="77777777" w:rsidR="00BA28F0" w:rsidRDefault="00000000">
      <w:pPr>
        <w:pStyle w:val="Compact"/>
        <w:numPr>
          <w:ilvl w:val="0"/>
          <w:numId w:val="3"/>
        </w:numPr>
      </w:pPr>
      <w:r>
        <w:rPr>
          <w:b/>
        </w:rPr>
        <w:t>Preserve service.</w:t>
      </w:r>
      <w:r>
        <w:t xml:space="preserve"> No degradation of availability, latency, data integrity or externally observable shopper- and merchant-facing behaviour attributable to refactoring work.</w:t>
      </w:r>
    </w:p>
    <w:p w14:paraId="180AAB0B" w14:textId="77777777" w:rsidR="00BA28F0" w:rsidRDefault="00000000">
      <w:pPr>
        <w:pStyle w:val="Compact"/>
        <w:numPr>
          <w:ilvl w:val="0"/>
          <w:numId w:val="3"/>
        </w:numPr>
      </w:pPr>
      <w:r>
        <w:rPr>
          <w:b/>
        </w:rPr>
        <w:t>Retire the legacy mediation layer.</w:t>
      </w:r>
      <w:r>
        <w:t xml:space="preserve"> Move orchestration, transformation and business logic out of the ESB products into owned, testable, versioned service code.</w:t>
      </w:r>
    </w:p>
    <w:p w14:paraId="6C50831C" w14:textId="77777777" w:rsidR="00BA28F0" w:rsidRDefault="00000000">
      <w:pPr>
        <w:pStyle w:val="Compact"/>
        <w:numPr>
          <w:ilvl w:val="0"/>
          <w:numId w:val="3"/>
        </w:numPr>
      </w:pPr>
      <w:r>
        <w:rPr>
          <w:b/>
        </w:rPr>
        <w:t>Restore change velocity.</w:t>
      </w:r>
      <w:r>
        <w:t xml:space="preserve"> Median lead time for a small API change from 34 days towards 10; change failure rate below 8%.</w:t>
      </w:r>
    </w:p>
    <w:p w14:paraId="67C2B943" w14:textId="77777777" w:rsidR="00BA28F0" w:rsidRDefault="00000000">
      <w:pPr>
        <w:pStyle w:val="Compact"/>
        <w:numPr>
          <w:ilvl w:val="0"/>
          <w:numId w:val="3"/>
        </w:numPr>
      </w:pPr>
      <w:r>
        <w:rPr>
          <w:b/>
        </w:rPr>
        <w:t>Rebuild the safety net</w:t>
      </w:r>
      <w:r>
        <w:t xml:space="preserve"> so a full platform regression is a pipeline stage, not a two-week manual campaign; </w:t>
      </w:r>
      <w:r>
        <w:rPr>
          <w:b/>
        </w:rPr>
        <w:t>de-risk knowledge</w:t>
      </w:r>
      <w:r>
        <w:t xml:space="preserve">; and </w:t>
      </w:r>
      <w:r>
        <w:rPr>
          <w:b/>
        </w:rPr>
        <w:t>sustain delivery</w:t>
      </w:r>
      <w:r>
        <w:t xml:space="preserve"> of the ECX business backlog at a predictable rate throughout.</w:t>
      </w:r>
    </w:p>
    <w:p w14:paraId="344A355A" w14:textId="77777777" w:rsidR="00BA28F0" w:rsidRDefault="00000000">
      <w:pPr>
        <w:pStyle w:val="FirstParagraph"/>
      </w:pPr>
      <w:r>
        <w:t xml:space="preserve">Proposals must state, per objective, how progress will be </w:t>
      </w:r>
      <w:r>
        <w:rPr>
          <w:b/>
        </w:rPr>
        <w:t>measured and evidenced</w:t>
      </w:r>
      <w:r>
        <w:t>.</w:t>
      </w:r>
    </w:p>
    <w:p w14:paraId="1DED9AC2" w14:textId="77777777" w:rsidR="00BA28F0" w:rsidRDefault="00000000">
      <w:pPr>
        <w:pStyle w:val="Heading1"/>
      </w:pPr>
      <w:bookmarkStart w:id="4" w:name="current-state-landscape"/>
      <w:r>
        <w:t>4. Current-State Landscape</w:t>
      </w:r>
      <w:bookmarkEnd w:id="4"/>
    </w:p>
    <w:p w14:paraId="3F56CEE1" w14:textId="77777777" w:rsidR="00BA28F0" w:rsidRDefault="00000000">
      <w:pPr>
        <w:pStyle w:val="FirstParagraph"/>
      </w:pPr>
      <w:r>
        <w:t xml:space="preserve">Appendix A gives business and volume assumptions, Appendix B the refactoring workstreams, Appendix C the technology inventory and </w:t>
      </w:r>
      <w:r>
        <w:rPr>
          <w:b/>
        </w:rPr>
        <w:t>Appendix D the module-level inventory of the in-scope code base, which is the estimating basis</w:t>
      </w:r>
      <w:r>
        <w:t>. Proponents are expected to ask written questions where this description is insufficient for estimation.</w:t>
      </w:r>
    </w:p>
    <w:p w14:paraId="004B75BE" w14:textId="77777777" w:rsidR="00BA28F0" w:rsidRDefault="00000000">
      <w:pPr>
        <w:pStyle w:val="Heading2"/>
      </w:pPr>
      <w:bookmarkStart w:id="5" w:name="architectural-shape"/>
      <w:r>
        <w:t>4.1 Architectural shape</w:t>
      </w:r>
      <w:bookmarkEnd w:id="5"/>
    </w:p>
    <w:p w14:paraId="69F0B1FE" w14:textId="77777777" w:rsidR="00BA28F0" w:rsidRDefault="00000000">
      <w:pPr>
        <w:pStyle w:val="FirstParagraph"/>
      </w:pPr>
      <w:r>
        <w:t xml:space="preserve">The platform is deliberately </w:t>
      </w:r>
      <w:r>
        <w:rPr>
          <w:b/>
        </w:rPr>
        <w:t>thin-client</w:t>
      </w:r>
      <w:r>
        <w:t>: native mobile apps and the web front end hold minimal business logic, handling input, navigation and presentation. Essentially all business logic and shared service behaviour is centralised behind the gateway. The estate is backend-heavy and so is this scope.</w:t>
      </w:r>
    </w:p>
    <w:tbl>
      <w:tblPr>
        <w:tblStyle w:val="Table"/>
        <w:tblW w:w="5000" w:type="pct"/>
        <w:tblLook w:val="07E0" w:firstRow="1" w:lastRow="1" w:firstColumn="1" w:lastColumn="1" w:noHBand="1" w:noVBand="1"/>
      </w:tblPr>
      <w:tblGrid>
        <w:gridCol w:w="1400"/>
        <w:gridCol w:w="5134"/>
        <w:gridCol w:w="3320"/>
      </w:tblGrid>
      <w:tr w:rsidR="00BA28F0" w14:paraId="26225959" w14:textId="77777777">
        <w:trPr>
          <w:tblHeader/>
        </w:trPr>
        <w:tc>
          <w:tcPr>
            <w:tcW w:w="0" w:type="auto"/>
            <w:tcBorders>
              <w:bottom w:val="single" w:sz="0" w:space="0" w:color="auto"/>
            </w:tcBorders>
            <w:vAlign w:val="bottom"/>
          </w:tcPr>
          <w:p w14:paraId="51E9516A" w14:textId="77777777" w:rsidR="00BA28F0" w:rsidRDefault="00000000">
            <w:pPr>
              <w:pStyle w:val="Compact"/>
            </w:pPr>
            <w:r>
              <w:t>Tier</w:t>
            </w:r>
          </w:p>
        </w:tc>
        <w:tc>
          <w:tcPr>
            <w:tcW w:w="0" w:type="auto"/>
            <w:tcBorders>
              <w:bottom w:val="single" w:sz="0" w:space="0" w:color="auto"/>
            </w:tcBorders>
            <w:vAlign w:val="bottom"/>
          </w:tcPr>
          <w:p w14:paraId="7EE52632" w14:textId="77777777" w:rsidR="00BA28F0" w:rsidRDefault="00000000">
            <w:pPr>
              <w:pStyle w:val="Compact"/>
            </w:pPr>
            <w:r>
              <w:t>What it does today</w:t>
            </w:r>
          </w:p>
        </w:tc>
        <w:tc>
          <w:tcPr>
            <w:tcW w:w="0" w:type="auto"/>
            <w:tcBorders>
              <w:bottom w:val="single" w:sz="0" w:space="0" w:color="auto"/>
            </w:tcBorders>
            <w:vAlign w:val="bottom"/>
          </w:tcPr>
          <w:p w14:paraId="37F75270" w14:textId="77777777" w:rsidR="00BA28F0" w:rsidRDefault="00000000">
            <w:pPr>
              <w:pStyle w:val="Compact"/>
            </w:pPr>
            <w:r>
              <w:t>Principal concern</w:t>
            </w:r>
          </w:p>
        </w:tc>
      </w:tr>
      <w:tr w:rsidR="00BA28F0" w14:paraId="77A1DB72" w14:textId="77777777">
        <w:tc>
          <w:tcPr>
            <w:tcW w:w="0" w:type="auto"/>
          </w:tcPr>
          <w:p w14:paraId="0ECA69D3" w14:textId="77777777" w:rsidR="00BA28F0" w:rsidRDefault="00000000">
            <w:pPr>
              <w:pStyle w:val="Compact"/>
            </w:pPr>
            <w:r>
              <w:rPr>
                <w:b/>
              </w:rPr>
              <w:t>Client tier</w:t>
            </w:r>
          </w:p>
        </w:tc>
        <w:tc>
          <w:tcPr>
            <w:tcW w:w="0" w:type="auto"/>
          </w:tcPr>
          <w:p w14:paraId="064A89DD" w14:textId="77777777" w:rsidR="00BA28F0" w:rsidRDefault="00000000">
            <w:pPr>
              <w:pStyle w:val="Compact"/>
            </w:pPr>
            <w:r>
              <w:t xml:space="preserve">Four consumer groups: the </w:t>
            </w:r>
            <w:r>
              <w:rPr>
                <w:b/>
              </w:rPr>
              <w:t>shopper channel</w:t>
            </w:r>
            <w:r>
              <w:t xml:space="preserve"> (consumer native apps, web SPA), the </w:t>
            </w:r>
            <w:r>
              <w:rPr>
                <w:b/>
              </w:rPr>
              <w:t>merchant channel</w:t>
            </w:r>
            <w:r>
              <w:t xml:space="preserve"> (merchant back-office systems, third-party integration vendors), </w:t>
            </w:r>
            <w:r>
              <w:rPr>
                <w:b/>
              </w:rPr>
              <w:t>internal operations users</w:t>
            </w:r>
            <w:r>
              <w:t xml:space="preserve"> on the merchant administration tooling (“RMS”), and batch/partner integrations.</w:t>
            </w:r>
          </w:p>
        </w:tc>
        <w:tc>
          <w:tcPr>
            <w:tcW w:w="0" w:type="auto"/>
          </w:tcPr>
          <w:p w14:paraId="74979E53" w14:textId="77777777" w:rsidR="00BA28F0" w:rsidRDefault="00000000">
            <w:pPr>
              <w:pStyle w:val="Compact"/>
            </w:pPr>
            <w:r>
              <w:t>Contract stability on both sides. Shopper clients ship on app-store cycles; merchant clients ship on their own. Neither can be forced to change on the refactoring’s schedule.</w:t>
            </w:r>
          </w:p>
        </w:tc>
      </w:tr>
      <w:tr w:rsidR="00BA28F0" w14:paraId="1DDEDB2E" w14:textId="77777777">
        <w:tc>
          <w:tcPr>
            <w:tcW w:w="0" w:type="auto"/>
          </w:tcPr>
          <w:p w14:paraId="176CAA04" w14:textId="77777777" w:rsidR="00BA28F0" w:rsidRDefault="00000000">
            <w:pPr>
              <w:pStyle w:val="Compact"/>
            </w:pPr>
            <w:r>
              <w:rPr>
                <w:b/>
              </w:rPr>
              <w:t>API Gateway / proxy tier</w:t>
            </w:r>
          </w:p>
        </w:tc>
        <w:tc>
          <w:tcPr>
            <w:tcW w:w="0" w:type="auto"/>
          </w:tcPr>
          <w:p w14:paraId="3EC309D6" w14:textId="77777777" w:rsidR="00BA28F0" w:rsidRDefault="00000000">
            <w:pPr>
              <w:pStyle w:val="Compact"/>
            </w:pPr>
            <w:r>
              <w:t xml:space="preserve">Two logical entry points onto a shared proxy estate — the </w:t>
            </w:r>
            <w:r>
              <w:rPr>
                <w:b/>
              </w:rPr>
              <w:t>shopper gateway</w:t>
            </w:r>
            <w:r>
              <w:t xml:space="preserve"> and the </w:t>
            </w:r>
            <w:r>
              <w:rPr>
                <w:b/>
              </w:rPr>
              <w:t>merchant gateway</w:t>
            </w:r>
            <w:r>
              <w:t xml:space="preserve"> — providing edge routing, WAF and IP filtering, OAuth2/JWT authentication and authorisation, rate limiting and throttling, request logging and traffic monitoring.</w:t>
            </w:r>
          </w:p>
        </w:tc>
        <w:tc>
          <w:tcPr>
            <w:tcW w:w="0" w:type="auto"/>
          </w:tcPr>
          <w:p w14:paraId="5B5D1AED" w14:textId="77777777" w:rsidR="00BA28F0" w:rsidRDefault="00000000">
            <w:pPr>
              <w:pStyle w:val="Compact"/>
            </w:pPr>
            <w:r>
              <w:t>Policy duplication with the middleware tier; inconsistent throttle semantics between the two tiers and between the two gateways.</w:t>
            </w:r>
          </w:p>
        </w:tc>
      </w:tr>
      <w:tr w:rsidR="00BA28F0" w14:paraId="0123D2FD" w14:textId="77777777">
        <w:tc>
          <w:tcPr>
            <w:tcW w:w="0" w:type="auto"/>
          </w:tcPr>
          <w:p w14:paraId="098B2877" w14:textId="77777777" w:rsidR="00BA28F0" w:rsidRDefault="00000000">
            <w:pPr>
              <w:pStyle w:val="Compact"/>
            </w:pPr>
            <w:r>
              <w:rPr>
                <w:b/>
              </w:rPr>
              <w:t>Unified Middleware tier (ESB + API layer)</w:t>
            </w:r>
          </w:p>
        </w:tc>
        <w:tc>
          <w:tcPr>
            <w:tcW w:w="0" w:type="auto"/>
          </w:tcPr>
          <w:p w14:paraId="3A9C0BE9" w14:textId="77777777" w:rsidR="00BA28F0" w:rsidRDefault="00000000">
            <w:pPr>
              <w:pStyle w:val="Compact"/>
            </w:pPr>
            <w:r>
              <w:rPr>
                <w:b/>
              </w:rPr>
              <w:t>A single shared layer serving both gateways.</w:t>
            </w:r>
            <w:r>
              <w:t xml:space="preserve"> Common authentication/authorisation, a second throttle implementation, request/response payload transformation, an “application engine” hosting business logic, and service orchestration/mediation. Exposes GraphQL, REST and SOAP to shopper, merchant and internal consumers alike.</w:t>
            </w:r>
          </w:p>
        </w:tc>
        <w:tc>
          <w:tcPr>
            <w:tcW w:w="0" w:type="auto"/>
          </w:tcPr>
          <w:p w14:paraId="0F81C9B5" w14:textId="77777777" w:rsidR="00BA28F0" w:rsidRDefault="00000000">
            <w:pPr>
              <w:pStyle w:val="Compact"/>
            </w:pPr>
            <w:r>
              <w:rPr>
                <w:b/>
              </w:rPr>
              <w:t>The primary target of this engagement.</w:t>
            </w:r>
            <w:r>
              <w:t xml:space="preserve"> Business logic embedded in mediation artefacts; transformation logic in XQuery; orchestration flows with no automated tests. Because the layer is shared, a change made for one side of the marketplace can affect the other.</w:t>
            </w:r>
          </w:p>
        </w:tc>
      </w:tr>
      <w:tr w:rsidR="00BA28F0" w14:paraId="59347C3F" w14:textId="77777777">
        <w:tc>
          <w:tcPr>
            <w:tcW w:w="0" w:type="auto"/>
          </w:tcPr>
          <w:p w14:paraId="5661EA28" w14:textId="77777777" w:rsidR="00BA28F0" w:rsidRDefault="00000000">
            <w:pPr>
              <w:pStyle w:val="Compact"/>
            </w:pPr>
            <w:r>
              <w:rPr>
                <w:b/>
              </w:rPr>
              <w:t>Microservices, data &amp; messaging tiers</w:t>
            </w:r>
          </w:p>
        </w:tc>
        <w:tc>
          <w:tcPr>
            <w:tcW w:w="0" w:type="auto"/>
          </w:tcPr>
          <w:p w14:paraId="0560EDDB" w14:textId="77777777" w:rsidR="00BA28F0" w:rsidRDefault="00000000">
            <w:pPr>
              <w:pStyle w:val="Compact"/>
            </w:pPr>
            <w:r>
              <w:t>~70 internally-developed services carrying domain functionality, communicating synchronously with the middleware and asynchronously over the event backbone. Beneath them: relational databases across three engines; an in-memory store used simultaneously as cache and as HTTP session store; object storage; a Kafka event backbone carrying published and consumed domain events.</w:t>
            </w:r>
          </w:p>
        </w:tc>
        <w:tc>
          <w:tcPr>
            <w:tcW w:w="0" w:type="auto"/>
          </w:tcPr>
          <w:p w14:paraId="7291AA05" w14:textId="77777777" w:rsidR="00BA28F0" w:rsidRDefault="00000000">
            <w:pPr>
              <w:pStyle w:val="Compact"/>
            </w:pPr>
            <w:r>
              <w:t>Inconsistent service maturity — some modern and well-tested, some lift-and-shift extractions that still call back into the ESB. Session-state coupling blocks stateless refactoring, and event semantics are weaker in practice than in documentation.</w:t>
            </w:r>
          </w:p>
        </w:tc>
      </w:tr>
    </w:tbl>
    <w:p w14:paraId="4D8F7598" w14:textId="77777777" w:rsidR="00BA28F0" w:rsidRDefault="00000000">
      <w:pPr>
        <w:pStyle w:val="Heading2"/>
      </w:pPr>
      <w:bookmarkStart w:id="6" w:name="traffic-and-integration-surface"/>
      <w:r>
        <w:lastRenderedPageBreak/>
        <w:t>4.2 Traffic and integration surface</w:t>
      </w:r>
      <w:bookmarkEnd w:id="6"/>
    </w:p>
    <w:p w14:paraId="139F39F7" w14:textId="77777777" w:rsidR="00BA28F0" w:rsidRDefault="00000000">
      <w:pPr>
        <w:pStyle w:val="Compact"/>
        <w:numPr>
          <w:ilvl w:val="0"/>
          <w:numId w:val="4"/>
        </w:numPr>
      </w:pPr>
      <w:r>
        <w:rPr>
          <w:b/>
        </w:rPr>
        <w:t>Shopper-facing APIs</w:t>
      </w:r>
      <w:r>
        <w:t xml:space="preserve"> serve consumer web and native clients: catalogue and search, product detail, cart, checkout and order capture, member account and order history, point balance, review and notification surfaces. Highest volume, most latency-sensitive, most exposed to campaign spikes. Predominantly REST and GraphQL.</w:t>
      </w:r>
    </w:p>
    <w:p w14:paraId="5E7F61DD" w14:textId="77777777" w:rsidR="00BA28F0" w:rsidRDefault="00000000">
      <w:pPr>
        <w:pStyle w:val="Compact"/>
        <w:numPr>
          <w:ilvl w:val="0"/>
          <w:numId w:val="4"/>
        </w:numPr>
      </w:pPr>
      <w:r>
        <w:rPr>
          <w:b/>
        </w:rPr>
        <w:t>Merchant-facing APIs</w:t>
      </w:r>
      <w:r>
        <w:t xml:space="preserve"> are consumed by merchants’ own systems and by third-party back-office vendors (inventory, order-management, shipping integrators). A meaningful proportion integrate over SOAP with code they will not rewrite quickly.</w:t>
      </w:r>
    </w:p>
    <w:p w14:paraId="57DA50C6" w14:textId="77777777" w:rsidR="00BA28F0" w:rsidRDefault="00000000">
      <w:pPr>
        <w:pStyle w:val="Compact"/>
        <w:numPr>
          <w:ilvl w:val="0"/>
          <w:numId w:val="4"/>
        </w:numPr>
      </w:pPr>
      <w:r>
        <w:rPr>
          <w:b/>
        </w:rPr>
        <w:t>Both sides meet in the same middleware.</w:t>
      </w:r>
      <w:r>
        <w:t xml:space="preserve"> Order capture, inventory availability, pricing, points and campaign eligibility run through shared orchestration flows, so shopper-side and merchant-side requirements contend for the same artefacts and a cutover affects both audiences at once.</w:t>
      </w:r>
    </w:p>
    <w:p w14:paraId="6D598E93" w14:textId="77777777" w:rsidR="00BA28F0" w:rsidRDefault="00000000">
      <w:pPr>
        <w:pStyle w:val="Compact"/>
        <w:numPr>
          <w:ilvl w:val="0"/>
          <w:numId w:val="4"/>
        </w:numPr>
      </w:pPr>
      <w:r>
        <w:rPr>
          <w:b/>
        </w:rPr>
        <w:t>Internal operations tooling</w:t>
      </w:r>
      <w:r>
        <w:t xml:space="preserve"> drives high-volume administrative traffic; </w:t>
      </w:r>
      <w:r>
        <w:rPr>
          <w:b/>
        </w:rPr>
        <w:t>event traffic</w:t>
      </w:r>
      <w:r>
        <w:t xml:space="preserve"> is dominated by order lifecycle, inventory delta and campaign/point events; </w:t>
      </w:r>
      <w:r>
        <w:rPr>
          <w:b/>
        </w:rPr>
        <w:t>load is strongly campaign-driven</w:t>
      </w:r>
      <w:r>
        <w:t xml:space="preserve"> (Appendix A).</w:t>
      </w:r>
    </w:p>
    <w:p w14:paraId="1FBF84A8" w14:textId="77777777" w:rsidR="00BA28F0" w:rsidRDefault="00000000">
      <w:pPr>
        <w:pStyle w:val="Heading2"/>
      </w:pPr>
      <w:bookmarkStart w:id="7" w:name="delivery-practice-today"/>
      <w:r>
        <w:t>4.3 Delivery practice today</w:t>
      </w:r>
      <w:bookmarkEnd w:id="7"/>
    </w:p>
    <w:p w14:paraId="1150E033" w14:textId="77777777" w:rsidR="00BA28F0" w:rsidRDefault="00000000">
      <w:pPr>
        <w:pStyle w:val="FirstParagraph"/>
      </w:pPr>
      <w:r>
        <w:t xml:space="preserve">Agile, two-week iterations, multiple squads. The Vendor will not receive an isolated work package but will operate </w:t>
      </w:r>
      <w:r>
        <w:rPr>
          <w:b/>
        </w:rPr>
        <w:t>inside</w:t>
      </w:r>
      <w:r>
        <w:t xml:space="preserve"> that organisation in blended squads that may include JNGC full-time employees, contingent workers and other delivery partners. The current activity mix, which the Vendor is expected to assume and expand: sprint planning and estimation; backend API construction; rapid defect resolution; testing in staging and pre-production; deployment of stable APIs to staging; system integration support; </w:t>
      </w:r>
      <w:r>
        <w:rPr>
          <w:b/>
        </w:rPr>
        <w:t>production sanity verification</w:t>
      </w:r>
      <w:r>
        <w:t>; root-cause analysis; rapid hotfix delivery; participation in release judgement; post-release monitoring assistance.</w:t>
      </w:r>
    </w:p>
    <w:p w14:paraId="66B5BCB9" w14:textId="77777777" w:rsidR="00BA28F0" w:rsidRDefault="00000000">
      <w:pPr>
        <w:pStyle w:val="Heading1"/>
      </w:pPr>
      <w:bookmarkStart w:id="8" w:name="scope-of-work-requested-from-the-vendor"/>
      <w:r>
        <w:t>5. Scope of Work Requested from the Vendor</w:t>
      </w:r>
      <w:bookmarkEnd w:id="8"/>
    </w:p>
    <w:p w14:paraId="6515E7E3" w14:textId="77777777" w:rsidR="00BA28F0" w:rsidRDefault="00000000">
      <w:pPr>
        <w:pStyle w:val="FirstParagraph"/>
      </w:pPr>
      <w:r>
        <w:t xml:space="preserve">JNGC requests a proposal for a </w:t>
      </w:r>
      <w:r>
        <w:rPr>
          <w:b/>
        </w:rPr>
        <w:t>long-running ODC (Offshore Development Centre)</w:t>
      </w:r>
      <w:r>
        <w:t xml:space="preserve">: a dedicated, named, stable team operating as an integrated part of the ECX delivery organisation, executing the refactoring programme </w:t>
      </w:r>
      <w:r>
        <w:rPr>
          <w:b/>
        </w:rPr>
        <w:t>and</w:t>
      </w:r>
      <w:r>
        <w:t xml:space="preserve"> the continuing business backlog.</w:t>
      </w:r>
    </w:p>
    <w:p w14:paraId="146DD1C6" w14:textId="77777777" w:rsidR="00BA28F0" w:rsidRDefault="00000000">
      <w:pPr>
        <w:pStyle w:val="Heading2"/>
      </w:pPr>
      <w:bookmarkStart w:id="9" w:name="engagement-model-odc"/>
      <w:r>
        <w:t>5.1 Engagement model — ODC</w:t>
      </w:r>
      <w:bookmarkEnd w:id="9"/>
    </w:p>
    <w:tbl>
      <w:tblPr>
        <w:tblStyle w:val="Table"/>
        <w:tblW w:w="5000" w:type="pct"/>
        <w:tblLook w:val="07E0" w:firstRow="1" w:lastRow="1" w:firstColumn="1" w:lastColumn="1" w:noHBand="1" w:noVBand="1"/>
      </w:tblPr>
      <w:tblGrid>
        <w:gridCol w:w="1309"/>
        <w:gridCol w:w="8545"/>
      </w:tblGrid>
      <w:tr w:rsidR="00BA28F0" w14:paraId="0990810A" w14:textId="77777777">
        <w:trPr>
          <w:tblHeader/>
        </w:trPr>
        <w:tc>
          <w:tcPr>
            <w:tcW w:w="0" w:type="auto"/>
            <w:tcBorders>
              <w:bottom w:val="single" w:sz="0" w:space="0" w:color="auto"/>
            </w:tcBorders>
            <w:vAlign w:val="bottom"/>
          </w:tcPr>
          <w:p w14:paraId="54155865" w14:textId="77777777" w:rsidR="00BA28F0" w:rsidRDefault="00000000">
            <w:pPr>
              <w:pStyle w:val="Compact"/>
            </w:pPr>
            <w:r>
              <w:t>Attribute</w:t>
            </w:r>
          </w:p>
        </w:tc>
        <w:tc>
          <w:tcPr>
            <w:tcW w:w="0" w:type="auto"/>
            <w:tcBorders>
              <w:bottom w:val="single" w:sz="0" w:space="0" w:color="auto"/>
            </w:tcBorders>
            <w:vAlign w:val="bottom"/>
          </w:tcPr>
          <w:p w14:paraId="51ECEEC3" w14:textId="77777777" w:rsidR="00BA28F0" w:rsidRDefault="00000000">
            <w:pPr>
              <w:pStyle w:val="Compact"/>
            </w:pPr>
            <w:r>
              <w:t>JNGC’s expectation</w:t>
            </w:r>
          </w:p>
        </w:tc>
      </w:tr>
      <w:tr w:rsidR="00BA28F0" w14:paraId="6FC9E250" w14:textId="77777777">
        <w:tc>
          <w:tcPr>
            <w:tcW w:w="0" w:type="auto"/>
          </w:tcPr>
          <w:p w14:paraId="07B31A14" w14:textId="77777777" w:rsidR="00BA28F0" w:rsidRDefault="00000000">
            <w:pPr>
              <w:pStyle w:val="Compact"/>
            </w:pPr>
            <w:r>
              <w:rPr>
                <w:b/>
              </w:rPr>
              <w:t>Structure &amp; integration</w:t>
            </w:r>
          </w:p>
        </w:tc>
        <w:tc>
          <w:tcPr>
            <w:tcW w:w="0" w:type="auto"/>
          </w:tcPr>
          <w:p w14:paraId="7CFC22A4" w14:textId="77777777" w:rsidR="00BA28F0" w:rsidRDefault="00000000">
            <w:pPr>
              <w:pStyle w:val="Compact"/>
            </w:pPr>
            <w:r>
              <w:t>A dedicated ODC capacity pool, staffed with named individuals, allocated across ECX squads by mutual agreement at each quarterly planning cycle. Backlog priority is set by JNGC; technical approach, task breakdown and internal allocation are the Vendor’s responsibility. Vendor personnel participate directly in JNGC’s ceremonies, tooling, code review, on-call rotation where applicable, and release judgement.</w:t>
            </w:r>
          </w:p>
        </w:tc>
      </w:tr>
      <w:tr w:rsidR="00BA28F0" w14:paraId="06AEE524" w14:textId="77777777">
        <w:tc>
          <w:tcPr>
            <w:tcW w:w="0" w:type="auto"/>
          </w:tcPr>
          <w:p w14:paraId="2EFC1744" w14:textId="77777777" w:rsidR="00BA28F0" w:rsidRDefault="00000000">
            <w:pPr>
              <w:pStyle w:val="Compact"/>
            </w:pPr>
            <w:r>
              <w:rPr>
                <w:b/>
              </w:rPr>
              <w:t>Commercial basis</w:t>
            </w:r>
          </w:p>
        </w:tc>
        <w:tc>
          <w:tcPr>
            <w:tcW w:w="0" w:type="auto"/>
          </w:tcPr>
          <w:p w14:paraId="18155D74" w14:textId="77777777" w:rsidR="00BA28F0" w:rsidRDefault="00000000">
            <w:pPr>
              <w:pStyle w:val="Compact"/>
            </w:pPr>
            <w:r>
              <w:t>Monthly charge derived from the confirmed capacity for that month against an agreed role-based rate card, supported by an auditable effort record.</w:t>
            </w:r>
          </w:p>
        </w:tc>
      </w:tr>
      <w:tr w:rsidR="00BA28F0" w14:paraId="18AC4654" w14:textId="77777777">
        <w:tc>
          <w:tcPr>
            <w:tcW w:w="0" w:type="auto"/>
          </w:tcPr>
          <w:p w14:paraId="7E9939D1" w14:textId="77777777" w:rsidR="00BA28F0" w:rsidRDefault="00000000">
            <w:pPr>
              <w:pStyle w:val="Compact"/>
            </w:pPr>
            <w:r>
              <w:rPr>
                <w:b/>
              </w:rPr>
              <w:t>Location &amp; team composition</w:t>
            </w:r>
          </w:p>
        </w:tc>
        <w:tc>
          <w:tcPr>
            <w:tcW w:w="0" w:type="auto"/>
          </w:tcPr>
          <w:p w14:paraId="574BF96A" w14:textId="77777777" w:rsidR="00BA28F0" w:rsidRDefault="00000000">
            <w:pPr>
              <w:pStyle w:val="Compact"/>
            </w:pPr>
            <w:r>
              <w:t xml:space="preserve">Predominantly offshore, and explicitly multi-regional. Proponents should state their onshore/offshore blend, the countries from which capacity will be supplied, and the cost impact of each. The ODC is expected to operate as a </w:t>
            </w:r>
            <w:r>
              <w:rPr>
                <w:b/>
              </w:rPr>
              <w:t>multi-cultural, multi-regional team</w:t>
            </w:r>
            <w:r>
              <w:t xml:space="preserve"> alongside JNGC employees, contingent workers and other delivery partners. Cultural and language fluency across the team — not concentrated in one bridge role — is a delivery capability, not a nicety.</w:t>
            </w:r>
          </w:p>
        </w:tc>
      </w:tr>
      <w:tr w:rsidR="00BA28F0" w14:paraId="4BEA731D" w14:textId="77777777">
        <w:tc>
          <w:tcPr>
            <w:tcW w:w="0" w:type="auto"/>
          </w:tcPr>
          <w:p w14:paraId="2412D0CB" w14:textId="77777777" w:rsidR="00BA28F0" w:rsidRDefault="00000000">
            <w:pPr>
              <w:pStyle w:val="Compact"/>
            </w:pPr>
            <w:r>
              <w:rPr>
                <w:b/>
              </w:rPr>
              <w:t>Working overlap</w:t>
            </w:r>
          </w:p>
        </w:tc>
        <w:tc>
          <w:tcPr>
            <w:tcW w:w="0" w:type="auto"/>
          </w:tcPr>
          <w:p w14:paraId="00E0D225" w14:textId="77777777" w:rsidR="00BA28F0" w:rsidRDefault="00000000">
            <w:pPr>
              <w:pStyle w:val="Compact"/>
            </w:pPr>
            <w:r>
              <w:rPr>
                <w:b/>
              </w:rPr>
              <w:t>A minimum of 6 hours of daily working overlap with JST (UTC+9) is mandatory for every member of the ODC</w:t>
            </w:r>
            <w:r>
              <w:t>, regardless of the region they work from. Proponents must state the shift pattern that delivers it and confirm it is sustainable rather than a temporary accommodation.</w:t>
            </w:r>
          </w:p>
        </w:tc>
      </w:tr>
      <w:tr w:rsidR="00BA28F0" w14:paraId="2C632179" w14:textId="77777777">
        <w:tc>
          <w:tcPr>
            <w:tcW w:w="0" w:type="auto"/>
          </w:tcPr>
          <w:p w14:paraId="7C4EF6AD" w14:textId="77777777" w:rsidR="00BA28F0" w:rsidRDefault="00000000">
            <w:pPr>
              <w:pStyle w:val="Compact"/>
            </w:pPr>
            <w:r>
              <w:rPr>
                <w:b/>
              </w:rPr>
              <w:t>Capacity, stability &amp; change</w:t>
            </w:r>
          </w:p>
        </w:tc>
        <w:tc>
          <w:tcPr>
            <w:tcW w:w="0" w:type="auto"/>
          </w:tcPr>
          <w:p w14:paraId="7C5A39AA" w14:textId="77777777" w:rsidR="00BA28F0" w:rsidRDefault="00000000">
            <w:pPr>
              <w:pStyle w:val="Compact"/>
            </w:pPr>
            <w:r>
              <w:t xml:space="preserve">JNGC is looking for a </w:t>
            </w:r>
            <w:r>
              <w:rPr>
                <w:b/>
              </w:rPr>
              <w:t>very optimistic, cost-effective yet efficient team offer</w:t>
            </w:r>
            <w:r>
              <w:t>. We are deliberately not stating a headcount, a band or a budget: the Vendor sizes the team from the scope in this document and defends that sizing. Named team — unplanned attrition above an agreed threshold is a governed event with an agreed replacement and re-ramp obligation at the Vendor’s cost. Capacity is confirmed at each quarterly ramp review; JNGC may increase or decrease it with notice, notice periods to be proposed.</w:t>
            </w:r>
          </w:p>
        </w:tc>
      </w:tr>
    </w:tbl>
    <w:p w14:paraId="7207FC64" w14:textId="77777777" w:rsidR="00BA28F0" w:rsidRDefault="00000000">
      <w:pPr>
        <w:pStyle w:val="BodyText"/>
      </w:pPr>
      <w:r>
        <w:t>Proponents must be explicit about how a dedicated ODC differs, in their delivery model, from a project-based engagement — in particular capacity utilisation, bench, knowledge retention and continuous improvement across a multi-year term.</w:t>
      </w:r>
    </w:p>
    <w:p w14:paraId="376A7593" w14:textId="77777777" w:rsidR="00BA28F0" w:rsidRDefault="00000000">
      <w:pPr>
        <w:pStyle w:val="Heading2"/>
      </w:pPr>
      <w:bookmarkStart w:id="10" w:name="in-scope-services"/>
      <w:r>
        <w:t>5.2 In-scope services</w:t>
      </w:r>
      <w:bookmarkEnd w:id="10"/>
    </w:p>
    <w:p w14:paraId="0A2D5BF3" w14:textId="77777777" w:rsidR="00BA28F0" w:rsidRDefault="00000000">
      <w:pPr>
        <w:pStyle w:val="FirstParagraph"/>
      </w:pPr>
      <w:r>
        <w:t xml:space="preserve">Refactoring and remediation of the Unified Middleware tier and associated technical debt, within the scope boundary in Appendix B · design and development of new features and enhancements to ECX services and APIs · implementation and integration of approved changes · resolution of functional and non-functional defects including </w:t>
      </w:r>
      <w:r>
        <w:lastRenderedPageBreak/>
        <w:t xml:space="preserve">production hotfixes · automated and manual testing (unit, integration, contract, regression, performance) · test automation framework construction and maintenance · release packaging, deployment support and participation in release judgement · </w:t>
      </w:r>
      <w:r>
        <w:rPr>
          <w:b/>
        </w:rPr>
        <w:t>production sanity verification</w:t>
      </w:r>
      <w:r>
        <w:t xml:space="preserve"> and post-release monitoring assistance · root-cause analysis and problem management · DevOps support including build and deployment support, </w:t>
      </w:r>
      <w:r>
        <w:rPr>
          <w:b/>
        </w:rPr>
        <w:t>pipeline maintenance</w:t>
      </w:r>
      <w:r>
        <w:t xml:space="preserve"> and collaboration with JNGC platform and operations teams · technical documentation (architecture, design, code-level, runbook, decision records).</w:t>
      </w:r>
    </w:p>
    <w:p w14:paraId="092D4110" w14:textId="77777777" w:rsidR="00BA28F0" w:rsidRDefault="00000000">
      <w:pPr>
        <w:pStyle w:val="BodyText"/>
      </w:pPr>
      <w:r>
        <w:t xml:space="preserve">Maintenance and support activities are delivery-related. </w:t>
      </w:r>
      <w:r>
        <w:rPr>
          <w:b/>
        </w:rPr>
        <w:t>They do not constitute a managed service, and operational ownership of the platform does not transfer to the Vendor.</w:t>
      </w:r>
    </w:p>
    <w:p w14:paraId="2825B6BD" w14:textId="77777777" w:rsidR="00BA28F0" w:rsidRDefault="00000000">
      <w:pPr>
        <w:pStyle w:val="Heading2"/>
      </w:pPr>
      <w:bookmarkStart w:id="11" w:name="refactoring-workstreams-and-constraints"/>
      <w:r>
        <w:t>5.3 Refactoring workstreams and constraints</w:t>
      </w:r>
      <w:bookmarkEnd w:id="11"/>
    </w:p>
    <w:p w14:paraId="49E045C7" w14:textId="77777777" w:rsidR="00BA28F0" w:rsidRDefault="00000000">
      <w:pPr>
        <w:pStyle w:val="FirstParagraph"/>
      </w:pPr>
      <w:r>
        <w:t xml:space="preserve">The programme is organised into the workstreams in </w:t>
      </w:r>
      <w:r>
        <w:rPr>
          <w:b/>
        </w:rPr>
        <w:t>Appendix B (R-01 … R-11)</w:t>
      </w:r>
      <w:r>
        <w:t xml:space="preserve">, which apply to the seven modules named at the head of that appendix. </w:t>
      </w:r>
      <w:r>
        <w:rPr>
          <w:b/>
        </w:rPr>
        <w:t>R-03, R-07 and R-11 are mandatory for the Year-1 baseline and cannot be descoped.</w:t>
      </w:r>
      <w:r>
        <w:t xml:space="preserve"> The list represents our current understanding; Proponents are expected to confirm, challenge and refine it in writing during the Q&amp;A window and reflect the outcome in their estimate.</w:t>
      </w:r>
    </w:p>
    <w:p w14:paraId="3BE1CA52" w14:textId="77777777" w:rsidR="00BA28F0" w:rsidRDefault="00000000">
      <w:pPr>
        <w:pStyle w:val="Compact"/>
        <w:numPr>
          <w:ilvl w:val="0"/>
          <w:numId w:val="5"/>
        </w:numPr>
      </w:pPr>
      <w:r>
        <w:rPr>
          <w:b/>
        </w:rPr>
        <w:t>Behaviour-preserving by default.</w:t>
      </w:r>
      <w:r>
        <w:t xml:space="preserve"> Externally observable behaviour of an interface must not change unless a change is explicitly requested and approved. Where refactoring reveals defective behaviour, the defect is raised — not silently corrected.</w:t>
      </w:r>
    </w:p>
    <w:p w14:paraId="601B7C43" w14:textId="77777777" w:rsidR="00BA28F0" w:rsidRDefault="00000000">
      <w:pPr>
        <w:pStyle w:val="Compact"/>
        <w:numPr>
          <w:ilvl w:val="0"/>
          <w:numId w:val="5"/>
        </w:numPr>
      </w:pPr>
      <w:r>
        <w:rPr>
          <w:b/>
        </w:rPr>
        <w:t>Strangler pattern, not big bang.</w:t>
      </w:r>
      <w:r>
        <w:t xml:space="preserve"> Legacy components are displaced incrementally behind stable interfaces, with the ability to route traffic back to the legacy path.</w:t>
      </w:r>
    </w:p>
    <w:p w14:paraId="197AF354" w14:textId="77777777" w:rsidR="00BA28F0" w:rsidRDefault="00000000">
      <w:pPr>
        <w:pStyle w:val="Compact"/>
        <w:numPr>
          <w:ilvl w:val="0"/>
          <w:numId w:val="5"/>
        </w:numPr>
      </w:pPr>
      <w:r>
        <w:rPr>
          <w:b/>
        </w:rPr>
        <w:t>Every refactored component arrives with tests.</w:t>
      </w:r>
      <w:r>
        <w:t xml:space="preserve"> A refactoring change without automated coverage of the refactored behaviour is not Done.</w:t>
      </w:r>
    </w:p>
    <w:p w14:paraId="1CD5A0F4" w14:textId="77777777" w:rsidR="00BA28F0" w:rsidRDefault="00000000">
      <w:pPr>
        <w:pStyle w:val="Compact"/>
        <w:numPr>
          <w:ilvl w:val="0"/>
          <w:numId w:val="5"/>
        </w:numPr>
      </w:pPr>
      <w:r>
        <w:rPr>
          <w:b/>
        </w:rPr>
        <w:t>No parallel forks.</w:t>
      </w:r>
      <w:r>
        <w:t xml:space="preserve"> Refactored and legacy implementations must not be maintained in parallel beyond an agreed cutover window.</w:t>
      </w:r>
    </w:p>
    <w:p w14:paraId="4A8C7666" w14:textId="77777777" w:rsidR="00BA28F0" w:rsidRDefault="00000000">
      <w:pPr>
        <w:pStyle w:val="Heading2"/>
      </w:pPr>
      <w:bookmarkStart w:id="12" w:name="methodology"/>
      <w:r>
        <w:t>5.4 Methodology</w:t>
      </w:r>
      <w:bookmarkEnd w:id="12"/>
    </w:p>
    <w:p w14:paraId="09A70505" w14:textId="77777777" w:rsidR="00BA28F0" w:rsidRDefault="00000000">
      <w:pPr>
        <w:pStyle w:val="FirstParagraph"/>
      </w:pPr>
      <w:r>
        <w:t xml:space="preserve">Agile, two-week iterations aligned to the ECX delivery calendar. Vendor participates in ECX planning, review, retrospective and refinement. Backlog and defects are managed in JNGC’s tooling — the Vendor works in our instance, not a mirror. The </w:t>
      </w:r>
      <w:r>
        <w:rPr>
          <w:b/>
        </w:rPr>
        <w:t>Definition of Done is fixed by this RfP, not deferred</w:t>
      </w:r>
      <w:r>
        <w:t>. A refactored component is Done when: automated unit and integration tests cover the refactored behaviour and pass in the pipeline; a contract test exists for every interface it exposes; the SAST, SCA and secret-scanning gates pass with no new high or critical finding; structured logs, RED metrics and a propagated trace are emitted; the component is documented and its decision record written; and, where a data path changed, reconciliation evidence has been accepted. Nothing beyond these six is added at mobilisation. Quarterly increment planning sets refactoring milestones against business commitments.</w:t>
      </w:r>
    </w:p>
    <w:p w14:paraId="67783BC0" w14:textId="77777777" w:rsidR="00BA28F0" w:rsidRDefault="00000000">
      <w:pPr>
        <w:pStyle w:val="Heading1"/>
      </w:pPr>
      <w:bookmarkStart w:id="13" w:name="Xbb0ccfd3bbb257c5a66bfd4a7cafa1f0edbeccc"/>
      <w:r>
        <w:t>6. Items Retained by JNGC (Out of Vendor Scope)</w:t>
      </w:r>
      <w:bookmarkEnd w:id="13"/>
    </w:p>
    <w:p w14:paraId="0A9911AA" w14:textId="77777777" w:rsidR="00BA28F0" w:rsidRDefault="00000000">
      <w:pPr>
        <w:pStyle w:val="Compact"/>
        <w:numPr>
          <w:ilvl w:val="0"/>
          <w:numId w:val="6"/>
        </w:numPr>
      </w:pPr>
      <w:r>
        <w:t>Mall core transaction ledger, merchant contract master and group identity platform — owned by sibling organisations; interface specifications are provided, changes are requested through JNGC.</w:t>
      </w:r>
    </w:p>
    <w:p w14:paraId="2D47633A" w14:textId="77777777" w:rsidR="00BA28F0" w:rsidRDefault="00000000">
      <w:pPr>
        <w:pStyle w:val="Compact"/>
        <w:numPr>
          <w:ilvl w:val="0"/>
          <w:numId w:val="6"/>
        </w:numPr>
      </w:pPr>
      <w:r>
        <w:t>Product ownership and backlog prioritisation.</w:t>
      </w:r>
    </w:p>
    <w:p w14:paraId="26B671F4" w14:textId="77777777" w:rsidR="00BA28F0" w:rsidRDefault="00000000">
      <w:pPr>
        <w:pStyle w:val="Compact"/>
        <w:numPr>
          <w:ilvl w:val="0"/>
          <w:numId w:val="6"/>
        </w:numPr>
      </w:pPr>
      <w:r>
        <w:t>UX and visual design for any front-end surfaces touched during the term.</w:t>
      </w:r>
    </w:p>
    <w:p w14:paraId="403E54DD" w14:textId="77777777" w:rsidR="00BA28F0" w:rsidRDefault="00000000">
      <w:pPr>
        <w:pStyle w:val="Compact"/>
        <w:numPr>
          <w:ilvl w:val="0"/>
          <w:numId w:val="6"/>
        </w:numPr>
      </w:pPr>
      <w:r>
        <w:t>Cloud account ownership, corporate security review, final production release approval.</w:t>
      </w:r>
    </w:p>
    <w:p w14:paraId="324A771B" w14:textId="77777777" w:rsidR="00BA28F0" w:rsidRDefault="00000000">
      <w:pPr>
        <w:pStyle w:val="Compact"/>
        <w:numPr>
          <w:ilvl w:val="0"/>
          <w:numId w:val="6"/>
        </w:numPr>
      </w:pPr>
      <w:r>
        <w:rPr>
          <w:b/>
        </w:rPr>
        <w:t>Commercial relationships with merchants and third-party integration vendors, including any communication about interface deprecation.</w:t>
      </w:r>
    </w:p>
    <w:p w14:paraId="6DC811F6" w14:textId="77777777" w:rsidR="00BA28F0" w:rsidRDefault="00000000">
      <w:pPr>
        <w:pStyle w:val="Compact"/>
        <w:numPr>
          <w:ilvl w:val="0"/>
          <w:numId w:val="6"/>
        </w:numPr>
      </w:pPr>
      <w:r>
        <w:t>Japanese-language legal, tax, shopper-facing and merchant-facing policy content.</w:t>
      </w:r>
    </w:p>
    <w:p w14:paraId="2F65EB53" w14:textId="77777777" w:rsidR="00BA28F0" w:rsidRDefault="00000000">
      <w:pPr>
        <w:pStyle w:val="Compact"/>
        <w:numPr>
          <w:ilvl w:val="0"/>
          <w:numId w:val="6"/>
        </w:numPr>
      </w:pPr>
      <w:r>
        <w:t>Procurement and licensing of commercial software.</w:t>
      </w:r>
    </w:p>
    <w:p w14:paraId="7401AAC9" w14:textId="77777777" w:rsidR="00BA28F0" w:rsidRDefault="00000000">
      <w:pPr>
        <w:pStyle w:val="FirstParagraph"/>
      </w:pPr>
      <w:r>
        <w:rPr>
          <w:b/>
        </w:rPr>
        <w:t>Response commitments on the above.</w:t>
      </w:r>
      <w:r>
        <w:t xml:space="preserve"> JNGC commits to: interface specifications from sibling organisations within </w:t>
      </w:r>
      <w:r>
        <w:rPr>
          <w:b/>
        </w:rPr>
        <w:t>10 business days</w:t>
      </w:r>
      <w:r>
        <w:t xml:space="preserve"> of a written request; UX and visual design delivered </w:t>
      </w:r>
      <w:r>
        <w:rPr>
          <w:b/>
        </w:rPr>
        <w:t>one iteration ahead</w:t>
      </w:r>
      <w:r>
        <w:t xml:space="preserve"> of the sprint that needs it; corporate security review within </w:t>
      </w:r>
      <w:r>
        <w:rPr>
          <w:b/>
        </w:rPr>
        <w:t>10 business days</w:t>
      </w:r>
      <w:r>
        <w:t xml:space="preserve"> of submission; production release approval within </w:t>
      </w:r>
      <w:r>
        <w:rPr>
          <w:b/>
        </w:rPr>
        <w:t>3 business days</w:t>
      </w:r>
      <w:r>
        <w:t xml:space="preserve"> of a complete release package; a named subject-matter expert per squad for a minimum of </w:t>
      </w:r>
      <w:r>
        <w:rPr>
          <w:b/>
        </w:rPr>
        <w:t>8 hours per week</w:t>
      </w:r>
      <w:r>
        <w:t xml:space="preserve">; and Japanese legal, tax and policy content within </w:t>
      </w:r>
      <w:r>
        <w:rPr>
          <w:b/>
        </w:rPr>
        <w:t>10 business days</w:t>
      </w:r>
      <w:r>
        <w:t xml:space="preserve"> of request. Slippage against these is a relief event and is handled through change control.</w:t>
      </w:r>
    </w:p>
    <w:p w14:paraId="7F01E6D7" w14:textId="77777777" w:rsidR="00BA28F0" w:rsidRDefault="00000000">
      <w:pPr>
        <w:pStyle w:val="BodyText"/>
      </w:pPr>
      <w:r>
        <w:rPr>
          <w:i/>
        </w:rPr>
        <w:t>Proponents must still state how they will manage each dependency, and what they will do when one is late.</w:t>
      </w:r>
    </w:p>
    <w:p w14:paraId="0701AFD5" w14:textId="77777777" w:rsidR="00BA28F0" w:rsidRDefault="00000000">
      <w:pPr>
        <w:pStyle w:val="Heading1"/>
      </w:pPr>
      <w:bookmarkStart w:id="14" w:name="non-functional-requirements"/>
      <w:r>
        <w:lastRenderedPageBreak/>
        <w:t>7. Non-Functional Requirements</w:t>
      </w:r>
      <w:bookmarkEnd w:id="14"/>
    </w:p>
    <w:tbl>
      <w:tblPr>
        <w:tblStyle w:val="Table"/>
        <w:tblW w:w="5000" w:type="pct"/>
        <w:tblLook w:val="07E0" w:firstRow="1" w:lastRow="1" w:firstColumn="1" w:lastColumn="1" w:noHBand="1" w:noVBand="1"/>
      </w:tblPr>
      <w:tblGrid>
        <w:gridCol w:w="1524"/>
        <w:gridCol w:w="8330"/>
      </w:tblGrid>
      <w:tr w:rsidR="00BA28F0" w14:paraId="14194035" w14:textId="77777777">
        <w:trPr>
          <w:tblHeader/>
        </w:trPr>
        <w:tc>
          <w:tcPr>
            <w:tcW w:w="0" w:type="auto"/>
            <w:tcBorders>
              <w:bottom w:val="single" w:sz="0" w:space="0" w:color="auto"/>
            </w:tcBorders>
            <w:vAlign w:val="bottom"/>
          </w:tcPr>
          <w:p w14:paraId="66C33D3E" w14:textId="77777777" w:rsidR="00BA28F0" w:rsidRDefault="00000000">
            <w:pPr>
              <w:pStyle w:val="Compact"/>
            </w:pPr>
            <w:r>
              <w:t>Aspect</w:t>
            </w:r>
          </w:p>
        </w:tc>
        <w:tc>
          <w:tcPr>
            <w:tcW w:w="0" w:type="auto"/>
            <w:tcBorders>
              <w:bottom w:val="single" w:sz="0" w:space="0" w:color="auto"/>
            </w:tcBorders>
            <w:vAlign w:val="bottom"/>
          </w:tcPr>
          <w:p w14:paraId="6B115C92" w14:textId="77777777" w:rsidR="00BA28F0" w:rsidRDefault="00000000">
            <w:pPr>
              <w:pStyle w:val="Compact"/>
            </w:pPr>
            <w:r>
              <w:t>Requirement</w:t>
            </w:r>
          </w:p>
        </w:tc>
      </w:tr>
      <w:tr w:rsidR="00BA28F0" w14:paraId="4186146C" w14:textId="77777777">
        <w:tc>
          <w:tcPr>
            <w:tcW w:w="0" w:type="auto"/>
          </w:tcPr>
          <w:p w14:paraId="27C0EBC6" w14:textId="77777777" w:rsidR="00BA28F0" w:rsidRDefault="00000000">
            <w:pPr>
              <w:pStyle w:val="Compact"/>
            </w:pPr>
            <w:r>
              <w:rPr>
                <w:b/>
              </w:rPr>
              <w:t>Availability</w:t>
            </w:r>
          </w:p>
        </w:tc>
        <w:tc>
          <w:tcPr>
            <w:tcW w:w="0" w:type="auto"/>
          </w:tcPr>
          <w:p w14:paraId="2F21DF73" w14:textId="77777777" w:rsidR="00BA28F0" w:rsidRDefault="00000000">
            <w:pPr>
              <w:pStyle w:val="Compact"/>
            </w:pPr>
            <w:r>
              <w:t>99.95% or higher monthly availability for shopper-facing APIs and 99.9% or higher for merchant-facing APIs, measured at the respective gateway, excluding pre-announced maintenance windows. A standing maintenance window of up to 6 hours, once per month, 02:00–08:00 JST, is available for infrastructure work. RTO ≤ 1 hour, RPO ≤ 5 minutes for order-path data.</w:t>
            </w:r>
          </w:p>
        </w:tc>
      </w:tr>
      <w:tr w:rsidR="00BA28F0" w14:paraId="5A8F9B54" w14:textId="77777777">
        <w:tc>
          <w:tcPr>
            <w:tcW w:w="0" w:type="auto"/>
          </w:tcPr>
          <w:p w14:paraId="4FCA3E50" w14:textId="77777777" w:rsidR="00BA28F0" w:rsidRDefault="00000000">
            <w:pPr>
              <w:pStyle w:val="Compact"/>
            </w:pPr>
            <w:r>
              <w:rPr>
                <w:b/>
              </w:rPr>
              <w:t>Performance &amp; scalability</w:t>
            </w:r>
          </w:p>
        </w:tc>
        <w:tc>
          <w:tcPr>
            <w:tcW w:w="0" w:type="auto"/>
          </w:tcPr>
          <w:p w14:paraId="1CC55D0E" w14:textId="77777777" w:rsidR="00BA28F0" w:rsidRDefault="00000000">
            <w:pPr>
              <w:pStyle w:val="Compact"/>
            </w:pPr>
            <w:r>
              <w:t>Refactored interfaces must meet or better the current production baseline. Shopper-facing APIs: p95 ≤ 250 ms, p99 ≤ 800 ms at the service boundary under normal load. Merchant-facing APIs: p95 ≤ 400 ms, p99 ≤ 1,200 ms. Event processing: order-event propagation p95 ≤ 5 s. Mall-wide campaign peaks must be absorbed without manual intervention beyond pre-scaling agreed 72 hours in advance (Appendix A). The Vendor shall state the concurrency and throughput its design is validated for and provide load-test evidence before each campaign event.</w:t>
            </w:r>
          </w:p>
        </w:tc>
      </w:tr>
      <w:tr w:rsidR="00BA28F0" w14:paraId="4B77C706" w14:textId="77777777">
        <w:tc>
          <w:tcPr>
            <w:tcW w:w="0" w:type="auto"/>
          </w:tcPr>
          <w:p w14:paraId="5246DD07" w14:textId="77777777" w:rsidR="00BA28F0" w:rsidRDefault="00000000">
            <w:pPr>
              <w:pStyle w:val="Compact"/>
            </w:pPr>
            <w:r>
              <w:rPr>
                <w:b/>
              </w:rPr>
              <w:t>Security</w:t>
            </w:r>
          </w:p>
        </w:tc>
        <w:tc>
          <w:tcPr>
            <w:tcW w:w="0" w:type="auto"/>
          </w:tcPr>
          <w:p w14:paraId="039A2485" w14:textId="77777777" w:rsidR="00BA28F0" w:rsidRDefault="00000000">
            <w:pPr>
              <w:pStyle w:val="Compact"/>
            </w:pPr>
            <w:r>
              <w:t>Secure by design. Full mitigation of OWASP Top 10 (2021) and OWASP API Security Top 10 (2023); conformance to OWASP ASVS 4.0 Level 2. Threat modelling per refactored bounded context. SAST, DAST, SCA and secret scanning in every pipeline run. TLS 1.2+ in transit, encryption at rest. Personal data handled per Japan’s APPI and JNGC’s internal data-handling standard.</w:t>
            </w:r>
          </w:p>
        </w:tc>
      </w:tr>
      <w:tr w:rsidR="00BA28F0" w14:paraId="266B6F34" w14:textId="77777777">
        <w:tc>
          <w:tcPr>
            <w:tcW w:w="0" w:type="auto"/>
          </w:tcPr>
          <w:p w14:paraId="4D1B20AC" w14:textId="77777777" w:rsidR="00BA28F0" w:rsidRDefault="00000000">
            <w:pPr>
              <w:pStyle w:val="Compact"/>
            </w:pPr>
            <w:r>
              <w:rPr>
                <w:b/>
              </w:rPr>
              <w:t>Data integrity</w:t>
            </w:r>
          </w:p>
        </w:tc>
        <w:tc>
          <w:tcPr>
            <w:tcW w:w="0" w:type="auto"/>
          </w:tcPr>
          <w:p w14:paraId="24C14B1D" w14:textId="77777777" w:rsidR="00BA28F0" w:rsidRDefault="00000000">
            <w:pPr>
              <w:pStyle w:val="Compact"/>
            </w:pPr>
            <w:r>
              <w:t xml:space="preserve">Refactoring must be provably non-destructive. For any workstream that changes a data path, the Vendor shall produce reconciliation evidence comparing legacy and refactored output before cutover, over a dataset of </w:t>
            </w:r>
            <w:r>
              <w:rPr>
                <w:b/>
              </w:rPr>
              <w:t>at least 100,000 records spanning a full billing cycle and every campaign type in the period</w:t>
            </w:r>
            <w:r>
              <w:t xml:space="preserve">, with </w:t>
            </w:r>
            <w:r>
              <w:rPr>
                <w:b/>
              </w:rPr>
              <w:t>zero unexplained differences</w:t>
            </w:r>
            <w:r>
              <w:t xml:space="preserve"> as the pass criterion.</w:t>
            </w:r>
          </w:p>
        </w:tc>
      </w:tr>
      <w:tr w:rsidR="00BA28F0" w14:paraId="19545C9A" w14:textId="77777777">
        <w:tc>
          <w:tcPr>
            <w:tcW w:w="0" w:type="auto"/>
          </w:tcPr>
          <w:p w14:paraId="0295E54D" w14:textId="77777777" w:rsidR="00BA28F0" w:rsidRDefault="00000000">
            <w:pPr>
              <w:pStyle w:val="Compact"/>
            </w:pPr>
            <w:r>
              <w:rPr>
                <w:b/>
              </w:rPr>
              <w:t>Observability</w:t>
            </w:r>
          </w:p>
        </w:tc>
        <w:tc>
          <w:tcPr>
            <w:tcW w:w="0" w:type="auto"/>
          </w:tcPr>
          <w:p w14:paraId="4B8A726B" w14:textId="77777777" w:rsidR="00BA28F0" w:rsidRDefault="00000000">
            <w:pPr>
              <w:pStyle w:val="Compact"/>
            </w:pPr>
            <w:r>
              <w:t xml:space="preserve">Every refactored component emits structured logs, RED metrics and distributed traces correlated by a propagated correlation identifier, per </w:t>
            </w:r>
            <w:r>
              <w:rPr>
                <w:b/>
              </w:rPr>
              <w:t>R-10</w:t>
            </w:r>
            <w:r>
              <w:t>. Dashboards and alerts are a deliverable, not an afterthought.</w:t>
            </w:r>
          </w:p>
        </w:tc>
      </w:tr>
      <w:tr w:rsidR="00BA28F0" w14:paraId="6C665293" w14:textId="77777777">
        <w:tc>
          <w:tcPr>
            <w:tcW w:w="0" w:type="auto"/>
          </w:tcPr>
          <w:p w14:paraId="54712F60" w14:textId="77777777" w:rsidR="00BA28F0" w:rsidRDefault="00000000">
            <w:pPr>
              <w:pStyle w:val="Compact"/>
            </w:pPr>
            <w:r>
              <w:rPr>
                <w:b/>
              </w:rPr>
              <w:t>Working overlap &amp; collaboration</w:t>
            </w:r>
          </w:p>
        </w:tc>
        <w:tc>
          <w:tcPr>
            <w:tcW w:w="0" w:type="auto"/>
          </w:tcPr>
          <w:p w14:paraId="15334EE5" w14:textId="77777777" w:rsidR="00BA28F0" w:rsidRDefault="00000000">
            <w:pPr>
              <w:pStyle w:val="Compact"/>
            </w:pPr>
            <w:r>
              <w:t>Minimum 6 hours of daily overlap with JST for all ODC members. Ceremonies, design discussions, code-review turnaround, release judgement participation and P1 incident response must all fall inside the overlap. Written handover is required for anything that does not.</w:t>
            </w:r>
          </w:p>
        </w:tc>
      </w:tr>
      <w:tr w:rsidR="00BA28F0" w14:paraId="45C782C8" w14:textId="77777777">
        <w:tc>
          <w:tcPr>
            <w:tcW w:w="0" w:type="auto"/>
          </w:tcPr>
          <w:p w14:paraId="2C7AB1C3" w14:textId="77777777" w:rsidR="00BA28F0" w:rsidRDefault="00000000">
            <w:pPr>
              <w:pStyle w:val="Compact"/>
            </w:pPr>
            <w:r>
              <w:rPr>
                <w:b/>
              </w:rPr>
              <w:t>Client environment &amp; accessibility</w:t>
            </w:r>
          </w:p>
        </w:tc>
        <w:tc>
          <w:tcPr>
            <w:tcW w:w="0" w:type="auto"/>
          </w:tcPr>
          <w:p w14:paraId="7A025017" w14:textId="77777777" w:rsidR="00BA28F0" w:rsidRDefault="00000000">
            <w:pPr>
              <w:pStyle w:val="Compact"/>
            </w:pPr>
            <w:r>
              <w:t>Existing published API contracts remain supported for their announced lifecycle. Browser surfaces: latest two major versions of Chrome, Edge, Safari, Firefox; iOS 16+ and Android 12+. Any merchant- or consumer-facing screen modified during the term must conform to WCAG 2.1 Level AA (JIS X 8341-3:2016 equivalent).</w:t>
            </w:r>
          </w:p>
        </w:tc>
      </w:tr>
      <w:tr w:rsidR="00BA28F0" w14:paraId="476144C8" w14:textId="77777777">
        <w:tc>
          <w:tcPr>
            <w:tcW w:w="0" w:type="auto"/>
          </w:tcPr>
          <w:p w14:paraId="11F11963" w14:textId="77777777" w:rsidR="00BA28F0" w:rsidRDefault="00000000">
            <w:pPr>
              <w:pStyle w:val="Compact"/>
            </w:pPr>
            <w:r>
              <w:rPr>
                <w:b/>
              </w:rPr>
              <w:t>Language</w:t>
            </w:r>
          </w:p>
        </w:tc>
        <w:tc>
          <w:tcPr>
            <w:tcW w:w="0" w:type="auto"/>
          </w:tcPr>
          <w:p w14:paraId="69679F90" w14:textId="77777777" w:rsidR="00BA28F0" w:rsidRDefault="00000000">
            <w:pPr>
              <w:pStyle w:val="Compact"/>
            </w:pPr>
            <w:r>
              <w:t>All engineering artefacts — code, commits, tickets, technical documentation, architecture decision records — in English. JNGC-internal governance artefacts, release judgement minutes and all shopper- and merchant-facing content are produced in Japanese.</w:t>
            </w:r>
          </w:p>
        </w:tc>
      </w:tr>
      <w:tr w:rsidR="00BA28F0" w14:paraId="60B8BE8F" w14:textId="77777777">
        <w:tc>
          <w:tcPr>
            <w:tcW w:w="0" w:type="auto"/>
          </w:tcPr>
          <w:p w14:paraId="799894F4" w14:textId="77777777" w:rsidR="00BA28F0" w:rsidRDefault="00000000">
            <w:pPr>
              <w:pStyle w:val="Compact"/>
            </w:pPr>
            <w:r>
              <w:rPr>
                <w:b/>
              </w:rPr>
              <w:t>Maintainability &amp; auditability</w:t>
            </w:r>
          </w:p>
        </w:tc>
        <w:tc>
          <w:tcPr>
            <w:tcW w:w="0" w:type="auto"/>
          </w:tcPr>
          <w:p w14:paraId="6D974ED9" w14:textId="77777777" w:rsidR="00BA28F0" w:rsidRDefault="00000000">
            <w:pPr>
              <w:pStyle w:val="Compact"/>
            </w:pPr>
            <w:r>
              <w:t xml:space="preserve">Static-analysis gates in CI: cyclomatic complexity </w:t>
            </w:r>
            <w:r>
              <w:rPr>
                <w:b/>
              </w:rPr>
              <w:t>≤ 15 per method</w:t>
            </w:r>
            <w:r>
              <w:t xml:space="preserve">, duplication </w:t>
            </w:r>
            <w:r>
              <w:rPr>
                <w:b/>
              </w:rPr>
              <w:t>≤ 3%</w:t>
            </w:r>
            <w:r>
              <w:t xml:space="preserve"> on refactored code, no new critical or blocker issue. No new code in an integration or transformation technology listed as “retiring” in Appendix C. Change traceability from requirement to commit to release. Clocks synchronised via NTP. Log retention and format per JNGC’s compliance standard.</w:t>
            </w:r>
          </w:p>
        </w:tc>
      </w:tr>
    </w:tbl>
    <w:p w14:paraId="2A736B29" w14:textId="77777777" w:rsidR="00BA28F0" w:rsidRDefault="00000000">
      <w:pPr>
        <w:pStyle w:val="Heading1"/>
      </w:pPr>
      <w:bookmarkStart w:id="15" w:name="resource-requirements-and-ramp"/>
      <w:r>
        <w:t>8. Resource Requirements and Ramp</w:t>
      </w:r>
      <w:bookmarkEnd w:id="15"/>
    </w:p>
    <w:p w14:paraId="28E2DD5C" w14:textId="77777777" w:rsidR="00BA28F0" w:rsidRDefault="00000000">
      <w:pPr>
        <w:pStyle w:val="FirstParagraph"/>
      </w:pPr>
      <w:r>
        <w:t xml:space="preserve">JNGC is seeking a </w:t>
      </w:r>
      <w:r>
        <w:rPr>
          <w:b/>
        </w:rPr>
        <w:t>very optimistic, cost-effective yet efficient team offer</w:t>
      </w:r>
      <w:r>
        <w:t>. JNGC is not stating a target headcount, is not prescribing a role structure, and is not disclosing a budget.</w:t>
      </w:r>
    </w:p>
    <w:p w14:paraId="2252E79E" w14:textId="77777777" w:rsidR="00BA28F0" w:rsidRDefault="00000000">
      <w:pPr>
        <w:pStyle w:val="BodyText"/>
      </w:pPr>
      <w:r>
        <w:rPr>
          <w:b/>
        </w:rPr>
        <w:t>The Vendor proposes the team.</w:t>
      </w:r>
      <w:r>
        <w:t xml:space="preserve"> The Vendor shall determine the monthly capacity that this scope requires, define the roles and the seniority mix it considers necessary, and justify both the total capacity and its composition against the workstreams in Appendix B, the volumes in Appendix A and the module inventory in Appendix D. Every proposed role shall be named, the number of people assigned to each role shall be stated, and each role shall be identified as full-time, part-time or shared.</w:t>
      </w:r>
    </w:p>
    <w:p w14:paraId="618C6007" w14:textId="77777777" w:rsidR="00BA28F0" w:rsidRDefault="00000000">
      <w:pPr>
        <w:pStyle w:val="BodyText"/>
      </w:pPr>
      <w:r>
        <w:t xml:space="preserve">A proposal that simply restates a figure drawn from this document will not score well, because no such figure is given. What JNGC evaluates is whether the proposed capacity and structure are </w:t>
      </w:r>
      <w:r>
        <w:rPr>
          <w:b/>
        </w:rPr>
        <w:t>defensible</w:t>
      </w:r>
      <w:r>
        <w:t xml:space="preserve"> — that is, whether they are lean enough to be commercially competitive, credible enough to deliver the Year-1 baseline in Section 14, and accompanied by a clear statement of the work that the proposed team cannot absorb.</w:t>
      </w:r>
    </w:p>
    <w:p w14:paraId="614CDF42" w14:textId="3E926CA2" w:rsidR="00BA28F0" w:rsidRDefault="00000000">
      <w:pPr>
        <w:pStyle w:val="BodyText"/>
      </w:pPr>
      <w:r>
        <w:rPr>
          <w:b/>
        </w:rPr>
        <w:t>Ramp expectation</w:t>
      </w:r>
      <w:r w:rsidR="00CA5E4D">
        <w:rPr>
          <w:b/>
        </w:rPr>
        <w:t>:</w:t>
      </w:r>
      <w:r>
        <w:t xml:space="preserve"> Full ODC capacity is expected to be productive from the start of the engagement, so that the Year-1 refactoring milestones remain achievable.</w:t>
      </w:r>
    </w:p>
    <w:p w14:paraId="5D1DC456" w14:textId="4795954D" w:rsidR="00BA28F0" w:rsidRDefault="00000000">
      <w:pPr>
        <w:pStyle w:val="BodyText"/>
      </w:pPr>
      <w:r>
        <w:rPr>
          <w:b/>
        </w:rPr>
        <w:t>Capacity and throughput</w:t>
      </w:r>
      <w:r w:rsidR="00CA5E4D">
        <w:rPr>
          <w:b/>
        </w:rPr>
        <w:t>:</w:t>
      </w:r>
      <w:r>
        <w:t xml:space="preserve"> Because the engagement is priced on capacity rather than on deliverables, the capacity that the Vendor proposes determines the throughput available to the </w:t>
      </w:r>
      <w:proofErr w:type="gramStart"/>
      <w:r>
        <w:t>programme, and</w:t>
      </w:r>
      <w:proofErr w:type="gramEnd"/>
      <w:r>
        <w:t xml:space="preserve"> therefore determines what the Year-1 baseline in Section 14 can realistically contain. Proponents shall state which elements of the Year-1 baseline would be deferred if the proposed capacity were reduced.</w:t>
      </w:r>
    </w:p>
    <w:p w14:paraId="5A01FD85" w14:textId="626057E2" w:rsidR="00BA28F0" w:rsidRDefault="00000000">
      <w:pPr>
        <w:pStyle w:val="BodyText"/>
      </w:pPr>
      <w:r>
        <w:rPr>
          <w:b/>
        </w:rPr>
        <w:lastRenderedPageBreak/>
        <w:t>Skill and experience</w:t>
      </w:r>
      <w:r w:rsidR="00CA5E4D">
        <w:rPr>
          <w:b/>
        </w:rPr>
        <w:t>:</w:t>
      </w:r>
      <w:r>
        <w:t xml:space="preserve"> For each proposed role, the Vendor </w:t>
      </w:r>
      <w:proofErr w:type="gramStart"/>
      <w:r>
        <w:t>shall</w:t>
      </w:r>
      <w:proofErr w:type="gramEnd"/>
      <w:r>
        <w:t xml:space="preserve"> state the number of people assigned, the minimum years of relevant experience it commits to, the working hours to be kept, and the region from which the role is staffed. The </w:t>
      </w:r>
      <w:r>
        <w:rPr>
          <w:b/>
        </w:rPr>
        <w:t>6-hour JST overlap applies to every role</w:t>
      </w:r>
      <w:r>
        <w:t xml:space="preserve"> and shall not be satisfied by concentrating the overlap in a single coordinating individual. The named individuals presented in the proposal shall be the individuals deployed, and JNGC reserves the right to interview key personnel before award.</w:t>
      </w:r>
    </w:p>
    <w:p w14:paraId="1967AED6" w14:textId="3690BB68" w:rsidR="00BA28F0" w:rsidRDefault="00000000">
      <w:pPr>
        <w:pStyle w:val="BodyText"/>
      </w:pPr>
      <w:r>
        <w:rPr>
          <w:b/>
        </w:rPr>
        <w:t>Continuity</w:t>
      </w:r>
      <w:r w:rsidR="00CA5E4D">
        <w:rPr>
          <w:b/>
        </w:rPr>
        <w:t>:</w:t>
      </w:r>
      <w:r>
        <w:t xml:space="preserve"> The Vendor shall state its assumed annual attrition rate for this engagement and the mechanism by which knowledge is retained when an individual leaves the team.</w:t>
      </w:r>
    </w:p>
    <w:p w14:paraId="39AB0137" w14:textId="6193E33A" w:rsidR="00BA28F0" w:rsidRDefault="00000000">
      <w:pPr>
        <w:pStyle w:val="BodyText"/>
      </w:pPr>
      <w:r>
        <w:rPr>
          <w:b/>
        </w:rPr>
        <w:t>Multi-cultural delivery</w:t>
      </w:r>
      <w:r w:rsidR="00CA5E4D">
        <w:rPr>
          <w:b/>
        </w:rPr>
        <w:t>:</w:t>
      </w:r>
      <w:r>
        <w:t xml:space="preserve"> The Vendor shall describe its experience of running multi-cultural, multi-regional teams across time zones, addressing </w:t>
      </w:r>
      <w:proofErr w:type="gramStart"/>
      <w:r>
        <w:t>in particular how</w:t>
      </w:r>
      <w:proofErr w:type="gramEnd"/>
      <w:r>
        <w:t xml:space="preserve"> design intent survives a handover, how disagreement is surfaced where cultural norms differ, and how dependency on a single point of translation is avoided.</w:t>
      </w:r>
    </w:p>
    <w:p w14:paraId="705A5AAB" w14:textId="77777777" w:rsidR="00BA28F0" w:rsidRDefault="00000000">
      <w:pPr>
        <w:pStyle w:val="Heading1"/>
      </w:pPr>
      <w:bookmarkStart w:id="16" w:name="governance-and-collaboration"/>
      <w:r>
        <w:t>9. Governance and Collaboration</w:t>
      </w:r>
      <w:bookmarkEnd w:id="16"/>
    </w:p>
    <w:p w14:paraId="55553B18" w14:textId="77777777" w:rsidR="00BA28F0" w:rsidRDefault="00000000">
      <w:pPr>
        <w:pStyle w:val="FirstParagraph"/>
      </w:pPr>
      <w:r>
        <w:t>The Vendor operates as an integrated delivery partner within JNGC’s established governance model:</w:t>
      </w:r>
    </w:p>
    <w:p w14:paraId="41C8F3FE" w14:textId="77777777" w:rsidR="00BA28F0" w:rsidRDefault="00000000">
      <w:pPr>
        <w:pStyle w:val="Compact"/>
        <w:numPr>
          <w:ilvl w:val="0"/>
          <w:numId w:val="7"/>
        </w:numPr>
      </w:pPr>
      <w:r>
        <w:rPr>
          <w:b/>
        </w:rPr>
        <w:t>Active participation in planning and design</w:t>
      </w:r>
      <w:r>
        <w:t xml:space="preserve"> — contribute architectural opinion, not only execute decisions taken elsewhere.</w:t>
      </w:r>
    </w:p>
    <w:p w14:paraId="55451CCE" w14:textId="77777777" w:rsidR="00BA28F0" w:rsidRDefault="00000000">
      <w:pPr>
        <w:pStyle w:val="Compact"/>
        <w:numPr>
          <w:ilvl w:val="0"/>
          <w:numId w:val="7"/>
        </w:numPr>
      </w:pPr>
      <w:r>
        <w:rPr>
          <w:b/>
        </w:rPr>
        <w:t>Transparent reporting</w:t>
      </w:r>
      <w:r>
        <w:t xml:space="preserve"> — weekly written report covering delivery progress, refactoring burn-down, operational impact, risks and dependencies; monthly service review; quarterly business review.</w:t>
      </w:r>
    </w:p>
    <w:p w14:paraId="576EFA41" w14:textId="77777777" w:rsidR="00BA28F0" w:rsidRDefault="00000000">
      <w:pPr>
        <w:pStyle w:val="Compact"/>
        <w:numPr>
          <w:ilvl w:val="0"/>
          <w:numId w:val="7"/>
        </w:numPr>
      </w:pPr>
      <w:r>
        <w:rPr>
          <w:b/>
        </w:rPr>
        <w:t>Backlog, issue and dependency management</w:t>
      </w:r>
      <w:r>
        <w:t xml:space="preserve"> in JNGC’s tooling; proactive identification of risks and improvement opportunities. A risk raised late is treated more seriously than a risk raised early.</w:t>
      </w:r>
    </w:p>
    <w:p w14:paraId="57836D46" w14:textId="77777777" w:rsidR="00BA28F0" w:rsidRDefault="00000000">
      <w:pPr>
        <w:pStyle w:val="Compact"/>
        <w:numPr>
          <w:ilvl w:val="0"/>
          <w:numId w:val="7"/>
        </w:numPr>
      </w:pPr>
      <w:r>
        <w:rPr>
          <w:b/>
        </w:rPr>
        <w:t>Adherence to JNGC change management, incident management and escalation processes</w:t>
      </w:r>
      <w:r>
        <w:t>, including participation in release judgement and incident bridges within agreed coverage hours.</w:t>
      </w:r>
    </w:p>
    <w:p w14:paraId="6803F237" w14:textId="77777777" w:rsidR="00BA28F0" w:rsidRDefault="00000000">
      <w:pPr>
        <w:pStyle w:val="Compact"/>
        <w:numPr>
          <w:ilvl w:val="0"/>
          <w:numId w:val="7"/>
        </w:numPr>
      </w:pPr>
      <w:r>
        <w:rPr>
          <w:b/>
        </w:rPr>
        <w:t>A joint architecture review board</w:t>
      </w:r>
      <w:r>
        <w:t xml:space="preserve"> at which refactoring approach, sequencing and cutover decisions are agreed and recorded.</w:t>
      </w:r>
    </w:p>
    <w:p w14:paraId="7A70155F" w14:textId="06D617E0" w:rsidR="00BA28F0" w:rsidRDefault="00000000">
      <w:pPr>
        <w:pStyle w:val="Compact"/>
        <w:numPr>
          <w:ilvl w:val="0"/>
          <w:numId w:val="7"/>
        </w:numPr>
      </w:pPr>
      <w:r>
        <w:rPr>
          <w:b/>
        </w:rPr>
        <w:t>Written-first culture, and collaboration inside the overlap</w:t>
      </w:r>
      <w:r w:rsidR="00CA5E4D">
        <w:rPr>
          <w:b/>
        </w:rPr>
        <w:t>:</w:t>
      </w:r>
      <w:r>
        <w:t xml:space="preserve"> Decisions not written down did not happen; Architecture Decision Records are </w:t>
      </w:r>
      <w:proofErr w:type="gramStart"/>
      <w:r>
        <w:t>a deliverable</w:t>
      </w:r>
      <w:proofErr w:type="gramEnd"/>
      <w:r>
        <w:t>, and in a distributed multi-regional team this is a hard requirement. Planning, design, review, release judgement and incident response take place within the mandated 6-hour JST overlap; work crossing the boundary requires written handover.</w:t>
      </w:r>
    </w:p>
    <w:p w14:paraId="38F0E535" w14:textId="5188A765" w:rsidR="00BA28F0" w:rsidRDefault="00000000">
      <w:pPr>
        <w:pStyle w:val="Compact"/>
        <w:numPr>
          <w:ilvl w:val="0"/>
          <w:numId w:val="7"/>
        </w:numPr>
      </w:pPr>
      <w:r>
        <w:rPr>
          <w:b/>
        </w:rPr>
        <w:t>Baseline governance</w:t>
      </w:r>
      <w:r w:rsidR="00CA5E4D">
        <w:rPr>
          <w:b/>
        </w:rPr>
        <w:t>:</w:t>
      </w:r>
      <w:r>
        <w:t xml:space="preserve"> The cost, team-size and team-structure baselines submitted under Section 15.10 are reviewed at each quarterly ramp review. Any departure is raised as a change request, with cost and delivery impact, before execution.</w:t>
      </w:r>
    </w:p>
    <w:p w14:paraId="0C95FA4C" w14:textId="1F4C46E3" w:rsidR="00BA28F0" w:rsidRDefault="00000000">
      <w:pPr>
        <w:pStyle w:val="Compact"/>
        <w:numPr>
          <w:ilvl w:val="0"/>
          <w:numId w:val="7"/>
        </w:numPr>
      </w:pPr>
      <w:r>
        <w:rPr>
          <w:b/>
        </w:rPr>
        <w:t>Escalation</w:t>
      </w:r>
      <w:r w:rsidR="00CA5E4D">
        <w:rPr>
          <w:b/>
        </w:rPr>
        <w:t>:</w:t>
      </w:r>
      <w:r>
        <w:t xml:space="preserve"> A three-tier path (delivery lead → engagement manager → executive sponsor) with defined response times, proposed by the Vendor and agreed in the SOW.</w:t>
      </w:r>
    </w:p>
    <w:p w14:paraId="70AFF97E" w14:textId="77777777" w:rsidR="00BA28F0" w:rsidRDefault="00000000">
      <w:pPr>
        <w:pStyle w:val="Heading1"/>
      </w:pPr>
      <w:bookmarkStart w:id="17" w:name="key-performance-indicators"/>
      <w:r>
        <w:t>10. Key Performance Indicators</w:t>
      </w:r>
      <w:bookmarkEnd w:id="17"/>
    </w:p>
    <w:p w14:paraId="2A034658" w14:textId="77777777" w:rsidR="00BA28F0" w:rsidRDefault="00000000">
      <w:pPr>
        <w:pStyle w:val="FirstParagraph"/>
      </w:pPr>
      <w:r>
        <w:t xml:space="preserve">KPIs will be mutually agreed in the SOW. Our current thinking is that the set should cover </w:t>
      </w:r>
      <w:r>
        <w:rPr>
          <w:b/>
        </w:rPr>
        <w:t>predictability</w:t>
      </w:r>
      <w:r>
        <w:t xml:space="preserve"> (sprint commitment reliability; forecast-versus-actual variance per epic), </w:t>
      </w:r>
      <w:r>
        <w:rPr>
          <w:b/>
        </w:rPr>
        <w:t>flow</w:t>
      </w:r>
      <w:r>
        <w:t xml:space="preserve"> (median lead time for a small change; WIP age), </w:t>
      </w:r>
      <w:r>
        <w:rPr>
          <w:b/>
        </w:rPr>
        <w:t>quality</w:t>
      </w:r>
      <w:r>
        <w:t xml:space="preserve"> (change failure rate; escaped defect density; reopen rate), </w:t>
      </w:r>
      <w:r>
        <w:rPr>
          <w:b/>
        </w:rPr>
        <w:t>refactoring progress</w:t>
      </w:r>
      <w:r>
        <w:t xml:space="preserve"> (legacy artefact retirement rate; automated coverage of refactored paths), </w:t>
      </w:r>
      <w:r>
        <w:rPr>
          <w:b/>
        </w:rPr>
        <w:t>responsiveness</w:t>
      </w:r>
      <w:r>
        <w:t xml:space="preserve"> (time to acknowledge and resolve P1/P2 production defects), </w:t>
      </w:r>
      <w:r>
        <w:rPr>
          <w:b/>
        </w:rPr>
        <w:t>collaboration</w:t>
      </w:r>
      <w:r>
        <w:t xml:space="preserve"> (adherence to the mandated overlap; code-review turnaround; quality of written handovers) and </w:t>
      </w:r>
      <w:r>
        <w:rPr>
          <w:b/>
        </w:rPr>
        <w:t>continuity</w:t>
      </w:r>
      <w:r>
        <w:t xml:space="preserve"> (team stability; documentation currency; bus-factor on critical components).</w:t>
      </w:r>
    </w:p>
    <w:p w14:paraId="5AAE6347" w14:textId="77777777" w:rsidR="00BA28F0" w:rsidRDefault="00000000">
      <w:pPr>
        <w:pStyle w:val="BodyText"/>
      </w:pPr>
      <w:r>
        <w:t xml:space="preserve">Proponents should propose the KPI set they believe appropriate for a capacity-based ODC engagement, state which they will be held to contractually, and explain their reasoning. </w:t>
      </w:r>
      <w:r>
        <w:rPr>
          <w:b/>
        </w:rPr>
        <w:t>JNGC expects the Vendor to meet its committed sprint scope; a shortfall against committed scope in two consecutive sprints is a governed performance event.</w:t>
      </w:r>
    </w:p>
    <w:p w14:paraId="6F23754E" w14:textId="77777777" w:rsidR="00BA28F0" w:rsidRDefault="00000000">
      <w:pPr>
        <w:pStyle w:val="Heading1"/>
      </w:pPr>
      <w:bookmarkStart w:id="18" w:name="transition-and-mobilisation"/>
      <w:r>
        <w:t>11. Transition and Mobilisation</w:t>
      </w:r>
      <w:bookmarkEnd w:id="18"/>
    </w:p>
    <w:p w14:paraId="3E581B5C" w14:textId="77777777" w:rsidR="00BA28F0" w:rsidRDefault="00000000">
      <w:pPr>
        <w:pStyle w:val="FirstParagraph"/>
      </w:pPr>
      <w:r>
        <w:t xml:space="preserve">At service commencement the Vendor executes a structured transition and mobilisation phase: knowledge acquisition from the incumbent arrangement and from JNGC engineers; access provisioning, security onboarding and tooling integration; codebase and estate discovery producing a validated component inventory; establishment of the engineering environment, working agreements and Definition of Done; baseline measurement of the metrics the programme will be judged on; and delivery of a </w:t>
      </w:r>
      <w:r>
        <w:rPr>
          <w:b/>
        </w:rPr>
        <w:t>Refactoring Roadmap</w:t>
      </w:r>
      <w:r>
        <w:t xml:space="preserve"> — a sequenced, dependency-aware plan for Appendix B, agreed at the architecture review board. Transition shall minimise disruption to ongoing delivery and live operations. JNGC will make subject-matter experts available; state the access you need and for how long.</w:t>
      </w:r>
    </w:p>
    <w:p w14:paraId="551E7329" w14:textId="77777777" w:rsidR="00BA28F0" w:rsidRDefault="00000000">
      <w:pPr>
        <w:pStyle w:val="BodyText"/>
      </w:pPr>
      <w:r>
        <w:lastRenderedPageBreak/>
        <w:t xml:space="preserve">An overlap period with the incumbent arrangement is anticipated. During this period the Vendor will operate a </w:t>
      </w:r>
      <w:r>
        <w:rPr>
          <w:b/>
        </w:rPr>
        <w:t>reduced initial team focused on onboarding, knowledge acquisition and preparation</w:t>
      </w:r>
      <w:r>
        <w:t xml:space="preserve"> for assuming broader delivery responsibility. Proponents should propose the shape and duration of that reduced team.</w:t>
      </w:r>
    </w:p>
    <w:p w14:paraId="0C34C477" w14:textId="77777777" w:rsidR="00BA28F0" w:rsidRDefault="00000000">
      <w:pPr>
        <w:pStyle w:val="Heading1"/>
      </w:pPr>
      <w:bookmarkStart w:id="19" w:name="exit-and-knowledge-continuity"/>
      <w:r>
        <w:t>12. Exit and Knowledge Continuity</w:t>
      </w:r>
      <w:bookmarkEnd w:id="19"/>
    </w:p>
    <w:p w14:paraId="5F61B12A" w14:textId="77777777" w:rsidR="00BA28F0" w:rsidRDefault="00000000">
      <w:pPr>
        <w:pStyle w:val="FirstParagraph"/>
      </w:pPr>
      <w:r>
        <w:t>The Vendor shall support an orderly, low-risk transition at expiry or termination: current and accurate technical documentation for everything in scope; reasonable knowledge-transfer support to JNGC or a successor vendor; no proprietary lock-in beyond tools explicitly agreed; and all work product, including automation assets and infrastructure definitions, resident in JNGC-owned repositories throughout the term.</w:t>
      </w:r>
    </w:p>
    <w:p w14:paraId="41D69158" w14:textId="77777777" w:rsidR="00BA28F0" w:rsidRDefault="00000000">
      <w:pPr>
        <w:pStyle w:val="Heading1"/>
      </w:pPr>
      <w:bookmarkStart w:id="20" w:name="security-risk-and-compliance"/>
      <w:r>
        <w:t>13. Security, Risk and Compliance</w:t>
      </w:r>
      <w:bookmarkEnd w:id="20"/>
    </w:p>
    <w:p w14:paraId="5F92A4D3" w14:textId="77777777" w:rsidR="00BA28F0" w:rsidRDefault="00000000">
      <w:pPr>
        <w:pStyle w:val="Compact"/>
        <w:numPr>
          <w:ilvl w:val="0"/>
          <w:numId w:val="8"/>
        </w:numPr>
      </w:pPr>
      <w:r>
        <w:t>Embed security, risk and compliance practices into delivery: secure coding, vulnerability and dependency management, timely remediation of findings, adherence to JNGC security and control standards.</w:t>
      </w:r>
    </w:p>
    <w:p w14:paraId="17CA13E9" w14:textId="77777777" w:rsidR="00BA28F0" w:rsidRDefault="00000000">
      <w:pPr>
        <w:pStyle w:val="Compact"/>
        <w:numPr>
          <w:ilvl w:val="0"/>
          <w:numId w:val="8"/>
        </w:numPr>
      </w:pPr>
      <w:r>
        <w:t>Support security and risk governance activities, including audits, risk reviews and control testing, as required.</w:t>
      </w:r>
    </w:p>
    <w:p w14:paraId="3E6AA2A4" w14:textId="77777777" w:rsidR="00BA28F0" w:rsidRDefault="00000000">
      <w:pPr>
        <w:pStyle w:val="Compact"/>
        <w:numPr>
          <w:ilvl w:val="0"/>
          <w:numId w:val="8"/>
        </w:numPr>
      </w:pPr>
      <w:r>
        <w:t>All Vendor personnel with access to JNGC systems must complete JNGC security onboarding and background screening.</w:t>
      </w:r>
    </w:p>
    <w:p w14:paraId="1BEE54FB" w14:textId="77777777" w:rsidR="00BA28F0" w:rsidRDefault="00000000">
      <w:pPr>
        <w:pStyle w:val="Compact"/>
        <w:numPr>
          <w:ilvl w:val="0"/>
          <w:numId w:val="8"/>
        </w:numPr>
      </w:pPr>
      <w:r>
        <w:rPr>
          <w:b/>
        </w:rPr>
        <w:t>Access to production environments is restricted to personnel holding the appropriate clearance under JNGC’s access-control policy.</w:t>
      </w:r>
    </w:p>
    <w:p w14:paraId="213EEE23" w14:textId="77777777" w:rsidR="00BA28F0" w:rsidRDefault="00000000">
      <w:pPr>
        <w:pStyle w:val="Compact"/>
        <w:numPr>
          <w:ilvl w:val="0"/>
          <w:numId w:val="8"/>
        </w:numPr>
      </w:pPr>
      <w:r>
        <w:t>Personal data of JNGC mall members and merchants shall not be processed outside approved environments.</w:t>
      </w:r>
    </w:p>
    <w:p w14:paraId="06427D19" w14:textId="77777777" w:rsidR="00BA28F0" w:rsidRDefault="00000000">
      <w:pPr>
        <w:pStyle w:val="Compact"/>
        <w:numPr>
          <w:ilvl w:val="0"/>
          <w:numId w:val="8"/>
        </w:numPr>
      </w:pPr>
      <w:r>
        <w:t>Notify JNGC of any suspected security incident within the timeframe defined in the SOW.</w:t>
      </w:r>
    </w:p>
    <w:p w14:paraId="3FC5ED64" w14:textId="77777777" w:rsidR="00BA28F0" w:rsidRDefault="00000000">
      <w:pPr>
        <w:pStyle w:val="Heading1"/>
      </w:pPr>
      <w:bookmarkStart w:id="21" w:name="timeline-expectation"/>
      <w:r>
        <w:t>14. Timeline Expectation</w:t>
      </w:r>
      <w:bookmarkEnd w:id="21"/>
    </w:p>
    <w:tbl>
      <w:tblPr>
        <w:tblStyle w:val="Table"/>
        <w:tblW w:w="5000" w:type="pct"/>
        <w:tblLook w:val="07E0" w:firstRow="1" w:lastRow="1" w:firstColumn="1" w:lastColumn="1" w:noHBand="1" w:noVBand="1"/>
      </w:tblPr>
      <w:tblGrid>
        <w:gridCol w:w="2662"/>
        <w:gridCol w:w="7192"/>
      </w:tblGrid>
      <w:tr w:rsidR="00BA28F0" w14:paraId="6461CDA6" w14:textId="77777777">
        <w:trPr>
          <w:tblHeader/>
        </w:trPr>
        <w:tc>
          <w:tcPr>
            <w:tcW w:w="0" w:type="auto"/>
            <w:tcBorders>
              <w:bottom w:val="single" w:sz="0" w:space="0" w:color="auto"/>
            </w:tcBorders>
            <w:vAlign w:val="bottom"/>
          </w:tcPr>
          <w:p w14:paraId="2730EFD8" w14:textId="77777777" w:rsidR="00BA28F0" w:rsidRDefault="00000000">
            <w:pPr>
              <w:pStyle w:val="Compact"/>
            </w:pPr>
            <w:r>
              <w:t>Milestone</w:t>
            </w:r>
          </w:p>
        </w:tc>
        <w:tc>
          <w:tcPr>
            <w:tcW w:w="0" w:type="auto"/>
            <w:tcBorders>
              <w:bottom w:val="single" w:sz="0" w:space="0" w:color="auto"/>
            </w:tcBorders>
            <w:vAlign w:val="bottom"/>
          </w:tcPr>
          <w:p w14:paraId="1B6DF522" w14:textId="77777777" w:rsidR="00BA28F0" w:rsidRDefault="00000000">
            <w:pPr>
              <w:pStyle w:val="Compact"/>
            </w:pPr>
            <w:r>
              <w:t>Expectation</w:t>
            </w:r>
          </w:p>
        </w:tc>
      </w:tr>
      <w:tr w:rsidR="00BA28F0" w14:paraId="1B1F4DF9" w14:textId="77777777">
        <w:tc>
          <w:tcPr>
            <w:tcW w:w="0" w:type="auto"/>
          </w:tcPr>
          <w:p w14:paraId="171B5145" w14:textId="77777777" w:rsidR="00BA28F0" w:rsidRDefault="00000000">
            <w:pPr>
              <w:pStyle w:val="Compact"/>
            </w:pPr>
            <w:r>
              <w:t>RfP process</w:t>
            </w:r>
          </w:p>
        </w:tc>
        <w:tc>
          <w:tcPr>
            <w:tcW w:w="0" w:type="auto"/>
          </w:tcPr>
          <w:p w14:paraId="0E097021" w14:textId="77777777" w:rsidR="00BA28F0" w:rsidRDefault="00000000">
            <w:pPr>
              <w:pStyle w:val="Compact"/>
            </w:pPr>
            <w:r>
              <w:t>Issued 28 July 2026 · clarification window closes 1 August, 10:00 BST · proposals due 13:00 BST · presentations 14:00 BST</w:t>
            </w:r>
          </w:p>
        </w:tc>
      </w:tr>
      <w:tr w:rsidR="00BA28F0" w14:paraId="13D48AA7" w14:textId="77777777">
        <w:tc>
          <w:tcPr>
            <w:tcW w:w="0" w:type="auto"/>
          </w:tcPr>
          <w:p w14:paraId="1AFF14D6" w14:textId="77777777" w:rsidR="00BA28F0" w:rsidRDefault="00000000">
            <w:pPr>
              <w:pStyle w:val="Compact"/>
            </w:pPr>
            <w:r>
              <w:t>Selection and contract execution</w:t>
            </w:r>
          </w:p>
        </w:tc>
        <w:tc>
          <w:tcPr>
            <w:tcW w:w="0" w:type="auto"/>
          </w:tcPr>
          <w:p w14:paraId="46CF253E" w14:textId="77777777" w:rsidR="00BA28F0" w:rsidRDefault="00000000">
            <w:pPr>
              <w:pStyle w:val="Compact"/>
            </w:pPr>
            <w:r>
              <w:t>Notification mid-August 2026; contract and initial SOW by end September 2026</w:t>
            </w:r>
          </w:p>
        </w:tc>
      </w:tr>
      <w:tr w:rsidR="00BA28F0" w14:paraId="6E0B016B" w14:textId="77777777">
        <w:tc>
          <w:tcPr>
            <w:tcW w:w="0" w:type="auto"/>
          </w:tcPr>
          <w:p w14:paraId="5BD7D4F3" w14:textId="77777777" w:rsidR="00BA28F0" w:rsidRDefault="00000000">
            <w:pPr>
              <w:pStyle w:val="Compact"/>
            </w:pPr>
            <w:r>
              <w:t>Transition and mobilisation commences</w:t>
            </w:r>
          </w:p>
        </w:tc>
        <w:tc>
          <w:tcPr>
            <w:tcW w:w="0" w:type="auto"/>
          </w:tcPr>
          <w:p w14:paraId="02115588" w14:textId="77777777" w:rsidR="00BA28F0" w:rsidRDefault="00000000">
            <w:pPr>
              <w:pStyle w:val="Compact"/>
            </w:pPr>
            <w:r>
              <w:t>October 2026</w:t>
            </w:r>
          </w:p>
        </w:tc>
      </w:tr>
      <w:tr w:rsidR="00BA28F0" w14:paraId="4D203068" w14:textId="77777777">
        <w:tc>
          <w:tcPr>
            <w:tcW w:w="0" w:type="auto"/>
          </w:tcPr>
          <w:p w14:paraId="37425CDC" w14:textId="77777777" w:rsidR="00BA28F0" w:rsidRDefault="00000000">
            <w:pPr>
              <w:pStyle w:val="Compact"/>
            </w:pPr>
            <w:r>
              <w:t>Broader engagement commences</w:t>
            </w:r>
          </w:p>
        </w:tc>
        <w:tc>
          <w:tcPr>
            <w:tcW w:w="0" w:type="auto"/>
          </w:tcPr>
          <w:p w14:paraId="07F13F90" w14:textId="77777777" w:rsidR="00BA28F0" w:rsidRDefault="00000000">
            <w:pPr>
              <w:pStyle w:val="Compact"/>
            </w:pPr>
            <w:r>
              <w:t>November 2026, subject to contract execution</w:t>
            </w:r>
          </w:p>
        </w:tc>
      </w:tr>
      <w:tr w:rsidR="00BA28F0" w14:paraId="2D1560C1" w14:textId="77777777">
        <w:tc>
          <w:tcPr>
            <w:tcW w:w="0" w:type="auto"/>
          </w:tcPr>
          <w:p w14:paraId="66EDEF5A" w14:textId="77777777" w:rsidR="00BA28F0" w:rsidRDefault="00000000">
            <w:pPr>
              <w:pStyle w:val="Compact"/>
            </w:pPr>
            <w:r>
              <w:rPr>
                <w:b/>
              </w:rPr>
              <w:t>Year-1 refactoring baseline complete</w:t>
            </w:r>
          </w:p>
        </w:tc>
        <w:tc>
          <w:tcPr>
            <w:tcW w:w="0" w:type="auto"/>
          </w:tcPr>
          <w:p w14:paraId="51044D46" w14:textId="77777777" w:rsidR="00BA28F0" w:rsidRDefault="00000000">
            <w:pPr>
              <w:pStyle w:val="Compact"/>
            </w:pPr>
            <w:r>
              <w:t>End October 2027</w:t>
            </w:r>
          </w:p>
        </w:tc>
      </w:tr>
      <w:tr w:rsidR="00BA28F0" w14:paraId="18C1A18F" w14:textId="77777777">
        <w:tc>
          <w:tcPr>
            <w:tcW w:w="0" w:type="auto"/>
          </w:tcPr>
          <w:p w14:paraId="282D9C4A" w14:textId="77777777" w:rsidR="00BA28F0" w:rsidRDefault="00000000">
            <w:pPr>
              <w:pStyle w:val="Compact"/>
            </w:pPr>
            <w:r>
              <w:t>Legacy mediation layer decommissioned</w:t>
            </w:r>
          </w:p>
        </w:tc>
        <w:tc>
          <w:tcPr>
            <w:tcW w:w="0" w:type="auto"/>
          </w:tcPr>
          <w:p w14:paraId="78D183FE" w14:textId="77777777" w:rsidR="00BA28F0" w:rsidRDefault="00000000">
            <w:pPr>
              <w:pStyle w:val="Compact"/>
            </w:pPr>
            <w:r>
              <w:t>End of Year 2</w:t>
            </w:r>
          </w:p>
        </w:tc>
      </w:tr>
      <w:tr w:rsidR="00BA28F0" w14:paraId="59CE10F7" w14:textId="77777777">
        <w:tc>
          <w:tcPr>
            <w:tcW w:w="0" w:type="auto"/>
          </w:tcPr>
          <w:p w14:paraId="575FAF35" w14:textId="77777777" w:rsidR="00BA28F0" w:rsidRDefault="00000000">
            <w:pPr>
              <w:pStyle w:val="Compact"/>
            </w:pPr>
            <w:r>
              <w:t>Programme term end</w:t>
            </w:r>
          </w:p>
        </w:tc>
        <w:tc>
          <w:tcPr>
            <w:tcW w:w="0" w:type="auto"/>
          </w:tcPr>
          <w:p w14:paraId="0CD1704E" w14:textId="77777777" w:rsidR="00BA28F0" w:rsidRDefault="00000000">
            <w:pPr>
              <w:pStyle w:val="Compact"/>
            </w:pPr>
            <w:r>
              <w:t>October 2029 (extensions at JNGC’s discretion)</w:t>
            </w:r>
          </w:p>
        </w:tc>
      </w:tr>
    </w:tbl>
    <w:p w14:paraId="516DA926" w14:textId="77777777" w:rsidR="00BA28F0" w:rsidRDefault="00000000">
      <w:pPr>
        <w:pStyle w:val="BodyText"/>
      </w:pPr>
      <w:r>
        <w:t>Vendors shall present their own mobilisation and Year-1 schedule with key milestones and state any conditions attached. JNGC reserves the right to modify this timeline at any stage.</w:t>
      </w:r>
    </w:p>
    <w:p w14:paraId="76FEF357" w14:textId="77777777" w:rsidR="00BA28F0" w:rsidRDefault="00000000">
      <w:pPr>
        <w:pStyle w:val="Heading1"/>
      </w:pPr>
      <w:bookmarkStart w:id="22" w:name="proposal-requirements"/>
      <w:r>
        <w:t>15. Proposal Requirements</w:t>
      </w:r>
      <w:bookmarkEnd w:id="22"/>
    </w:p>
    <w:p w14:paraId="2DCA36F5" w14:textId="77777777" w:rsidR="00BA28F0" w:rsidRDefault="00000000">
      <w:pPr>
        <w:pStyle w:val="FirstParagraph"/>
      </w:pPr>
      <w:r>
        <w:t>The proposal must be in English and contain, at minimum:</w:t>
      </w:r>
    </w:p>
    <w:p w14:paraId="41AB33A3" w14:textId="77777777" w:rsidR="00BA28F0" w:rsidRDefault="00000000">
      <w:pPr>
        <w:pStyle w:val="Compact"/>
        <w:numPr>
          <w:ilvl w:val="0"/>
          <w:numId w:val="9"/>
        </w:numPr>
      </w:pPr>
      <w:r>
        <w:t>Executive summary.</w:t>
      </w:r>
    </w:p>
    <w:p w14:paraId="5FE8DDDD" w14:textId="77777777" w:rsidR="00BA28F0" w:rsidRDefault="00000000">
      <w:pPr>
        <w:pStyle w:val="Compact"/>
        <w:numPr>
          <w:ilvl w:val="0"/>
          <w:numId w:val="9"/>
        </w:numPr>
      </w:pPr>
      <w:r>
        <w:rPr>
          <w:b/>
        </w:rPr>
        <w:t>Understanding of the current state</w:t>
      </w:r>
      <w:r>
        <w:t>, including any correction or challenge to Section 4 and Appendix C arising from your Q&amp;A.</w:t>
      </w:r>
    </w:p>
    <w:p w14:paraId="03944579" w14:textId="77777777" w:rsidR="00BA28F0" w:rsidRDefault="00000000">
      <w:pPr>
        <w:pStyle w:val="Compact"/>
        <w:numPr>
          <w:ilvl w:val="0"/>
          <w:numId w:val="9"/>
        </w:numPr>
      </w:pPr>
      <w:r>
        <w:t>Scope of work and an explicit out-of-scope statement.</w:t>
      </w:r>
    </w:p>
    <w:p w14:paraId="6A39F2CB" w14:textId="77777777" w:rsidR="00BA28F0" w:rsidRDefault="00000000">
      <w:pPr>
        <w:pStyle w:val="Compact"/>
        <w:numPr>
          <w:ilvl w:val="0"/>
          <w:numId w:val="9"/>
        </w:numPr>
      </w:pPr>
      <w:r>
        <w:rPr>
          <w:b/>
        </w:rPr>
        <w:t>Refactoring approach and sequencing</w:t>
      </w:r>
      <w:r>
        <w:t xml:space="preserve"> — how behaviour preservation is proven and how cutover risk is contained.</w:t>
      </w:r>
    </w:p>
    <w:p w14:paraId="4C244CA8" w14:textId="77777777" w:rsidR="00BA28F0" w:rsidRDefault="00000000">
      <w:pPr>
        <w:pStyle w:val="Compact"/>
        <w:numPr>
          <w:ilvl w:val="0"/>
          <w:numId w:val="9"/>
        </w:numPr>
      </w:pPr>
      <w:r>
        <w:rPr>
          <w:b/>
        </w:rPr>
        <w:t>ODC operating model</w:t>
      </w:r>
      <w:r>
        <w:t xml:space="preserve"> — team structure, ramp plan, allocation across squads, capacity management, bench and utilisation policy.</w:t>
      </w:r>
    </w:p>
    <w:p w14:paraId="279DACFD" w14:textId="77777777" w:rsidR="00BA28F0" w:rsidRDefault="00000000">
      <w:pPr>
        <w:pStyle w:val="Compact"/>
        <w:numPr>
          <w:ilvl w:val="0"/>
          <w:numId w:val="9"/>
        </w:numPr>
      </w:pPr>
      <w:r>
        <w:rPr>
          <w:b/>
        </w:rPr>
        <w:t>Transition and continuity approach</w:t>
      </w:r>
      <w:r>
        <w:t xml:space="preserve"> — how you onboard into an existing codebase and reach productivity.</w:t>
      </w:r>
    </w:p>
    <w:p w14:paraId="67022539" w14:textId="77777777" w:rsidR="00BA28F0" w:rsidRDefault="00000000">
      <w:pPr>
        <w:pStyle w:val="Compact"/>
        <w:numPr>
          <w:ilvl w:val="0"/>
          <w:numId w:val="9"/>
        </w:numPr>
      </w:pPr>
      <w:r>
        <w:rPr>
          <w:b/>
        </w:rPr>
        <w:lastRenderedPageBreak/>
        <w:t>Quality and test strategy</w:t>
      </w:r>
      <w:r>
        <w:t>, including the automation position at the end of Year 1.</w:t>
      </w:r>
    </w:p>
    <w:p w14:paraId="585AE834" w14:textId="77777777" w:rsidR="00BA28F0" w:rsidRDefault="00000000">
      <w:pPr>
        <w:pStyle w:val="Compact"/>
        <w:numPr>
          <w:ilvl w:val="0"/>
          <w:numId w:val="9"/>
        </w:numPr>
      </w:pPr>
      <w:r>
        <w:rPr>
          <w:b/>
        </w:rPr>
        <w:t>Collaboration and ways of working</w:t>
      </w:r>
      <w:r>
        <w:t xml:space="preserve"> in a blended, multi-squad, multi-cultural organisation, including the shift model that delivers the 6-hour JST overlap and how it is sustained across regions.</w:t>
      </w:r>
    </w:p>
    <w:p w14:paraId="328AED55" w14:textId="77777777" w:rsidR="00BA28F0" w:rsidRDefault="00000000">
      <w:pPr>
        <w:pStyle w:val="Compact"/>
        <w:numPr>
          <w:ilvl w:val="0"/>
          <w:numId w:val="9"/>
        </w:numPr>
      </w:pPr>
      <w:r>
        <w:rPr>
          <w:b/>
        </w:rPr>
        <w:t>Estimation with its basis</w:t>
      </w:r>
      <w:r>
        <w:t xml:space="preserve"> — the model, the drivers, the unit assumptions and the sensitivity of the number to each. Show your work.</w:t>
      </w:r>
    </w:p>
    <w:p w14:paraId="16BF9293" w14:textId="77777777" w:rsidR="00BA28F0" w:rsidRDefault="00000000">
      <w:pPr>
        <w:pStyle w:val="Compact"/>
        <w:numPr>
          <w:ilvl w:val="0"/>
          <w:numId w:val="9"/>
        </w:numPr>
      </w:pPr>
      <w:r>
        <w:rPr>
          <w:b/>
        </w:rPr>
        <w:t>Baseline of cost, team size and team structure.</w:t>
      </w:r>
      <w:r>
        <w:t xml:space="preserve"> An explicit, self-declared baseline against which the engagement will subsequently be governed, stating: </w:t>
      </w:r>
      <w:r>
        <w:rPr>
          <w:b/>
        </w:rPr>
        <w:t>(a) team size baseline</w:t>
      </w:r>
      <w:r>
        <w:t xml:space="preserve"> — monthly capacity proposed, by month for mobilisation and by quarter thereafter, with the reasoning that derives it from Appendix B, Appendix A and Appendix D; </w:t>
      </w:r>
      <w:r>
        <w:rPr>
          <w:b/>
        </w:rPr>
        <w:t>(b) team structure baseline</w:t>
      </w:r>
      <w:r>
        <w:t xml:space="preserve"> — the roles you propose and the distribution of capacity across them, identifying full-time, part-time and shared roles, squad allocation, and reporting and escalation lines within the ODC; </w:t>
      </w:r>
      <w:r>
        <w:rPr>
          <w:b/>
        </w:rPr>
        <w:t>(c) cost baseline</w:t>
      </w:r>
      <w:r>
        <w:t xml:space="preserve"> — rate card by role and seniority, assumed productive hours per FTE per month, resulting monthly cost at the proposed capacity, and an </w:t>
      </w:r>
      <w:r>
        <w:rPr>
          <w:b/>
        </w:rPr>
        <w:t>indicative annual cost by calendar year</w:t>
      </w:r>
      <w:r>
        <w:t xml:space="preserve"> (Year 1: January–December 2027, Year 2: 2028, Year 3: 2029) plus a programme total; </w:t>
      </w:r>
      <w:r>
        <w:rPr>
          <w:b/>
        </w:rPr>
        <w:t>(d) the assumptions each baseline rests on</w:t>
      </w:r>
      <w:r>
        <w:t xml:space="preserve">, the escalation mechanism proposed if any, ramp-up and ramp-down terms and notice periods, overtime and out-of-hours treatment, travel and onsite costs, currency assumptions, assumed non-working days per FTE per year, and the warranty period offered on Vendor-attributable defects; </w:t>
      </w:r>
      <w:r>
        <w:rPr>
          <w:b/>
        </w:rPr>
        <w:t>(e) sensitivity</w:t>
      </w:r>
      <w:r>
        <w:t xml:space="preserve"> — the cost and throughput consequence of a 20% reduction in proposed capacity and what would fall out of the Year-1 baseline. All figures in JPY, exclusive of Japanese consumption tax, inclusive of all Vendor overheads, tooling, facilities and duties. One figure per line; ranges, conditional pricing and “to be determined” are not accepted. </w:t>
      </w:r>
      <w:r>
        <w:rPr>
          <w:b/>
        </w:rPr>
        <w:t>These three baselines, once accepted, become the reference for change control and for the quarterly ramp review</w:t>
      </w:r>
      <w:r>
        <w:t xml:space="preserve"> — a variation from any of them is a change, not a detail.</w:t>
      </w:r>
    </w:p>
    <w:p w14:paraId="4E66C9D3" w14:textId="77777777" w:rsidR="00BA28F0" w:rsidRDefault="00000000">
      <w:pPr>
        <w:pStyle w:val="Compact"/>
        <w:numPr>
          <w:ilvl w:val="0"/>
          <w:numId w:val="9"/>
        </w:numPr>
      </w:pPr>
      <w:r>
        <w:rPr>
          <w:b/>
        </w:rPr>
        <w:t>Risk, issue and dependency management</w:t>
      </w:r>
      <w:r>
        <w:t>, including your assumptions and what happens when each is wrong.</w:t>
      </w:r>
    </w:p>
    <w:p w14:paraId="585974E0" w14:textId="77777777" w:rsidR="00BA28F0" w:rsidRDefault="00000000">
      <w:pPr>
        <w:pStyle w:val="Compact"/>
        <w:numPr>
          <w:ilvl w:val="0"/>
          <w:numId w:val="9"/>
        </w:numPr>
      </w:pPr>
      <w:r>
        <w:rPr>
          <w:b/>
        </w:rPr>
        <w:t>How AI tooling will be leveraged</w:t>
      </w:r>
      <w:r>
        <w:t xml:space="preserve"> to reduce cost and improve quality — concrete, verifiable claims only; state where you will </w:t>
      </w:r>
      <w:r>
        <w:rPr>
          <w:i/>
        </w:rPr>
        <w:t>not</w:t>
      </w:r>
      <w:r>
        <w:t xml:space="preserve"> use it and why.</w:t>
      </w:r>
    </w:p>
    <w:p w14:paraId="7AE58B51" w14:textId="77777777" w:rsidR="00BA28F0" w:rsidRDefault="00000000">
      <w:pPr>
        <w:pStyle w:val="Compact"/>
        <w:numPr>
          <w:ilvl w:val="0"/>
          <w:numId w:val="9"/>
        </w:numPr>
      </w:pPr>
      <w:r>
        <w:t>Team structure and named key personnel with CVs.</w:t>
      </w:r>
    </w:p>
    <w:p w14:paraId="531E8960" w14:textId="77777777" w:rsidR="00BA28F0" w:rsidRDefault="00000000">
      <w:pPr>
        <w:pStyle w:val="Compact"/>
        <w:numPr>
          <w:ilvl w:val="0"/>
          <w:numId w:val="9"/>
        </w:numPr>
      </w:pPr>
      <w:r>
        <w:t>Approval and version history of the proposal document.</w:t>
      </w:r>
    </w:p>
    <w:p w14:paraId="558917E4" w14:textId="77777777" w:rsidR="00BA28F0" w:rsidRDefault="00000000">
      <w:pPr>
        <w:pStyle w:val="FirstParagraph"/>
      </w:pPr>
      <w:r>
        <w:t xml:space="preserve">Submission: upload the proposal and supporting materials to the designated procurement folder by </w:t>
      </w:r>
      <w:r>
        <w:rPr>
          <w:b/>
        </w:rPr>
        <w:t>13:00 BST on 1 August 2026</w:t>
      </w:r>
      <w:r>
        <w:t xml:space="preserve">. Presentations begin at </w:t>
      </w:r>
      <w:r>
        <w:rPr>
          <w:b/>
        </w:rPr>
        <w:t>14:00 BST</w:t>
      </w:r>
      <w:r>
        <w:t>; each slot is 10 minutes and will be stopped at time.</w:t>
      </w:r>
    </w:p>
    <w:p w14:paraId="076674E0" w14:textId="77777777" w:rsidR="00BA28F0" w:rsidRDefault="00000000">
      <w:pPr>
        <w:pStyle w:val="Heading1"/>
      </w:pPr>
      <w:bookmarkStart w:id="23" w:name="evaluation-criteria-and-commercial-terms"/>
      <w:r>
        <w:t>16. Evaluation Criteria and Commercial Terms</w:t>
      </w:r>
      <w:bookmarkEnd w:id="23"/>
    </w:p>
    <w:p w14:paraId="009E7033" w14:textId="77777777" w:rsidR="00BA28F0" w:rsidRDefault="00000000">
      <w:pPr>
        <w:pStyle w:val="FirstParagraph"/>
      </w:pPr>
      <w:r>
        <w:t>Best-value basis. Our evaluation focuses on the Proponent’s ability to assume delivery responsibility quickly, execute a high-risk refactoring programme without disrupting a live marketplace, and operate effectively inside an established technical and delivery environment.</w:t>
      </w:r>
    </w:p>
    <w:tbl>
      <w:tblPr>
        <w:tblStyle w:val="Table"/>
        <w:tblW w:w="5000" w:type="pct"/>
        <w:tblLook w:val="07E0" w:firstRow="1" w:lastRow="1" w:firstColumn="1" w:lastColumn="1" w:noHBand="1" w:noVBand="1"/>
      </w:tblPr>
      <w:tblGrid>
        <w:gridCol w:w="1910"/>
        <w:gridCol w:w="7944"/>
      </w:tblGrid>
      <w:tr w:rsidR="00BA28F0" w14:paraId="02145732" w14:textId="77777777">
        <w:trPr>
          <w:tblHeader/>
        </w:trPr>
        <w:tc>
          <w:tcPr>
            <w:tcW w:w="0" w:type="auto"/>
            <w:tcBorders>
              <w:bottom w:val="single" w:sz="0" w:space="0" w:color="auto"/>
            </w:tcBorders>
            <w:vAlign w:val="bottom"/>
          </w:tcPr>
          <w:p w14:paraId="5942F831" w14:textId="77777777" w:rsidR="00BA28F0" w:rsidRDefault="00000000">
            <w:pPr>
              <w:pStyle w:val="Compact"/>
            </w:pPr>
            <w:r>
              <w:t>Criterion</w:t>
            </w:r>
          </w:p>
        </w:tc>
        <w:tc>
          <w:tcPr>
            <w:tcW w:w="0" w:type="auto"/>
            <w:tcBorders>
              <w:bottom w:val="single" w:sz="0" w:space="0" w:color="auto"/>
            </w:tcBorders>
            <w:vAlign w:val="bottom"/>
          </w:tcPr>
          <w:p w14:paraId="79385B52" w14:textId="77777777" w:rsidR="00BA28F0" w:rsidRDefault="00000000">
            <w:pPr>
              <w:pStyle w:val="Compact"/>
            </w:pPr>
            <w:r>
              <w:t>What we are looking for</w:t>
            </w:r>
          </w:p>
        </w:tc>
      </w:tr>
      <w:tr w:rsidR="00BA28F0" w14:paraId="26926497" w14:textId="77777777">
        <w:tc>
          <w:tcPr>
            <w:tcW w:w="0" w:type="auto"/>
          </w:tcPr>
          <w:p w14:paraId="6161DD1F" w14:textId="77777777" w:rsidR="00BA28F0" w:rsidRDefault="00000000">
            <w:pPr>
              <w:pStyle w:val="Compact"/>
            </w:pPr>
            <w:r>
              <w:rPr>
                <w:b/>
              </w:rPr>
              <w:t>Understanding &amp; quality of written clarification</w:t>
            </w:r>
          </w:p>
        </w:tc>
        <w:tc>
          <w:tcPr>
            <w:tcW w:w="0" w:type="auto"/>
          </w:tcPr>
          <w:p w14:paraId="026CE4CE" w14:textId="77777777" w:rsidR="00BA28F0" w:rsidRDefault="00000000">
            <w:pPr>
              <w:pStyle w:val="Compact"/>
            </w:pPr>
            <w:r>
              <w:t>Evidence of line-by-line reading. The quality of the questions asked during the Q&amp;A window is itself evaluated.</w:t>
            </w:r>
          </w:p>
        </w:tc>
      </w:tr>
      <w:tr w:rsidR="00BA28F0" w14:paraId="427EFECC" w14:textId="77777777">
        <w:tc>
          <w:tcPr>
            <w:tcW w:w="0" w:type="auto"/>
          </w:tcPr>
          <w:p w14:paraId="5929BFB6" w14:textId="77777777" w:rsidR="00BA28F0" w:rsidRDefault="00000000">
            <w:pPr>
              <w:pStyle w:val="Compact"/>
            </w:pPr>
            <w:r>
              <w:rPr>
                <w:b/>
              </w:rPr>
              <w:t>Refactoring credibility</w:t>
            </w:r>
          </w:p>
        </w:tc>
        <w:tc>
          <w:tcPr>
            <w:tcW w:w="0" w:type="auto"/>
          </w:tcPr>
          <w:p w14:paraId="31AC8535" w14:textId="77777777" w:rsidR="00BA28F0" w:rsidRDefault="00000000">
            <w:pPr>
              <w:pStyle w:val="Compact"/>
            </w:pPr>
            <w:r>
              <w:t>A sequenced, dependency-aware approach to a brownfield estate; realistic treatment of behaviour preservation, cutover and rollback.</w:t>
            </w:r>
          </w:p>
        </w:tc>
      </w:tr>
      <w:tr w:rsidR="00BA28F0" w14:paraId="2ED508CA" w14:textId="77777777">
        <w:tc>
          <w:tcPr>
            <w:tcW w:w="0" w:type="auto"/>
          </w:tcPr>
          <w:p w14:paraId="1D01A8F6" w14:textId="77777777" w:rsidR="00BA28F0" w:rsidRDefault="00000000">
            <w:pPr>
              <w:pStyle w:val="Compact"/>
            </w:pPr>
            <w:r>
              <w:rPr>
                <w:b/>
              </w:rPr>
              <w:t>Experience &amp; technical capability</w:t>
            </w:r>
          </w:p>
        </w:tc>
        <w:tc>
          <w:tcPr>
            <w:tcW w:w="0" w:type="auto"/>
          </w:tcPr>
          <w:p w14:paraId="63BB9877" w14:textId="77777777" w:rsidR="00BA28F0" w:rsidRDefault="00000000">
            <w:pPr>
              <w:pStyle w:val="Compact"/>
            </w:pPr>
            <w:r>
              <w:t>Hands-on engineering and QA for mature, in-production, high-traffic platforms in regulated or security-sensitive environments. Depth in Java/Spring, integration and ESB migration, event-driven architecture, cloud-native platform engineering, test automation and CI/CD in live systems.</w:t>
            </w:r>
          </w:p>
        </w:tc>
      </w:tr>
      <w:tr w:rsidR="00BA28F0" w14:paraId="2CD6CA33" w14:textId="77777777">
        <w:tc>
          <w:tcPr>
            <w:tcW w:w="0" w:type="auto"/>
          </w:tcPr>
          <w:p w14:paraId="3DBEF504" w14:textId="77777777" w:rsidR="00BA28F0" w:rsidRDefault="00000000">
            <w:pPr>
              <w:pStyle w:val="Compact"/>
            </w:pPr>
            <w:r>
              <w:rPr>
                <w:b/>
              </w:rPr>
              <w:t>ODC maturity &amp; ways of working</w:t>
            </w:r>
          </w:p>
        </w:tc>
        <w:tc>
          <w:tcPr>
            <w:tcW w:w="0" w:type="auto"/>
          </w:tcPr>
          <w:p w14:paraId="61CA66CE" w14:textId="77777777" w:rsidR="00BA28F0" w:rsidRDefault="00000000">
            <w:pPr>
              <w:pStyle w:val="Compact"/>
            </w:pPr>
            <w:r>
              <w:t>Ability to run a stable, long-running dedicated offshore team: retention, knowledge management, continuous improvement, capacity governance. Blended, multi-cultural team experience; a credible and sustainable 6-hour JST overlap model; working within established governance, security and operational controls.</w:t>
            </w:r>
          </w:p>
        </w:tc>
      </w:tr>
      <w:tr w:rsidR="00BA28F0" w14:paraId="792FFE82" w14:textId="77777777">
        <w:tc>
          <w:tcPr>
            <w:tcW w:w="0" w:type="auto"/>
          </w:tcPr>
          <w:p w14:paraId="4717C671" w14:textId="77777777" w:rsidR="00BA28F0" w:rsidRDefault="00000000">
            <w:pPr>
              <w:pStyle w:val="Compact"/>
            </w:pPr>
            <w:r>
              <w:rPr>
                <w:b/>
              </w:rPr>
              <w:t>Estimation transparency &amp; team sizing</w:t>
            </w:r>
          </w:p>
        </w:tc>
        <w:tc>
          <w:tcPr>
            <w:tcW w:w="0" w:type="auto"/>
          </w:tcPr>
          <w:p w14:paraId="7624B490" w14:textId="77777777" w:rsidR="00BA28F0" w:rsidRDefault="00000000">
            <w:pPr>
              <w:pStyle w:val="Compact"/>
            </w:pPr>
            <w:r>
              <w:t>Soundness and transparency of the estimate and its basis; explicit assumptions; honest treatment of uncertainty. Whether the proposed team size is derived from the scope rather than asserted; efficiency of the mix; whether cost-effectiveness comes from genuine leanness or from quietly under-resourcing a mandatory workstream.</w:t>
            </w:r>
          </w:p>
        </w:tc>
      </w:tr>
      <w:tr w:rsidR="00BA28F0" w14:paraId="2932902A" w14:textId="77777777">
        <w:tc>
          <w:tcPr>
            <w:tcW w:w="0" w:type="auto"/>
          </w:tcPr>
          <w:p w14:paraId="4143A75B" w14:textId="77777777" w:rsidR="00BA28F0" w:rsidRDefault="00000000">
            <w:pPr>
              <w:pStyle w:val="Compact"/>
            </w:pPr>
            <w:r>
              <w:rPr>
                <w:b/>
              </w:rPr>
              <w:t>Risk awareness and mitigation</w:t>
            </w:r>
          </w:p>
        </w:tc>
        <w:tc>
          <w:tcPr>
            <w:tcW w:w="0" w:type="auto"/>
          </w:tcPr>
          <w:p w14:paraId="5B7817B6" w14:textId="77777777" w:rsidR="00BA28F0" w:rsidRDefault="00000000">
            <w:pPr>
              <w:pStyle w:val="Compact"/>
            </w:pPr>
            <w:r>
              <w:t>Risks specific to vendor transition and refactoring of critical platforms; practical, credible mitigations.</w:t>
            </w:r>
          </w:p>
        </w:tc>
      </w:tr>
    </w:tbl>
    <w:p w14:paraId="13D15614" w14:textId="77777777" w:rsidR="00BA28F0" w:rsidRDefault="00000000">
      <w:pPr>
        <w:pStyle w:val="BodyText"/>
      </w:pPr>
      <w:r>
        <w:rPr>
          <w:b/>
        </w:rPr>
        <w:t>Commercial terms</w:t>
      </w:r>
    </w:p>
    <w:p w14:paraId="60E0074B" w14:textId="77777777" w:rsidR="00BA28F0" w:rsidRDefault="00000000">
      <w:pPr>
        <w:pStyle w:val="Compact"/>
        <w:numPr>
          <w:ilvl w:val="0"/>
          <w:numId w:val="10"/>
        </w:numPr>
      </w:pPr>
      <w:r>
        <w:rPr>
          <w:b/>
        </w:rPr>
        <w:lastRenderedPageBreak/>
        <w:t>No budget and no target team size are disclosed.</w:t>
      </w:r>
      <w:r>
        <w:t xml:space="preserve"> Pricing and sizing are presented as the baselines required by Section 15.10, with clear structure and stated assumptions. The basis of the sizing is evaluated alongside the price.</w:t>
      </w:r>
    </w:p>
    <w:p w14:paraId="0D84B3C6" w14:textId="77777777" w:rsidR="00BA28F0" w:rsidRDefault="00000000">
      <w:pPr>
        <w:pStyle w:val="Compact"/>
        <w:numPr>
          <w:ilvl w:val="0"/>
          <w:numId w:val="10"/>
        </w:numPr>
      </w:pPr>
      <w:r>
        <w:t>Rates shall be quoted in JPY, exclusive of Japanese consumption tax, and all-inclusive of the Vendor’s overheads, tooling and facilities.</w:t>
      </w:r>
    </w:p>
    <w:p w14:paraId="36F15925" w14:textId="77777777" w:rsidR="00BA28F0" w:rsidRDefault="00000000">
      <w:pPr>
        <w:pStyle w:val="Compact"/>
        <w:numPr>
          <w:ilvl w:val="0"/>
          <w:numId w:val="10"/>
        </w:numPr>
      </w:pPr>
      <w:r>
        <w:rPr>
          <w:b/>
        </w:rPr>
        <w:t>Rates shall remain firm for the term.</w:t>
      </w:r>
    </w:p>
    <w:p w14:paraId="63F5AC58" w14:textId="77777777" w:rsidR="00BA28F0" w:rsidRDefault="00000000">
      <w:pPr>
        <w:pStyle w:val="Compact"/>
        <w:numPr>
          <w:ilvl w:val="0"/>
          <w:numId w:val="10"/>
        </w:numPr>
      </w:pPr>
      <w:r>
        <w:t>Defects attributable to the Vendor’s work shall be corrected promptly at no additional cost for a reasonable period.</w:t>
      </w:r>
    </w:p>
    <w:p w14:paraId="62E185E2" w14:textId="77777777" w:rsidR="00BA28F0" w:rsidRDefault="00000000">
      <w:pPr>
        <w:pStyle w:val="Compact"/>
        <w:numPr>
          <w:ilvl w:val="0"/>
          <w:numId w:val="10"/>
        </w:numPr>
      </w:pPr>
      <w:r>
        <w:t>All deliverables, source code and work product become the property of JNGC.</w:t>
      </w:r>
    </w:p>
    <w:p w14:paraId="00DA07BF" w14:textId="77777777" w:rsidR="00BA28F0" w:rsidRDefault="00000000">
      <w:pPr>
        <w:pStyle w:val="Compact"/>
        <w:numPr>
          <w:ilvl w:val="0"/>
          <w:numId w:val="10"/>
        </w:numPr>
      </w:pPr>
      <w:r>
        <w:t>Any change to agreed scope shall follow a change-control procedure to be proposed by the Vendor.</w:t>
      </w:r>
    </w:p>
    <w:p w14:paraId="4767D94B" w14:textId="77777777" w:rsidR="00BA28F0" w:rsidRDefault="00000000">
      <w:pPr>
        <w:pStyle w:val="Compact"/>
        <w:numPr>
          <w:ilvl w:val="0"/>
          <w:numId w:val="10"/>
        </w:numPr>
      </w:pPr>
      <w:r>
        <w:t>JNGC may request additional or reprioritised work within the confirmed ODC capacity during the term; state how such requests are handled and where the boundary lies between reprioritisation and a change request.</w:t>
      </w:r>
    </w:p>
    <w:p w14:paraId="7607E0D8" w14:textId="77777777" w:rsidR="00BA28F0" w:rsidRDefault="00000000">
      <w:pPr>
        <w:pStyle w:val="Compact"/>
        <w:numPr>
          <w:ilvl w:val="0"/>
          <w:numId w:val="10"/>
        </w:numPr>
      </w:pPr>
      <w:r>
        <w:t xml:space="preserve">Proponents may propose an alternative or phased commercial structure if they believe it fits this scope better than a single capacity engagement. Any such proposal must be presented </w:t>
      </w:r>
      <w:r>
        <w:rPr>
          <w:b/>
        </w:rPr>
        <w:t>alongside</w:t>
      </w:r>
      <w:r>
        <w:t>, not instead of, the baselines required by Section 15.10, and must state the scope boundary it depends on, the assumptions behind it, and what invalidates it.</w:t>
      </w:r>
    </w:p>
    <w:p w14:paraId="2749B887" w14:textId="77777777" w:rsidR="00BA28F0" w:rsidRDefault="00000000">
      <w:pPr>
        <w:pStyle w:val="Compact"/>
        <w:numPr>
          <w:ilvl w:val="0"/>
          <w:numId w:val="10"/>
        </w:numPr>
      </w:pPr>
      <w:r>
        <w:t>JNGC is not bound to accept any proposal, and may engage one or more Proponents in clarification or due-diligence discussions, or select a Vendor without a further negotiation round.</w:t>
      </w:r>
    </w:p>
    <w:p w14:paraId="5238E8D6" w14:textId="77777777" w:rsidR="00BA28F0" w:rsidRDefault="00000000">
      <w:pPr>
        <w:pStyle w:val="Heading1"/>
      </w:pPr>
      <w:bookmarkStart w:id="24" w:name="X5ff84b927425bf4cb6873ec83e4fc4401616571"/>
      <w:r>
        <w:t>Appendix A — Business and Volume Assumptions</w:t>
      </w:r>
      <w:bookmarkEnd w:id="24"/>
    </w:p>
    <w:p w14:paraId="6C4932C1" w14:textId="77777777" w:rsidR="00BA28F0" w:rsidRDefault="00000000">
      <w:pPr>
        <w:pStyle w:val="FirstParagraph"/>
      </w:pPr>
      <w:r>
        <w:rPr>
          <w:i/>
        </w:rPr>
        <w:t xml:space="preserve">Provided to support estimation. Where a figure is approximate or a range, state the value you assumed. Figures marked </w:t>
      </w:r>
      <w:r>
        <w:rPr>
          <w:b/>
          <w:i/>
        </w:rPr>
        <w:t>estate</w:t>
      </w:r>
      <w:r>
        <w:rPr>
          <w:i/>
        </w:rPr>
        <w:t xml:space="preserve"> cover the whole ECX platform and govern business delivery, defect work and regression of modules that consume in-scope interfaces; figures marked </w:t>
      </w:r>
      <w:r>
        <w:rPr>
          <w:b/>
          <w:i/>
        </w:rPr>
        <w:t>in scope</w:t>
      </w:r>
      <w:r>
        <w:rPr>
          <w:i/>
        </w:rPr>
        <w:t xml:space="preserve"> cover the seven refactoring modules and reconcile to Appendix D.</w:t>
      </w:r>
    </w:p>
    <w:p w14:paraId="4F2D0E39" w14:textId="77777777" w:rsidR="00BA28F0" w:rsidRDefault="00000000">
      <w:pPr>
        <w:pStyle w:val="BodyText"/>
      </w:pPr>
      <w:r>
        <w:rPr>
          <w:b/>
        </w:rPr>
        <w:t>A.1 Business volumes (estate)</w:t>
      </w:r>
    </w:p>
    <w:tbl>
      <w:tblPr>
        <w:tblStyle w:val="Table"/>
        <w:tblW w:w="5000" w:type="pct"/>
        <w:tblLook w:val="07E0" w:firstRow="1" w:lastRow="1" w:firstColumn="1" w:lastColumn="1" w:noHBand="1" w:noVBand="1"/>
      </w:tblPr>
      <w:tblGrid>
        <w:gridCol w:w="2020"/>
        <w:gridCol w:w="7834"/>
      </w:tblGrid>
      <w:tr w:rsidR="00BA28F0" w14:paraId="5655872C" w14:textId="77777777">
        <w:trPr>
          <w:tblHeader/>
        </w:trPr>
        <w:tc>
          <w:tcPr>
            <w:tcW w:w="0" w:type="auto"/>
            <w:tcBorders>
              <w:bottom w:val="single" w:sz="0" w:space="0" w:color="auto"/>
            </w:tcBorders>
            <w:vAlign w:val="bottom"/>
          </w:tcPr>
          <w:p w14:paraId="0E878125" w14:textId="77777777" w:rsidR="00BA28F0" w:rsidRDefault="00000000">
            <w:pPr>
              <w:pStyle w:val="Compact"/>
            </w:pPr>
            <w:r>
              <w:t>Item</w:t>
            </w:r>
          </w:p>
        </w:tc>
        <w:tc>
          <w:tcPr>
            <w:tcW w:w="0" w:type="auto"/>
            <w:tcBorders>
              <w:bottom w:val="single" w:sz="0" w:space="0" w:color="auto"/>
            </w:tcBorders>
            <w:vAlign w:val="bottom"/>
          </w:tcPr>
          <w:p w14:paraId="7F721326" w14:textId="77777777" w:rsidR="00BA28F0" w:rsidRDefault="00000000">
            <w:pPr>
              <w:pStyle w:val="Compact"/>
            </w:pPr>
            <w:r>
              <w:t>Assumption</w:t>
            </w:r>
          </w:p>
        </w:tc>
      </w:tr>
      <w:tr w:rsidR="00BA28F0" w14:paraId="775CA245" w14:textId="77777777">
        <w:tc>
          <w:tcPr>
            <w:tcW w:w="0" w:type="auto"/>
          </w:tcPr>
          <w:p w14:paraId="2A2F9241" w14:textId="77777777" w:rsidR="00BA28F0" w:rsidRDefault="00000000">
            <w:pPr>
              <w:pStyle w:val="Compact"/>
            </w:pPr>
            <w:r>
              <w:t>Shoppers</w:t>
            </w:r>
          </w:p>
        </w:tc>
        <w:tc>
          <w:tcPr>
            <w:tcW w:w="0" w:type="auto"/>
          </w:tcPr>
          <w:p w14:paraId="7E0A9755" w14:textId="77777777" w:rsidR="00BA28F0" w:rsidRDefault="00000000">
            <w:pPr>
              <w:pStyle w:val="Compact"/>
            </w:pPr>
            <w:r>
              <w:t>Approx. 108 million registered mall members; approx. 42 million monthly active; approx. 61 million sessions/day at baseline, roughly 70% mobile</w:t>
            </w:r>
          </w:p>
        </w:tc>
      </w:tr>
      <w:tr w:rsidR="00BA28F0" w14:paraId="05EF815A" w14:textId="77777777">
        <w:tc>
          <w:tcPr>
            <w:tcW w:w="0" w:type="auto"/>
          </w:tcPr>
          <w:p w14:paraId="37CA1DCA" w14:textId="77777777" w:rsidR="00BA28F0" w:rsidRDefault="00000000">
            <w:pPr>
              <w:pStyle w:val="Compact"/>
            </w:pPr>
            <w:r>
              <w:t>Merchants</w:t>
            </w:r>
          </w:p>
        </w:tc>
        <w:tc>
          <w:tcPr>
            <w:tcW w:w="0" w:type="auto"/>
          </w:tcPr>
          <w:p w14:paraId="5FE59770" w14:textId="77777777" w:rsidR="00BA28F0" w:rsidRDefault="00000000">
            <w:pPr>
              <w:pStyle w:val="Compact"/>
            </w:pPr>
            <w:r>
              <w:t>Approx. 58,000 active storefronts, of which approx. 19,000 integrate via API — a substantial share through third-party back-office vendors. Approx. 240 distinct third-party integration vendors</w:t>
            </w:r>
          </w:p>
        </w:tc>
      </w:tr>
      <w:tr w:rsidR="00BA28F0" w14:paraId="00652195" w14:textId="77777777">
        <w:tc>
          <w:tcPr>
            <w:tcW w:w="0" w:type="auto"/>
          </w:tcPr>
          <w:p w14:paraId="50420F1E" w14:textId="77777777" w:rsidR="00BA28F0" w:rsidRDefault="00000000">
            <w:pPr>
              <w:pStyle w:val="Compact"/>
            </w:pPr>
            <w:r>
              <w:t>Catalogue scale</w:t>
            </w:r>
          </w:p>
        </w:tc>
        <w:tc>
          <w:tcPr>
            <w:tcW w:w="0" w:type="auto"/>
          </w:tcPr>
          <w:p w14:paraId="114ADF4C" w14:textId="77777777" w:rsidR="00BA28F0" w:rsidRDefault="00000000">
            <w:pPr>
              <w:pStyle w:val="Compact"/>
            </w:pPr>
            <w:r>
              <w:t>Approx. 380 million active SKUs</w:t>
            </w:r>
          </w:p>
        </w:tc>
      </w:tr>
      <w:tr w:rsidR="00BA28F0" w14:paraId="267950B2" w14:textId="77777777">
        <w:tc>
          <w:tcPr>
            <w:tcW w:w="0" w:type="auto"/>
          </w:tcPr>
          <w:p w14:paraId="42C602BB" w14:textId="77777777" w:rsidR="00BA28F0" w:rsidRDefault="00000000">
            <w:pPr>
              <w:pStyle w:val="Compact"/>
            </w:pPr>
            <w:r>
              <w:t>Gateway traffic</w:t>
            </w:r>
          </w:p>
        </w:tc>
        <w:tc>
          <w:tcPr>
            <w:tcW w:w="0" w:type="auto"/>
          </w:tcPr>
          <w:p w14:paraId="4163A337" w14:textId="77777777" w:rsidR="00BA28F0" w:rsidRDefault="00000000">
            <w:pPr>
              <w:pStyle w:val="Compact"/>
            </w:pPr>
            <w:r>
              <w:t>Approx. 1.1 billion requests/day, business-day average. Split approx. 78% shopper gateway, 15% merchant gateway, 7% internal operations and batch/partner</w:t>
            </w:r>
          </w:p>
        </w:tc>
      </w:tr>
      <w:tr w:rsidR="00BA28F0" w14:paraId="7DA9AAC4" w14:textId="77777777">
        <w:tc>
          <w:tcPr>
            <w:tcW w:w="0" w:type="auto"/>
          </w:tcPr>
          <w:p w14:paraId="17197CBB" w14:textId="77777777" w:rsidR="00BA28F0" w:rsidRDefault="00000000">
            <w:pPr>
              <w:pStyle w:val="Compact"/>
            </w:pPr>
            <w:r>
              <w:t>Order events published to the backbone</w:t>
            </w:r>
          </w:p>
        </w:tc>
        <w:tc>
          <w:tcPr>
            <w:tcW w:w="0" w:type="auto"/>
          </w:tcPr>
          <w:p w14:paraId="47D2D106" w14:textId="77777777" w:rsidR="00BA28F0" w:rsidRDefault="00000000">
            <w:pPr>
              <w:pStyle w:val="Compact"/>
            </w:pPr>
            <w:r>
              <w:t>Approx. 9 million/day at baseline</w:t>
            </w:r>
          </w:p>
        </w:tc>
      </w:tr>
      <w:tr w:rsidR="00BA28F0" w14:paraId="4DD71EB0" w14:textId="77777777">
        <w:tc>
          <w:tcPr>
            <w:tcW w:w="0" w:type="auto"/>
          </w:tcPr>
          <w:p w14:paraId="71092E5E" w14:textId="77777777" w:rsidR="00BA28F0" w:rsidRDefault="00000000">
            <w:pPr>
              <w:pStyle w:val="Compact"/>
            </w:pPr>
            <w:r>
              <w:t>Order capture cut-off</w:t>
            </w:r>
          </w:p>
        </w:tc>
        <w:tc>
          <w:tcPr>
            <w:tcW w:w="0" w:type="auto"/>
          </w:tcPr>
          <w:p w14:paraId="0844AE15" w14:textId="77777777" w:rsidR="00BA28F0" w:rsidRDefault="00000000">
            <w:pPr>
              <w:pStyle w:val="Compact"/>
            </w:pPr>
            <w:r>
              <w:t>Orders qualifying for same-day merchant dispatch are captured until 23:59 on the order date; the mall’s daily settlement and reporting boundary is aligned to the same instant</w:t>
            </w:r>
          </w:p>
        </w:tc>
      </w:tr>
      <w:tr w:rsidR="00BA28F0" w14:paraId="446FC94E" w14:textId="77777777">
        <w:tc>
          <w:tcPr>
            <w:tcW w:w="0" w:type="auto"/>
          </w:tcPr>
          <w:p w14:paraId="50C13594" w14:textId="77777777" w:rsidR="00BA28F0" w:rsidRDefault="00000000">
            <w:pPr>
              <w:pStyle w:val="Compact"/>
            </w:pPr>
            <w:r>
              <w:t>Campaign peaks</w:t>
            </w:r>
          </w:p>
        </w:tc>
        <w:tc>
          <w:tcPr>
            <w:tcW w:w="0" w:type="auto"/>
          </w:tcPr>
          <w:p w14:paraId="1F316155" w14:textId="77777777" w:rsidR="00BA28F0" w:rsidRDefault="00000000">
            <w:pPr>
              <w:pStyle w:val="Compact"/>
            </w:pPr>
            <w:r>
              <w:t>Mall-wide sale events roughly 5–6× baseline on announced days, with a sharp spike in the first 20 minutes of each event window. Major mall-wide events several times per year; category campaigns monthly</w:t>
            </w:r>
          </w:p>
        </w:tc>
      </w:tr>
      <w:tr w:rsidR="00BA28F0" w14:paraId="5FFC9202" w14:textId="77777777">
        <w:tc>
          <w:tcPr>
            <w:tcW w:w="0" w:type="auto"/>
          </w:tcPr>
          <w:p w14:paraId="0F8A7D7F" w14:textId="77777777" w:rsidR="00BA28F0" w:rsidRDefault="00000000">
            <w:pPr>
              <w:pStyle w:val="Compact"/>
            </w:pPr>
            <w:r>
              <w:t>Consumption tax handling</w:t>
            </w:r>
          </w:p>
        </w:tc>
        <w:tc>
          <w:tcPr>
            <w:tcW w:w="0" w:type="auto"/>
          </w:tcPr>
          <w:p w14:paraId="4EFD218A" w14:textId="77777777" w:rsidR="00BA28F0" w:rsidRDefault="00000000">
            <w:pPr>
              <w:pStyle w:val="Compact"/>
            </w:pPr>
            <w:r>
              <w:t>Japanese consumption tax is applied per line item with a reduced rate for qualifying goods; the platform must produce documentation compliant with the qualified-invoice retention system</w:t>
            </w:r>
          </w:p>
        </w:tc>
      </w:tr>
      <w:tr w:rsidR="00BA28F0" w14:paraId="0117DFD3" w14:textId="77777777">
        <w:tc>
          <w:tcPr>
            <w:tcW w:w="0" w:type="auto"/>
          </w:tcPr>
          <w:p w14:paraId="777A3FA0" w14:textId="77777777" w:rsidR="00BA28F0" w:rsidRDefault="00000000">
            <w:pPr>
              <w:pStyle w:val="Compact"/>
            </w:pPr>
            <w:r>
              <w:t>Points</w:t>
            </w:r>
          </w:p>
        </w:tc>
        <w:tc>
          <w:tcPr>
            <w:tcW w:w="0" w:type="auto"/>
          </w:tcPr>
          <w:p w14:paraId="27E7C25B" w14:textId="77777777" w:rsidR="00BA28F0" w:rsidRDefault="00000000">
            <w:pPr>
              <w:pStyle w:val="Compact"/>
            </w:pPr>
            <w:r>
              <w:t>Order-level point accrual is calculated by the campaign engine and reflected by ECX APIs</w:t>
            </w:r>
          </w:p>
        </w:tc>
      </w:tr>
      <w:tr w:rsidR="00BA28F0" w14:paraId="644A4B24" w14:textId="77777777">
        <w:tc>
          <w:tcPr>
            <w:tcW w:w="0" w:type="auto"/>
          </w:tcPr>
          <w:p w14:paraId="0BF24F10" w14:textId="77777777" w:rsidR="00BA28F0" w:rsidRDefault="00000000">
            <w:pPr>
              <w:pStyle w:val="Compact"/>
            </w:pPr>
            <w:r>
              <w:t>Related systems consumed by ECX</w:t>
            </w:r>
          </w:p>
        </w:tc>
        <w:tc>
          <w:tcPr>
            <w:tcW w:w="0" w:type="auto"/>
          </w:tcPr>
          <w:p w14:paraId="69CFCF22" w14:textId="77777777" w:rsidR="00BA28F0" w:rsidRDefault="00000000">
            <w:pPr>
              <w:pStyle w:val="Compact"/>
            </w:pPr>
            <w:r>
              <w:t>Mall core ledger, merchant contract master, group identity platform, settlement gateway, points and campaign engine, logistics hub, tax and invoicing service</w:t>
            </w:r>
          </w:p>
        </w:tc>
      </w:tr>
    </w:tbl>
    <w:p w14:paraId="113188EF" w14:textId="77777777" w:rsidR="00BA28F0" w:rsidRDefault="00000000">
      <w:pPr>
        <w:pStyle w:val="BodyText"/>
      </w:pPr>
      <w:r>
        <w:rPr>
          <w:b/>
        </w:rPr>
        <w:t>A.2 Estate size and the in-scope subset</w:t>
      </w:r>
    </w:p>
    <w:tbl>
      <w:tblPr>
        <w:tblStyle w:val="Table"/>
        <w:tblW w:w="5000" w:type="pct"/>
        <w:tblLook w:val="07E0" w:firstRow="1" w:lastRow="1" w:firstColumn="1" w:lastColumn="1" w:noHBand="1" w:noVBand="1"/>
      </w:tblPr>
      <w:tblGrid>
        <w:gridCol w:w="2720"/>
        <w:gridCol w:w="3501"/>
        <w:gridCol w:w="3633"/>
      </w:tblGrid>
      <w:tr w:rsidR="00BA28F0" w14:paraId="1CA153CC" w14:textId="77777777">
        <w:trPr>
          <w:tblHeader/>
        </w:trPr>
        <w:tc>
          <w:tcPr>
            <w:tcW w:w="0" w:type="auto"/>
            <w:tcBorders>
              <w:bottom w:val="single" w:sz="0" w:space="0" w:color="auto"/>
            </w:tcBorders>
            <w:vAlign w:val="bottom"/>
          </w:tcPr>
          <w:p w14:paraId="345EFF08" w14:textId="77777777" w:rsidR="00BA28F0" w:rsidRDefault="00000000">
            <w:pPr>
              <w:pStyle w:val="Compact"/>
            </w:pPr>
            <w:r>
              <w:t>Item</w:t>
            </w:r>
          </w:p>
        </w:tc>
        <w:tc>
          <w:tcPr>
            <w:tcW w:w="0" w:type="auto"/>
            <w:tcBorders>
              <w:bottom w:val="single" w:sz="0" w:space="0" w:color="auto"/>
            </w:tcBorders>
            <w:vAlign w:val="bottom"/>
          </w:tcPr>
          <w:p w14:paraId="3B6AB750" w14:textId="77777777" w:rsidR="00BA28F0" w:rsidRDefault="00000000">
            <w:pPr>
              <w:pStyle w:val="Compact"/>
            </w:pPr>
            <w:r>
              <w:t>Estate (all 18 modules)</w:t>
            </w:r>
          </w:p>
        </w:tc>
        <w:tc>
          <w:tcPr>
            <w:tcW w:w="0" w:type="auto"/>
            <w:tcBorders>
              <w:bottom w:val="single" w:sz="0" w:space="0" w:color="auto"/>
            </w:tcBorders>
            <w:vAlign w:val="bottom"/>
          </w:tcPr>
          <w:p w14:paraId="08075700" w14:textId="77777777" w:rsidR="00BA28F0" w:rsidRDefault="00000000">
            <w:pPr>
              <w:pStyle w:val="Compact"/>
            </w:pPr>
            <w:r>
              <w:t>In refactoring scope (7 modules)</w:t>
            </w:r>
          </w:p>
        </w:tc>
      </w:tr>
      <w:tr w:rsidR="00BA28F0" w14:paraId="39743193" w14:textId="77777777">
        <w:tc>
          <w:tcPr>
            <w:tcW w:w="0" w:type="auto"/>
          </w:tcPr>
          <w:p w14:paraId="741886CF" w14:textId="77777777" w:rsidR="00BA28F0" w:rsidRDefault="00000000">
            <w:pPr>
              <w:pStyle w:val="Compact"/>
            </w:pPr>
            <w:r>
              <w:t>Code volume</w:t>
            </w:r>
          </w:p>
        </w:tc>
        <w:tc>
          <w:tcPr>
            <w:tcW w:w="0" w:type="auto"/>
          </w:tcPr>
          <w:p w14:paraId="6BF89AE6" w14:textId="77777777" w:rsidR="00BA28F0" w:rsidRDefault="00000000">
            <w:pPr>
              <w:pStyle w:val="Compact"/>
            </w:pPr>
            <w:r>
              <w:t>Approx. 1,534 kLOC</w:t>
            </w:r>
          </w:p>
        </w:tc>
        <w:tc>
          <w:tcPr>
            <w:tcW w:w="0" w:type="auto"/>
          </w:tcPr>
          <w:p w14:paraId="3B5B5261" w14:textId="77777777" w:rsidR="00BA28F0" w:rsidRDefault="00000000">
            <w:pPr>
              <w:pStyle w:val="Compact"/>
            </w:pPr>
            <w:r>
              <w:rPr>
                <w:b/>
              </w:rPr>
              <w:t>929 kLOC</w:t>
            </w:r>
          </w:p>
        </w:tc>
      </w:tr>
      <w:tr w:rsidR="00BA28F0" w14:paraId="6082A22A" w14:textId="77777777">
        <w:tc>
          <w:tcPr>
            <w:tcW w:w="0" w:type="auto"/>
          </w:tcPr>
          <w:p w14:paraId="399EA22E" w14:textId="77777777" w:rsidR="00BA28F0" w:rsidRDefault="00000000">
            <w:pPr>
              <w:pStyle w:val="Compact"/>
            </w:pPr>
            <w:r>
              <w:lastRenderedPageBreak/>
              <w:t>Published merchant-facing operations</w:t>
            </w:r>
          </w:p>
        </w:tc>
        <w:tc>
          <w:tcPr>
            <w:tcW w:w="0" w:type="auto"/>
          </w:tcPr>
          <w:p w14:paraId="15C08705" w14:textId="77777777" w:rsidR="00BA28F0" w:rsidRDefault="00000000">
            <w:pPr>
              <w:pStyle w:val="Compact"/>
            </w:pPr>
            <w:r>
              <w:t>Approx. 310</w:t>
            </w:r>
          </w:p>
        </w:tc>
        <w:tc>
          <w:tcPr>
            <w:tcW w:w="0" w:type="auto"/>
          </w:tcPr>
          <w:p w14:paraId="16088929" w14:textId="77777777" w:rsidR="00BA28F0" w:rsidRDefault="00000000">
            <w:pPr>
              <w:pStyle w:val="Compact"/>
            </w:pPr>
            <w:r>
              <w:rPr>
                <w:b/>
              </w:rPr>
              <w:t>173</w:t>
            </w:r>
          </w:p>
        </w:tc>
      </w:tr>
      <w:tr w:rsidR="00BA28F0" w14:paraId="63DDD9DF" w14:textId="77777777">
        <w:tc>
          <w:tcPr>
            <w:tcW w:w="0" w:type="auto"/>
          </w:tcPr>
          <w:p w14:paraId="0E940EE9" w14:textId="77777777" w:rsidR="00BA28F0" w:rsidRDefault="00000000">
            <w:pPr>
              <w:pStyle w:val="Compact"/>
            </w:pPr>
            <w:r>
              <w:t>Published shopper-facing operations</w:t>
            </w:r>
          </w:p>
        </w:tc>
        <w:tc>
          <w:tcPr>
            <w:tcW w:w="0" w:type="auto"/>
          </w:tcPr>
          <w:p w14:paraId="610CB877" w14:textId="77777777" w:rsidR="00BA28F0" w:rsidRDefault="00000000">
            <w:pPr>
              <w:pStyle w:val="Compact"/>
            </w:pPr>
            <w:r>
              <w:t>Approx. 190, consumed by first-party clients only</w:t>
            </w:r>
          </w:p>
        </w:tc>
        <w:tc>
          <w:tcPr>
            <w:tcW w:w="0" w:type="auto"/>
          </w:tcPr>
          <w:p w14:paraId="400D936F" w14:textId="77777777" w:rsidR="00BA28F0" w:rsidRDefault="00000000">
            <w:pPr>
              <w:pStyle w:val="Compact"/>
            </w:pPr>
            <w:r>
              <w:rPr>
                <w:b/>
              </w:rPr>
              <w:t>140</w:t>
            </w:r>
          </w:p>
        </w:tc>
      </w:tr>
      <w:tr w:rsidR="00BA28F0" w14:paraId="2338583C" w14:textId="77777777">
        <w:tc>
          <w:tcPr>
            <w:tcW w:w="0" w:type="auto"/>
          </w:tcPr>
          <w:p w14:paraId="50FC23F7" w14:textId="77777777" w:rsidR="00BA28F0" w:rsidRDefault="00000000">
            <w:pPr>
              <w:pStyle w:val="Compact"/>
            </w:pPr>
            <w:r>
              <w:t>Mediation flows</w:t>
            </w:r>
          </w:p>
        </w:tc>
        <w:tc>
          <w:tcPr>
            <w:tcW w:w="0" w:type="auto"/>
          </w:tcPr>
          <w:p w14:paraId="73FCA068" w14:textId="77777777" w:rsidR="00BA28F0" w:rsidRDefault="00000000">
            <w:pPr>
              <w:pStyle w:val="Compact"/>
            </w:pPr>
            <w:r>
              <w:t>Approx. 400</w:t>
            </w:r>
          </w:p>
        </w:tc>
        <w:tc>
          <w:tcPr>
            <w:tcW w:w="0" w:type="auto"/>
          </w:tcPr>
          <w:p w14:paraId="3DA2A247" w14:textId="77777777" w:rsidR="00BA28F0" w:rsidRDefault="00000000">
            <w:pPr>
              <w:pStyle w:val="Compact"/>
            </w:pPr>
            <w:r>
              <w:rPr>
                <w:b/>
              </w:rPr>
              <w:t>274</w:t>
            </w:r>
            <w:r>
              <w:t xml:space="preserve"> (95 simple / 116 moderate / 63 complex)</w:t>
            </w:r>
          </w:p>
        </w:tc>
      </w:tr>
      <w:tr w:rsidR="00BA28F0" w14:paraId="36DCC2E9" w14:textId="77777777">
        <w:tc>
          <w:tcPr>
            <w:tcW w:w="0" w:type="auto"/>
          </w:tcPr>
          <w:p w14:paraId="439DB27D" w14:textId="77777777" w:rsidR="00BA28F0" w:rsidRDefault="00000000">
            <w:pPr>
              <w:pStyle w:val="Compact"/>
            </w:pPr>
            <w:r>
              <w:t>Relational schemas</w:t>
            </w:r>
          </w:p>
        </w:tc>
        <w:tc>
          <w:tcPr>
            <w:tcW w:w="0" w:type="auto"/>
          </w:tcPr>
          <w:p w14:paraId="13D54433" w14:textId="77777777" w:rsidR="00BA28F0" w:rsidRDefault="00000000">
            <w:pPr>
              <w:pStyle w:val="Compact"/>
            </w:pPr>
            <w:r>
              <w:t>Approx. 240, of which approx. 90 on the order/settlement path</w:t>
            </w:r>
          </w:p>
        </w:tc>
        <w:tc>
          <w:tcPr>
            <w:tcW w:w="0" w:type="auto"/>
          </w:tcPr>
          <w:p w14:paraId="77A60362" w14:textId="77777777" w:rsidR="00BA28F0" w:rsidRDefault="00000000">
            <w:pPr>
              <w:pStyle w:val="Compact"/>
            </w:pPr>
            <w:r>
              <w:rPr>
                <w:b/>
              </w:rPr>
              <w:t>146</w:t>
            </w:r>
            <w:r>
              <w:t xml:space="preserve">, of which </w:t>
            </w:r>
            <w:r>
              <w:rPr>
                <w:b/>
              </w:rPr>
              <w:t>90</w:t>
            </w:r>
            <w:r>
              <w:t xml:space="preserve"> on the order/settlement path</w:t>
            </w:r>
          </w:p>
        </w:tc>
      </w:tr>
      <w:tr w:rsidR="00BA28F0" w14:paraId="79F00FE4" w14:textId="77777777">
        <w:tc>
          <w:tcPr>
            <w:tcW w:w="0" w:type="auto"/>
          </w:tcPr>
          <w:p w14:paraId="4E2E254F" w14:textId="77777777" w:rsidR="00BA28F0" w:rsidRDefault="00000000">
            <w:pPr>
              <w:pStyle w:val="Compact"/>
            </w:pPr>
            <w:r>
              <w:t>Deployable microservices</w:t>
            </w:r>
          </w:p>
        </w:tc>
        <w:tc>
          <w:tcPr>
            <w:tcW w:w="0" w:type="auto"/>
          </w:tcPr>
          <w:p w14:paraId="5B5A182C" w14:textId="77777777" w:rsidR="00BA28F0" w:rsidRDefault="00000000">
            <w:pPr>
              <w:pStyle w:val="Compact"/>
            </w:pPr>
            <w:r>
              <w:t>Approx. 70</w:t>
            </w:r>
          </w:p>
        </w:tc>
        <w:tc>
          <w:tcPr>
            <w:tcW w:w="0" w:type="auto"/>
          </w:tcPr>
          <w:p w14:paraId="2A5E2CF9" w14:textId="77777777" w:rsidR="00BA28F0" w:rsidRDefault="00000000">
            <w:pPr>
              <w:pStyle w:val="Compact"/>
            </w:pPr>
            <w:r>
              <w:rPr>
                <w:b/>
              </w:rPr>
              <w:t>43</w:t>
            </w:r>
          </w:p>
        </w:tc>
      </w:tr>
      <w:tr w:rsidR="00BA28F0" w14:paraId="0CB7054F" w14:textId="77777777">
        <w:tc>
          <w:tcPr>
            <w:tcW w:w="0" w:type="auto"/>
          </w:tcPr>
          <w:p w14:paraId="099E89F4" w14:textId="77777777" w:rsidR="00BA28F0" w:rsidRDefault="00000000">
            <w:pPr>
              <w:pStyle w:val="Compact"/>
            </w:pPr>
            <w:r>
              <w:t>Published operations by protocol</w:t>
            </w:r>
          </w:p>
        </w:tc>
        <w:tc>
          <w:tcPr>
            <w:tcW w:w="0" w:type="auto"/>
          </w:tcPr>
          <w:p w14:paraId="221F0D51" w14:textId="77777777" w:rsidR="00BA28F0" w:rsidRDefault="00000000">
            <w:pPr>
              <w:pStyle w:val="Compact"/>
            </w:pPr>
            <w:r>
              <w:t>REST 265 · GraphQL 112 · SOAP 123</w:t>
            </w:r>
          </w:p>
        </w:tc>
        <w:tc>
          <w:tcPr>
            <w:tcW w:w="0" w:type="auto"/>
          </w:tcPr>
          <w:p w14:paraId="1C4E8E55" w14:textId="77777777" w:rsidR="00BA28F0" w:rsidRDefault="00000000">
            <w:pPr>
              <w:pStyle w:val="Compact"/>
            </w:pPr>
            <w:r>
              <w:rPr>
                <w:b/>
              </w:rPr>
              <w:t>REST 168 · GraphQL 74 · SOAP 71</w:t>
            </w:r>
          </w:p>
        </w:tc>
      </w:tr>
      <w:tr w:rsidR="00BA28F0" w14:paraId="496354F9" w14:textId="77777777">
        <w:tc>
          <w:tcPr>
            <w:tcW w:w="0" w:type="auto"/>
          </w:tcPr>
          <w:p w14:paraId="6453648A" w14:textId="77777777" w:rsidR="00BA28F0" w:rsidRDefault="00000000">
            <w:pPr>
              <w:pStyle w:val="Compact"/>
            </w:pPr>
            <w:r>
              <w:t>Scheduled jobs and batch triggers</w:t>
            </w:r>
          </w:p>
        </w:tc>
        <w:tc>
          <w:tcPr>
            <w:tcW w:w="0" w:type="auto"/>
          </w:tcPr>
          <w:p w14:paraId="6E44EEDA" w14:textId="77777777" w:rsidR="00BA28F0" w:rsidRDefault="00000000">
            <w:pPr>
              <w:pStyle w:val="Compact"/>
            </w:pPr>
            <w:r>
              <w:t>Approx. 180</w:t>
            </w:r>
          </w:p>
        </w:tc>
        <w:tc>
          <w:tcPr>
            <w:tcW w:w="0" w:type="auto"/>
          </w:tcPr>
          <w:p w14:paraId="658C1089" w14:textId="77777777" w:rsidR="00BA28F0" w:rsidRDefault="00000000">
            <w:pPr>
              <w:pStyle w:val="Compact"/>
            </w:pPr>
            <w:r>
              <w:rPr>
                <w:b/>
              </w:rPr>
              <w:t>96</w:t>
            </w:r>
          </w:p>
        </w:tc>
      </w:tr>
      <w:tr w:rsidR="00BA28F0" w14:paraId="4D52C03A" w14:textId="77777777">
        <w:tc>
          <w:tcPr>
            <w:tcW w:w="0" w:type="auto"/>
          </w:tcPr>
          <w:p w14:paraId="02BFC24E" w14:textId="77777777" w:rsidR="00BA28F0" w:rsidRDefault="00000000">
            <w:pPr>
              <w:pStyle w:val="Compact"/>
            </w:pPr>
            <w:r>
              <w:t>Database engines</w:t>
            </w:r>
          </w:p>
        </w:tc>
        <w:tc>
          <w:tcPr>
            <w:tcW w:w="0" w:type="auto"/>
          </w:tcPr>
          <w:p w14:paraId="118DE8C1" w14:textId="77777777" w:rsidR="00BA28F0" w:rsidRDefault="00000000">
            <w:pPr>
              <w:pStyle w:val="Compact"/>
            </w:pPr>
            <w:r>
              <w:t>MySQL, Oracle, PostgreSQL</w:t>
            </w:r>
          </w:p>
        </w:tc>
        <w:tc>
          <w:tcPr>
            <w:tcW w:w="0" w:type="auto"/>
          </w:tcPr>
          <w:p w14:paraId="0C26F35C" w14:textId="77777777" w:rsidR="00BA28F0" w:rsidRDefault="00000000">
            <w:pPr>
              <w:pStyle w:val="Compact"/>
            </w:pPr>
            <w:r>
              <w:t>MySQL, Oracle, PostgreSQL</w:t>
            </w:r>
          </w:p>
        </w:tc>
      </w:tr>
      <w:tr w:rsidR="00BA28F0" w14:paraId="48AE8E64" w14:textId="77777777">
        <w:tc>
          <w:tcPr>
            <w:tcW w:w="0" w:type="auto"/>
          </w:tcPr>
          <w:p w14:paraId="7AA5468F" w14:textId="77777777" w:rsidR="00BA28F0" w:rsidRDefault="00000000">
            <w:pPr>
              <w:pStyle w:val="Compact"/>
            </w:pPr>
            <w:r>
              <w:t>Stored procedural objects on the order path</w:t>
            </w:r>
          </w:p>
        </w:tc>
        <w:tc>
          <w:tcPr>
            <w:tcW w:w="0" w:type="auto"/>
          </w:tcPr>
          <w:p w14:paraId="3190E5D2" w14:textId="77777777" w:rsidR="00BA28F0" w:rsidRDefault="00000000">
            <w:pPr>
              <w:pStyle w:val="Compact"/>
            </w:pPr>
            <w:r>
              <w:t>Not separately recorded</w:t>
            </w:r>
          </w:p>
        </w:tc>
        <w:tc>
          <w:tcPr>
            <w:tcW w:w="0" w:type="auto"/>
          </w:tcPr>
          <w:p w14:paraId="1ECD6529" w14:textId="77777777" w:rsidR="00BA28F0" w:rsidRDefault="00000000">
            <w:pPr>
              <w:pStyle w:val="Compact"/>
            </w:pPr>
            <w:r>
              <w:rPr>
                <w:b/>
              </w:rPr>
              <w:t>214 objects, approx. 31 kLOC of PL/SQL</w:t>
            </w:r>
          </w:p>
        </w:tc>
      </w:tr>
      <w:tr w:rsidR="00BA28F0" w14:paraId="2F900C0E" w14:textId="77777777">
        <w:tc>
          <w:tcPr>
            <w:tcW w:w="0" w:type="auto"/>
          </w:tcPr>
          <w:p w14:paraId="6B996A84" w14:textId="77777777" w:rsidR="00BA28F0" w:rsidRDefault="00000000">
            <w:pPr>
              <w:pStyle w:val="Compact"/>
            </w:pPr>
            <w:r>
              <w:t>Server-affine (session-bearing) services</w:t>
            </w:r>
          </w:p>
        </w:tc>
        <w:tc>
          <w:tcPr>
            <w:tcW w:w="0" w:type="auto"/>
          </w:tcPr>
          <w:p w14:paraId="77984223" w14:textId="77777777" w:rsidR="00BA28F0" w:rsidRDefault="00000000">
            <w:pPr>
              <w:pStyle w:val="Compact"/>
            </w:pPr>
            <w:r>
              <w:t>Not separately recorded</w:t>
            </w:r>
          </w:p>
        </w:tc>
        <w:tc>
          <w:tcPr>
            <w:tcW w:w="0" w:type="auto"/>
          </w:tcPr>
          <w:p w14:paraId="272E200B" w14:textId="77777777" w:rsidR="00BA28F0" w:rsidRDefault="00000000">
            <w:pPr>
              <w:pStyle w:val="Compact"/>
            </w:pPr>
            <w:r>
              <w:rPr>
                <w:b/>
              </w:rPr>
              <w:t>17 of the 43 services</w:t>
            </w:r>
          </w:p>
        </w:tc>
      </w:tr>
      <w:tr w:rsidR="00BA28F0" w14:paraId="11AF4CFF" w14:textId="77777777">
        <w:tc>
          <w:tcPr>
            <w:tcW w:w="0" w:type="auto"/>
          </w:tcPr>
          <w:p w14:paraId="442B488E" w14:textId="77777777" w:rsidR="00BA28F0" w:rsidRDefault="00000000">
            <w:pPr>
              <w:pStyle w:val="Compact"/>
            </w:pPr>
            <w:r>
              <w:t>Services with full observability instrumentation</w:t>
            </w:r>
          </w:p>
        </w:tc>
        <w:tc>
          <w:tcPr>
            <w:tcW w:w="0" w:type="auto"/>
          </w:tcPr>
          <w:p w14:paraId="4B8B56C3" w14:textId="77777777" w:rsidR="00BA28F0" w:rsidRDefault="00000000">
            <w:pPr>
              <w:pStyle w:val="Compact"/>
            </w:pPr>
            <w:r>
              <w:t>Not separately recorded</w:t>
            </w:r>
          </w:p>
        </w:tc>
        <w:tc>
          <w:tcPr>
            <w:tcW w:w="0" w:type="auto"/>
          </w:tcPr>
          <w:p w14:paraId="3B8C5540" w14:textId="77777777" w:rsidR="00BA28F0" w:rsidRDefault="00000000">
            <w:pPr>
              <w:pStyle w:val="Compact"/>
            </w:pPr>
            <w:r>
              <w:rPr>
                <w:b/>
              </w:rPr>
              <w:t>14 full · 19 partial · 10 none</w:t>
            </w:r>
            <w:r>
              <w:t>; no mediation flow is currently traced</w:t>
            </w:r>
          </w:p>
        </w:tc>
      </w:tr>
      <w:tr w:rsidR="00BA28F0" w14:paraId="4E245F62" w14:textId="77777777">
        <w:tc>
          <w:tcPr>
            <w:tcW w:w="0" w:type="auto"/>
          </w:tcPr>
          <w:p w14:paraId="0D2996D3" w14:textId="77777777" w:rsidR="00BA28F0" w:rsidRDefault="00000000">
            <w:pPr>
              <w:pStyle w:val="Compact"/>
            </w:pPr>
            <w:r>
              <w:t>Open security findings</w:t>
            </w:r>
          </w:p>
        </w:tc>
        <w:tc>
          <w:tcPr>
            <w:tcW w:w="0" w:type="auto"/>
          </w:tcPr>
          <w:p w14:paraId="0F8BDB5F" w14:textId="77777777" w:rsidR="00BA28F0" w:rsidRDefault="00000000">
            <w:pPr>
              <w:pStyle w:val="Compact"/>
            </w:pPr>
            <w:r>
              <w:t>94 across the estate</w:t>
            </w:r>
          </w:p>
        </w:tc>
        <w:tc>
          <w:tcPr>
            <w:tcW w:w="0" w:type="auto"/>
          </w:tcPr>
          <w:p w14:paraId="036B8044" w14:textId="77777777" w:rsidR="00BA28F0" w:rsidRDefault="00000000">
            <w:pPr>
              <w:pStyle w:val="Compact"/>
            </w:pPr>
            <w:r>
              <w:rPr>
                <w:b/>
              </w:rPr>
              <w:t>61 within ECX scope, of which 9 rated high</w:t>
            </w:r>
          </w:p>
        </w:tc>
      </w:tr>
      <w:tr w:rsidR="00BA28F0" w14:paraId="54E2C2A3" w14:textId="77777777">
        <w:tc>
          <w:tcPr>
            <w:tcW w:w="0" w:type="auto"/>
          </w:tcPr>
          <w:p w14:paraId="646C12A8" w14:textId="77777777" w:rsidR="00BA28F0" w:rsidRDefault="00000000">
            <w:pPr>
              <w:pStyle w:val="Compact"/>
            </w:pPr>
            <w:r>
              <w:t>XQuery transformation artefacts</w:t>
            </w:r>
          </w:p>
        </w:tc>
        <w:tc>
          <w:tcPr>
            <w:tcW w:w="0" w:type="auto"/>
          </w:tcPr>
          <w:p w14:paraId="2114B1FE" w14:textId="77777777" w:rsidR="00BA28F0" w:rsidRDefault="00000000">
            <w:pPr>
              <w:pStyle w:val="Compact"/>
            </w:pPr>
            <w:r>
              <w:t>Count not centrally recorded</w:t>
            </w:r>
          </w:p>
        </w:tc>
        <w:tc>
          <w:tcPr>
            <w:tcW w:w="0" w:type="auto"/>
          </w:tcPr>
          <w:p w14:paraId="31FD1386" w14:textId="77777777" w:rsidR="00BA28F0" w:rsidRDefault="00000000">
            <w:pPr>
              <w:pStyle w:val="Compact"/>
            </w:pPr>
            <w:r>
              <w:t>Count to be confirmed under R-01</w:t>
            </w:r>
          </w:p>
        </w:tc>
      </w:tr>
    </w:tbl>
    <w:p w14:paraId="1A51C195" w14:textId="77777777" w:rsidR="00BA28F0" w:rsidRDefault="00000000">
      <w:pPr>
        <w:pStyle w:val="BodyText"/>
      </w:pPr>
      <w:r>
        <w:rPr>
          <w:b/>
        </w:rPr>
        <w:t>A.2.1 Supported modules (not refactored, but in scope for regression, business delivery and defect work)</w:t>
      </w:r>
    </w:p>
    <w:tbl>
      <w:tblPr>
        <w:tblStyle w:val="Table"/>
        <w:tblW w:w="5000" w:type="pct"/>
        <w:tblLook w:val="07E0" w:firstRow="1" w:lastRow="1" w:firstColumn="1" w:lastColumn="1" w:noHBand="1" w:noVBand="1"/>
      </w:tblPr>
      <w:tblGrid>
        <w:gridCol w:w="6212"/>
        <w:gridCol w:w="1198"/>
        <w:gridCol w:w="2444"/>
      </w:tblGrid>
      <w:tr w:rsidR="00BA28F0" w14:paraId="28E570B6" w14:textId="77777777">
        <w:trPr>
          <w:tblHeader/>
        </w:trPr>
        <w:tc>
          <w:tcPr>
            <w:tcW w:w="0" w:type="auto"/>
            <w:tcBorders>
              <w:bottom w:val="single" w:sz="0" w:space="0" w:color="auto"/>
            </w:tcBorders>
            <w:vAlign w:val="bottom"/>
          </w:tcPr>
          <w:p w14:paraId="4D7C26DA" w14:textId="77777777" w:rsidR="00BA28F0" w:rsidRDefault="00000000">
            <w:pPr>
              <w:pStyle w:val="Compact"/>
            </w:pPr>
            <w:r>
              <w:t>Module</w:t>
            </w:r>
          </w:p>
        </w:tc>
        <w:tc>
          <w:tcPr>
            <w:tcW w:w="0" w:type="auto"/>
            <w:tcBorders>
              <w:bottom w:val="single" w:sz="0" w:space="0" w:color="auto"/>
            </w:tcBorders>
            <w:vAlign w:val="bottom"/>
          </w:tcPr>
          <w:p w14:paraId="2EEB5C1A" w14:textId="77777777" w:rsidR="00BA28F0" w:rsidRDefault="00000000">
            <w:pPr>
              <w:pStyle w:val="Compact"/>
              <w:jc w:val="right"/>
            </w:pPr>
            <w:r>
              <w:t>kLOC</w:t>
            </w:r>
          </w:p>
        </w:tc>
        <w:tc>
          <w:tcPr>
            <w:tcW w:w="0" w:type="auto"/>
            <w:tcBorders>
              <w:bottom w:val="single" w:sz="0" w:space="0" w:color="auto"/>
            </w:tcBorders>
            <w:vAlign w:val="bottom"/>
          </w:tcPr>
          <w:p w14:paraId="1639224C" w14:textId="77777777" w:rsidR="00BA28F0" w:rsidRDefault="00000000">
            <w:pPr>
              <w:pStyle w:val="Compact"/>
              <w:jc w:val="right"/>
            </w:pPr>
            <w:r>
              <w:t>Published ops</w:t>
            </w:r>
          </w:p>
        </w:tc>
      </w:tr>
      <w:tr w:rsidR="00BA28F0" w14:paraId="70C146E3" w14:textId="77777777">
        <w:tc>
          <w:tcPr>
            <w:tcW w:w="0" w:type="auto"/>
          </w:tcPr>
          <w:p w14:paraId="0521CB51" w14:textId="77777777" w:rsidR="00BA28F0" w:rsidRDefault="00000000">
            <w:pPr>
              <w:pStyle w:val="Compact"/>
            </w:pPr>
            <w:r>
              <w:t>RMS Support APIs (internal operations)</w:t>
            </w:r>
          </w:p>
        </w:tc>
        <w:tc>
          <w:tcPr>
            <w:tcW w:w="0" w:type="auto"/>
          </w:tcPr>
          <w:p w14:paraId="7C8183B1" w14:textId="77777777" w:rsidR="00BA28F0" w:rsidRDefault="00000000">
            <w:pPr>
              <w:pStyle w:val="Compact"/>
              <w:jc w:val="right"/>
            </w:pPr>
            <w:r>
              <w:t>118</w:t>
            </w:r>
          </w:p>
        </w:tc>
        <w:tc>
          <w:tcPr>
            <w:tcW w:w="0" w:type="auto"/>
          </w:tcPr>
          <w:p w14:paraId="0FA61005" w14:textId="77777777" w:rsidR="00BA28F0" w:rsidRDefault="00000000">
            <w:pPr>
              <w:pStyle w:val="Compact"/>
              <w:jc w:val="right"/>
            </w:pPr>
            <w:r>
              <w:t>22 internal</w:t>
            </w:r>
          </w:p>
        </w:tc>
      </w:tr>
      <w:tr w:rsidR="00BA28F0" w14:paraId="21C4A16C" w14:textId="77777777">
        <w:tc>
          <w:tcPr>
            <w:tcW w:w="0" w:type="auto"/>
          </w:tcPr>
          <w:p w14:paraId="41C95FB6" w14:textId="77777777" w:rsidR="00BA28F0" w:rsidRDefault="00000000">
            <w:pPr>
              <w:pStyle w:val="Compact"/>
            </w:pPr>
            <w:r>
              <w:t>Logistics &amp; Fulfilment Hand-off</w:t>
            </w:r>
          </w:p>
        </w:tc>
        <w:tc>
          <w:tcPr>
            <w:tcW w:w="0" w:type="auto"/>
          </w:tcPr>
          <w:p w14:paraId="65699CA9" w14:textId="77777777" w:rsidR="00BA28F0" w:rsidRDefault="00000000">
            <w:pPr>
              <w:pStyle w:val="Compact"/>
              <w:jc w:val="right"/>
            </w:pPr>
            <w:r>
              <w:t>86</w:t>
            </w:r>
          </w:p>
        </w:tc>
        <w:tc>
          <w:tcPr>
            <w:tcW w:w="0" w:type="auto"/>
          </w:tcPr>
          <w:p w14:paraId="1FABED8B" w14:textId="77777777" w:rsidR="00BA28F0" w:rsidRDefault="00000000">
            <w:pPr>
              <w:pStyle w:val="Compact"/>
              <w:jc w:val="right"/>
            </w:pPr>
            <w:r>
              <w:t>38</w:t>
            </w:r>
          </w:p>
        </w:tc>
      </w:tr>
      <w:tr w:rsidR="00BA28F0" w14:paraId="6A04F532" w14:textId="77777777">
        <w:tc>
          <w:tcPr>
            <w:tcW w:w="0" w:type="auto"/>
          </w:tcPr>
          <w:p w14:paraId="0F71815B" w14:textId="77777777" w:rsidR="00BA28F0" w:rsidRDefault="00000000">
            <w:pPr>
              <w:pStyle w:val="Compact"/>
            </w:pPr>
            <w:r>
              <w:t>Batch &amp; Partner File Processing</w:t>
            </w:r>
          </w:p>
        </w:tc>
        <w:tc>
          <w:tcPr>
            <w:tcW w:w="0" w:type="auto"/>
          </w:tcPr>
          <w:p w14:paraId="107C40BA" w14:textId="77777777" w:rsidR="00BA28F0" w:rsidRDefault="00000000">
            <w:pPr>
              <w:pStyle w:val="Compact"/>
              <w:jc w:val="right"/>
            </w:pPr>
            <w:r>
              <w:t>81</w:t>
            </w:r>
          </w:p>
        </w:tc>
        <w:tc>
          <w:tcPr>
            <w:tcW w:w="0" w:type="auto"/>
          </w:tcPr>
          <w:p w14:paraId="09CBC9AF" w14:textId="77777777" w:rsidR="00BA28F0" w:rsidRDefault="00000000">
            <w:pPr>
              <w:pStyle w:val="Compact"/>
              <w:jc w:val="right"/>
            </w:pPr>
            <w:r>
              <w:t>22</w:t>
            </w:r>
          </w:p>
        </w:tc>
      </w:tr>
      <w:tr w:rsidR="00BA28F0" w14:paraId="42447BCF" w14:textId="77777777">
        <w:tc>
          <w:tcPr>
            <w:tcW w:w="0" w:type="auto"/>
          </w:tcPr>
          <w:p w14:paraId="5B3F68F6" w14:textId="77777777" w:rsidR="00BA28F0" w:rsidRDefault="00000000">
            <w:pPr>
              <w:pStyle w:val="Compact"/>
            </w:pPr>
            <w:r>
              <w:t>Inventory &amp; Availability</w:t>
            </w:r>
          </w:p>
        </w:tc>
        <w:tc>
          <w:tcPr>
            <w:tcW w:w="0" w:type="auto"/>
          </w:tcPr>
          <w:p w14:paraId="2AAA917E" w14:textId="77777777" w:rsidR="00BA28F0" w:rsidRDefault="00000000">
            <w:pPr>
              <w:pStyle w:val="Compact"/>
              <w:jc w:val="right"/>
            </w:pPr>
            <w:r>
              <w:t>74</w:t>
            </w:r>
          </w:p>
        </w:tc>
        <w:tc>
          <w:tcPr>
            <w:tcW w:w="0" w:type="auto"/>
          </w:tcPr>
          <w:p w14:paraId="6C9C465E" w14:textId="77777777" w:rsidR="00BA28F0" w:rsidRDefault="00000000">
            <w:pPr>
              <w:pStyle w:val="Compact"/>
              <w:jc w:val="right"/>
            </w:pPr>
            <w:r>
              <w:t>52</w:t>
            </w:r>
          </w:p>
        </w:tc>
      </w:tr>
      <w:tr w:rsidR="00BA28F0" w14:paraId="0370FA51" w14:textId="77777777">
        <w:tc>
          <w:tcPr>
            <w:tcW w:w="0" w:type="auto"/>
          </w:tcPr>
          <w:p w14:paraId="584E912F" w14:textId="77777777" w:rsidR="00BA28F0" w:rsidRDefault="00000000">
            <w:pPr>
              <w:pStyle w:val="Compact"/>
            </w:pPr>
            <w:r>
              <w:t>Merchant Onboarding &amp; Contract Sync</w:t>
            </w:r>
          </w:p>
        </w:tc>
        <w:tc>
          <w:tcPr>
            <w:tcW w:w="0" w:type="auto"/>
          </w:tcPr>
          <w:p w14:paraId="5924A1DF" w14:textId="77777777" w:rsidR="00BA28F0" w:rsidRDefault="00000000">
            <w:pPr>
              <w:pStyle w:val="Compact"/>
              <w:jc w:val="right"/>
            </w:pPr>
            <w:r>
              <w:t>67</w:t>
            </w:r>
          </w:p>
        </w:tc>
        <w:tc>
          <w:tcPr>
            <w:tcW w:w="0" w:type="auto"/>
          </w:tcPr>
          <w:p w14:paraId="6D62D421" w14:textId="77777777" w:rsidR="00BA28F0" w:rsidRDefault="00000000">
            <w:pPr>
              <w:pStyle w:val="Compact"/>
              <w:jc w:val="right"/>
            </w:pPr>
            <w:r>
              <w:t>26</w:t>
            </w:r>
          </w:p>
        </w:tc>
      </w:tr>
      <w:tr w:rsidR="00BA28F0" w14:paraId="4C61E967" w14:textId="77777777">
        <w:tc>
          <w:tcPr>
            <w:tcW w:w="0" w:type="auto"/>
          </w:tcPr>
          <w:p w14:paraId="203FA083" w14:textId="77777777" w:rsidR="00BA28F0" w:rsidRDefault="00000000">
            <w:pPr>
              <w:pStyle w:val="Compact"/>
            </w:pPr>
            <w:r>
              <w:t>Member &amp; Account Integration</w:t>
            </w:r>
          </w:p>
        </w:tc>
        <w:tc>
          <w:tcPr>
            <w:tcW w:w="0" w:type="auto"/>
          </w:tcPr>
          <w:p w14:paraId="43FD8613" w14:textId="77777777" w:rsidR="00BA28F0" w:rsidRDefault="00000000">
            <w:pPr>
              <w:pStyle w:val="Compact"/>
              <w:jc w:val="right"/>
            </w:pPr>
            <w:r>
              <w:t>54</w:t>
            </w:r>
          </w:p>
        </w:tc>
        <w:tc>
          <w:tcPr>
            <w:tcW w:w="0" w:type="auto"/>
          </w:tcPr>
          <w:p w14:paraId="700D617D" w14:textId="77777777" w:rsidR="00BA28F0" w:rsidRDefault="00000000">
            <w:pPr>
              <w:pStyle w:val="Compact"/>
              <w:jc w:val="right"/>
            </w:pPr>
            <w:r>
              <w:t>27</w:t>
            </w:r>
          </w:p>
        </w:tc>
      </w:tr>
      <w:tr w:rsidR="00BA28F0" w14:paraId="3FECA9F8" w14:textId="77777777">
        <w:tc>
          <w:tcPr>
            <w:tcW w:w="0" w:type="auto"/>
          </w:tcPr>
          <w:p w14:paraId="6343EAF5" w14:textId="77777777" w:rsidR="00BA28F0" w:rsidRDefault="00000000">
            <w:pPr>
              <w:pStyle w:val="Compact"/>
            </w:pPr>
            <w:r>
              <w:t>Notification &amp; Messaging</w:t>
            </w:r>
          </w:p>
        </w:tc>
        <w:tc>
          <w:tcPr>
            <w:tcW w:w="0" w:type="auto"/>
          </w:tcPr>
          <w:p w14:paraId="3F99B157" w14:textId="77777777" w:rsidR="00BA28F0" w:rsidRDefault="00000000">
            <w:pPr>
              <w:pStyle w:val="Compact"/>
              <w:jc w:val="right"/>
            </w:pPr>
            <w:r>
              <w:t>43</w:t>
            </w:r>
          </w:p>
        </w:tc>
        <w:tc>
          <w:tcPr>
            <w:tcW w:w="0" w:type="auto"/>
          </w:tcPr>
          <w:p w14:paraId="06352582" w14:textId="77777777" w:rsidR="00BA28F0" w:rsidRDefault="00000000">
            <w:pPr>
              <w:pStyle w:val="Compact"/>
              <w:jc w:val="right"/>
            </w:pPr>
            <w:r>
              <w:t>22</w:t>
            </w:r>
          </w:p>
        </w:tc>
      </w:tr>
      <w:tr w:rsidR="00BA28F0" w14:paraId="415D1DF2" w14:textId="77777777">
        <w:tc>
          <w:tcPr>
            <w:tcW w:w="0" w:type="auto"/>
          </w:tcPr>
          <w:p w14:paraId="75415C58" w14:textId="77777777" w:rsidR="00BA28F0" w:rsidRDefault="00000000">
            <w:pPr>
              <w:pStyle w:val="Compact"/>
            </w:pPr>
            <w:r>
              <w:t>Shared Libraries &amp; Common Utilities</w:t>
            </w:r>
          </w:p>
        </w:tc>
        <w:tc>
          <w:tcPr>
            <w:tcW w:w="0" w:type="auto"/>
          </w:tcPr>
          <w:p w14:paraId="67808039" w14:textId="77777777" w:rsidR="00BA28F0" w:rsidRDefault="00000000">
            <w:pPr>
              <w:pStyle w:val="Compact"/>
              <w:jc w:val="right"/>
            </w:pPr>
            <w:r>
              <w:t>39</w:t>
            </w:r>
          </w:p>
        </w:tc>
        <w:tc>
          <w:tcPr>
            <w:tcW w:w="0" w:type="auto"/>
          </w:tcPr>
          <w:p w14:paraId="47C3E60B" w14:textId="77777777" w:rsidR="00BA28F0" w:rsidRDefault="00000000">
            <w:pPr>
              <w:pStyle w:val="Compact"/>
              <w:jc w:val="right"/>
            </w:pPr>
            <w:r>
              <w:t>—</w:t>
            </w:r>
          </w:p>
        </w:tc>
      </w:tr>
      <w:tr w:rsidR="00BA28F0" w14:paraId="34B294D2" w14:textId="77777777">
        <w:tc>
          <w:tcPr>
            <w:tcW w:w="0" w:type="auto"/>
          </w:tcPr>
          <w:p w14:paraId="2C52A09C" w14:textId="77777777" w:rsidR="00BA28F0" w:rsidRDefault="00000000">
            <w:pPr>
              <w:pStyle w:val="Compact"/>
            </w:pPr>
            <w:r>
              <w:t>Build, Deploy &amp; Environment Definitions</w:t>
            </w:r>
          </w:p>
        </w:tc>
        <w:tc>
          <w:tcPr>
            <w:tcW w:w="0" w:type="auto"/>
          </w:tcPr>
          <w:p w14:paraId="78E85663" w14:textId="77777777" w:rsidR="00BA28F0" w:rsidRDefault="00000000">
            <w:pPr>
              <w:pStyle w:val="Compact"/>
              <w:jc w:val="right"/>
            </w:pPr>
            <w:r>
              <w:t>22</w:t>
            </w:r>
          </w:p>
        </w:tc>
        <w:tc>
          <w:tcPr>
            <w:tcW w:w="0" w:type="auto"/>
          </w:tcPr>
          <w:p w14:paraId="04470C61" w14:textId="77777777" w:rsidR="00BA28F0" w:rsidRDefault="00000000">
            <w:pPr>
              <w:pStyle w:val="Compact"/>
              <w:jc w:val="right"/>
            </w:pPr>
            <w:r>
              <w:t>—</w:t>
            </w:r>
          </w:p>
        </w:tc>
      </w:tr>
      <w:tr w:rsidR="00BA28F0" w14:paraId="4348DDEA" w14:textId="77777777">
        <w:tc>
          <w:tcPr>
            <w:tcW w:w="0" w:type="auto"/>
          </w:tcPr>
          <w:p w14:paraId="4203FCE1" w14:textId="77777777" w:rsidR="00BA28F0" w:rsidRDefault="00000000">
            <w:pPr>
              <w:pStyle w:val="Compact"/>
            </w:pPr>
            <w:r>
              <w:t>Shopper Gateway policy &amp; routing</w:t>
            </w:r>
          </w:p>
        </w:tc>
        <w:tc>
          <w:tcPr>
            <w:tcW w:w="0" w:type="auto"/>
          </w:tcPr>
          <w:p w14:paraId="2E090D3F" w14:textId="77777777" w:rsidR="00BA28F0" w:rsidRDefault="00000000">
            <w:pPr>
              <w:pStyle w:val="Compact"/>
              <w:jc w:val="right"/>
            </w:pPr>
            <w:r>
              <w:t>12</w:t>
            </w:r>
          </w:p>
        </w:tc>
        <w:tc>
          <w:tcPr>
            <w:tcW w:w="0" w:type="auto"/>
          </w:tcPr>
          <w:p w14:paraId="2C4DE4A2" w14:textId="77777777" w:rsidR="00BA28F0" w:rsidRDefault="00000000">
            <w:pPr>
              <w:pStyle w:val="Compact"/>
              <w:jc w:val="right"/>
            </w:pPr>
            <w:r>
              <w:t>—</w:t>
            </w:r>
          </w:p>
        </w:tc>
      </w:tr>
      <w:tr w:rsidR="00BA28F0" w14:paraId="10F78A08" w14:textId="77777777">
        <w:tc>
          <w:tcPr>
            <w:tcW w:w="0" w:type="auto"/>
          </w:tcPr>
          <w:p w14:paraId="5D762349" w14:textId="77777777" w:rsidR="00BA28F0" w:rsidRDefault="00000000">
            <w:pPr>
              <w:pStyle w:val="Compact"/>
            </w:pPr>
            <w:r>
              <w:t>Merchant Gateway policy &amp; routing</w:t>
            </w:r>
          </w:p>
        </w:tc>
        <w:tc>
          <w:tcPr>
            <w:tcW w:w="0" w:type="auto"/>
          </w:tcPr>
          <w:p w14:paraId="18349A16" w14:textId="77777777" w:rsidR="00BA28F0" w:rsidRDefault="00000000">
            <w:pPr>
              <w:pStyle w:val="Compact"/>
              <w:jc w:val="right"/>
            </w:pPr>
            <w:r>
              <w:t>9</w:t>
            </w:r>
          </w:p>
        </w:tc>
        <w:tc>
          <w:tcPr>
            <w:tcW w:w="0" w:type="auto"/>
          </w:tcPr>
          <w:p w14:paraId="35080D6B" w14:textId="77777777" w:rsidR="00BA28F0" w:rsidRDefault="00000000">
            <w:pPr>
              <w:pStyle w:val="Compact"/>
              <w:jc w:val="right"/>
            </w:pPr>
            <w:r>
              <w:t>—</w:t>
            </w:r>
          </w:p>
        </w:tc>
      </w:tr>
      <w:tr w:rsidR="00BA28F0" w14:paraId="5F9A1D33" w14:textId="77777777">
        <w:tc>
          <w:tcPr>
            <w:tcW w:w="0" w:type="auto"/>
          </w:tcPr>
          <w:p w14:paraId="03770550" w14:textId="77777777" w:rsidR="00BA28F0" w:rsidRDefault="00000000">
            <w:pPr>
              <w:pStyle w:val="Compact"/>
            </w:pPr>
            <w:r>
              <w:rPr>
                <w:b/>
              </w:rPr>
              <w:t>Total — supported scope</w:t>
            </w:r>
          </w:p>
        </w:tc>
        <w:tc>
          <w:tcPr>
            <w:tcW w:w="0" w:type="auto"/>
          </w:tcPr>
          <w:p w14:paraId="08138E94" w14:textId="77777777" w:rsidR="00BA28F0" w:rsidRDefault="00000000">
            <w:pPr>
              <w:pStyle w:val="Compact"/>
              <w:jc w:val="right"/>
            </w:pPr>
            <w:r>
              <w:rPr>
                <w:b/>
              </w:rPr>
              <w:t>605</w:t>
            </w:r>
          </w:p>
        </w:tc>
        <w:tc>
          <w:tcPr>
            <w:tcW w:w="0" w:type="auto"/>
          </w:tcPr>
          <w:p w14:paraId="7151864D" w14:textId="77777777" w:rsidR="00BA28F0" w:rsidRDefault="00000000">
            <w:pPr>
              <w:pStyle w:val="Compact"/>
              <w:jc w:val="right"/>
            </w:pPr>
            <w:r>
              <w:rPr>
                <w:b/>
              </w:rPr>
              <w:t>187</w:t>
            </w:r>
          </w:p>
        </w:tc>
      </w:tr>
    </w:tbl>
    <w:p w14:paraId="365F16A7" w14:textId="77777777" w:rsidR="00BA28F0" w:rsidRDefault="00000000">
      <w:pPr>
        <w:pStyle w:val="BodyText"/>
      </w:pPr>
      <w:r>
        <w:rPr>
          <w:i/>
        </w:rPr>
        <w:t>The heaviest dependency on in-scope interfaces is RMS Support APIs, which consumes the Order Capture and Settlement surfaces directly. Logistics &amp; Fulfilment Hand-off and Merchant Onboarding &amp; Contract Sync are next.</w:t>
      </w:r>
    </w:p>
    <w:p w14:paraId="78F4D86F" w14:textId="77777777" w:rsidR="00BA28F0" w:rsidRDefault="00000000">
      <w:pPr>
        <w:pStyle w:val="BodyText"/>
      </w:pPr>
      <w:r>
        <w:rPr>
          <w:b/>
        </w:rPr>
        <w:t>A.3 Delivery environment and throughput (estate)</w:t>
      </w:r>
    </w:p>
    <w:tbl>
      <w:tblPr>
        <w:tblStyle w:val="Table"/>
        <w:tblW w:w="5000" w:type="pct"/>
        <w:tblLook w:val="07E0" w:firstRow="1" w:lastRow="1" w:firstColumn="1" w:lastColumn="1" w:noHBand="1" w:noVBand="1"/>
      </w:tblPr>
      <w:tblGrid>
        <w:gridCol w:w="1602"/>
        <w:gridCol w:w="8252"/>
      </w:tblGrid>
      <w:tr w:rsidR="00BA28F0" w14:paraId="72CEA395" w14:textId="77777777">
        <w:trPr>
          <w:tblHeader/>
        </w:trPr>
        <w:tc>
          <w:tcPr>
            <w:tcW w:w="0" w:type="auto"/>
            <w:tcBorders>
              <w:bottom w:val="single" w:sz="0" w:space="0" w:color="auto"/>
            </w:tcBorders>
            <w:vAlign w:val="bottom"/>
          </w:tcPr>
          <w:p w14:paraId="64201D5F" w14:textId="77777777" w:rsidR="00BA28F0" w:rsidRDefault="00000000">
            <w:pPr>
              <w:pStyle w:val="Compact"/>
            </w:pPr>
            <w:r>
              <w:t>Item</w:t>
            </w:r>
          </w:p>
        </w:tc>
        <w:tc>
          <w:tcPr>
            <w:tcW w:w="0" w:type="auto"/>
            <w:tcBorders>
              <w:bottom w:val="single" w:sz="0" w:space="0" w:color="auto"/>
            </w:tcBorders>
            <w:vAlign w:val="bottom"/>
          </w:tcPr>
          <w:p w14:paraId="3F13B9E0" w14:textId="77777777" w:rsidR="00BA28F0" w:rsidRDefault="00000000">
            <w:pPr>
              <w:pStyle w:val="Compact"/>
            </w:pPr>
            <w:r>
              <w:t>Assumption</w:t>
            </w:r>
          </w:p>
        </w:tc>
      </w:tr>
      <w:tr w:rsidR="00BA28F0" w14:paraId="37234DBF" w14:textId="77777777">
        <w:tc>
          <w:tcPr>
            <w:tcW w:w="0" w:type="auto"/>
          </w:tcPr>
          <w:p w14:paraId="7C6689D4" w14:textId="77777777" w:rsidR="00BA28F0" w:rsidRDefault="00000000">
            <w:pPr>
              <w:pStyle w:val="Compact"/>
            </w:pPr>
            <w:r>
              <w:t>Environments and release cadence</w:t>
            </w:r>
          </w:p>
        </w:tc>
        <w:tc>
          <w:tcPr>
            <w:tcW w:w="0" w:type="auto"/>
          </w:tcPr>
          <w:p w14:paraId="04C29037" w14:textId="77777777" w:rsidR="00BA28F0" w:rsidRDefault="00000000">
            <w:pPr>
              <w:pStyle w:val="Compact"/>
            </w:pPr>
            <w:r>
              <w:t>Dev, integration, staging, pre-production, production. Scheduled releases every two weeks; hotfix releases as required</w:t>
            </w:r>
          </w:p>
        </w:tc>
      </w:tr>
      <w:tr w:rsidR="00BA28F0" w14:paraId="01534C25" w14:textId="77777777">
        <w:tc>
          <w:tcPr>
            <w:tcW w:w="0" w:type="auto"/>
          </w:tcPr>
          <w:p w14:paraId="606A61F7" w14:textId="77777777" w:rsidR="00BA28F0" w:rsidRDefault="00000000">
            <w:pPr>
              <w:pStyle w:val="Compact"/>
            </w:pPr>
            <w:r>
              <w:lastRenderedPageBreak/>
              <w:t>Existing automated regression suite</w:t>
            </w:r>
          </w:p>
        </w:tc>
        <w:tc>
          <w:tcPr>
            <w:tcW w:w="0" w:type="auto"/>
          </w:tcPr>
          <w:p w14:paraId="6C3D28CE" w14:textId="77777777" w:rsidR="00BA28F0" w:rsidRDefault="00000000">
            <w:pPr>
              <w:pStyle w:val="Compact"/>
            </w:pPr>
            <w:r>
              <w:t>Present and maintained; executed as part of the release cycle</w:t>
            </w:r>
          </w:p>
        </w:tc>
      </w:tr>
      <w:tr w:rsidR="00BA28F0" w14:paraId="4A87A18A" w14:textId="77777777">
        <w:tc>
          <w:tcPr>
            <w:tcW w:w="0" w:type="auto"/>
          </w:tcPr>
          <w:p w14:paraId="739CCABB" w14:textId="77777777" w:rsidR="00BA28F0" w:rsidRDefault="00000000">
            <w:pPr>
              <w:pStyle w:val="Compact"/>
            </w:pPr>
            <w:r>
              <w:t>Delivery throughput, last four quarters</w:t>
            </w:r>
          </w:p>
        </w:tc>
        <w:tc>
          <w:tcPr>
            <w:tcW w:w="0" w:type="auto"/>
          </w:tcPr>
          <w:p w14:paraId="611A56FA" w14:textId="77777777" w:rsidR="00BA28F0" w:rsidRDefault="00000000">
            <w:pPr>
              <w:pStyle w:val="Compact"/>
            </w:pPr>
            <w:r>
              <w:t xml:space="preserve">Approx. </w:t>
            </w:r>
            <w:r>
              <w:rPr>
                <w:b/>
              </w:rPr>
              <w:t>34 change requests delivered per month</w:t>
            </w:r>
            <w:r>
              <w:t xml:space="preserve">, approx. </w:t>
            </w:r>
            <w:r>
              <w:rPr>
                <w:b/>
              </w:rPr>
              <w:t>210 merged pull requests per month</w:t>
            </w:r>
            <w:r>
              <w:t xml:space="preserve">, defect inflow approx. </w:t>
            </w:r>
            <w:r>
              <w:rPr>
                <w:b/>
              </w:rPr>
              <w:t>55 per month</w:t>
            </w:r>
            <w:r>
              <w:t xml:space="preserve"> of which approx. </w:t>
            </w:r>
            <w:r>
              <w:rPr>
                <w:b/>
              </w:rPr>
              <w:t>6 rated P1 or P2</w:t>
            </w:r>
            <w:r>
              <w:t>. Of those change requests, approx. 60% are small (≤ 5 person-days as we size them), approx. 30% medium (5–20) and approx. 10% large (&gt; 20). Story-point velocity is not comparable across squads and is not published</w:t>
            </w:r>
          </w:p>
        </w:tc>
      </w:tr>
      <w:tr w:rsidR="00BA28F0" w14:paraId="72B0FFFF" w14:textId="77777777">
        <w:tc>
          <w:tcPr>
            <w:tcW w:w="0" w:type="auto"/>
          </w:tcPr>
          <w:p w14:paraId="504D1A7A" w14:textId="77777777" w:rsidR="00BA28F0" w:rsidRDefault="00000000">
            <w:pPr>
              <w:pStyle w:val="Compact"/>
            </w:pPr>
            <w:r>
              <w:t>Change freeze periods</w:t>
            </w:r>
          </w:p>
        </w:tc>
        <w:tc>
          <w:tcPr>
            <w:tcW w:w="0" w:type="auto"/>
          </w:tcPr>
          <w:p w14:paraId="38FD9103" w14:textId="77777777" w:rsidR="00BA28F0" w:rsidRDefault="00000000">
            <w:pPr>
              <w:pStyle w:val="Compact"/>
            </w:pPr>
            <w:r>
              <w:t>JNGC operates change freezes around major campaign events and the fiscal year-end close; the freeze calendar is issued annually</w:t>
            </w:r>
          </w:p>
        </w:tc>
      </w:tr>
    </w:tbl>
    <w:p w14:paraId="0B59C6A9" w14:textId="77777777" w:rsidR="00BA28F0" w:rsidRDefault="00000000">
      <w:pPr>
        <w:pStyle w:val="Heading1"/>
      </w:pPr>
      <w:bookmarkStart w:id="25" w:name="appendix-b-refactoring-workstreams"/>
      <w:r>
        <w:t>Appendix B — Refactoring Workstreams</w:t>
      </w:r>
      <w:bookmarkEnd w:id="25"/>
    </w:p>
    <w:p w14:paraId="0E26FFF7" w14:textId="77777777" w:rsidR="00BA28F0" w:rsidRDefault="00000000">
      <w:pPr>
        <w:pStyle w:val="FirstParagraph"/>
      </w:pPr>
      <w:r>
        <w:rPr>
          <w:b/>
        </w:rPr>
        <w:t>Refactoring scope is bounded to seven modules.</w:t>
      </w:r>
      <w:r>
        <w:t xml:space="preserve"> For this term, the workstreams set out below apply only to the following modules: </w:t>
      </w:r>
      <w:r>
        <w:rPr>
          <w:b/>
        </w:rPr>
        <w:t>Common Authentication &amp; Token Service; Catalogue &amp; Search Integration; Cart &amp; Checkout Orchestration; Order Capture &amp; Lifecycle; Settlement &amp; Payment Orchestration; Campaign &amp; Points Integration; and the Payload Transformation Layer</w:t>
      </w:r>
      <w:r>
        <w:t xml:space="preserve">. Together these account for approximately </w:t>
      </w:r>
      <w:r>
        <w:rPr>
          <w:b/>
        </w:rPr>
        <w:t>929 kLOC of the estate’s 1,534 kLOC</w:t>
      </w:r>
      <w:r>
        <w:t>, and the per-module detail is given in Appendix D.</w:t>
      </w:r>
    </w:p>
    <w:p w14:paraId="09364D8C" w14:textId="77777777" w:rsidR="00BA28F0" w:rsidRDefault="00000000">
      <w:pPr>
        <w:pStyle w:val="BodyText"/>
      </w:pPr>
      <w:r>
        <w:t xml:space="preserve">The remaining modules are </w:t>
      </w:r>
      <w:r>
        <w:rPr>
          <w:b/>
        </w:rPr>
        <w:t>supported, not refactored</w:t>
      </w:r>
      <w:r>
        <w:t>. They receive defect resolution, business-delivery changes and release support, but no structural rework under this programme. Where the interface of a refactored module is consumed by a supported module, regression testing of that consumer is in scope.</w:t>
      </w:r>
    </w:p>
    <w:p w14:paraId="0349AAC9" w14:textId="77777777" w:rsidR="00BA28F0" w:rsidRDefault="00000000">
      <w:pPr>
        <w:pStyle w:val="BodyText"/>
      </w:pPr>
      <w:r>
        <w:rPr>
          <w:i/>
        </w:rPr>
        <w:t>R-03, R-07 and R-11 are mandatory for the Year-1 baseline. The detail below represents our current understanding of the estate. Proponents are expected to confirm it, and to raise any open points in writing, during the Q&amp;A window.</w:t>
      </w:r>
    </w:p>
    <w:tbl>
      <w:tblPr>
        <w:tblStyle w:val="Table"/>
        <w:tblW w:w="5000" w:type="pct"/>
        <w:tblLook w:val="07E0" w:firstRow="1" w:lastRow="1" w:firstColumn="1" w:lastColumn="1" w:noHBand="1" w:noVBand="1"/>
      </w:tblPr>
      <w:tblGrid>
        <w:gridCol w:w="407"/>
        <w:gridCol w:w="1909"/>
        <w:gridCol w:w="7538"/>
      </w:tblGrid>
      <w:tr w:rsidR="00BA28F0" w14:paraId="4BE2B12E" w14:textId="77777777">
        <w:trPr>
          <w:tblHeader/>
        </w:trPr>
        <w:tc>
          <w:tcPr>
            <w:tcW w:w="0" w:type="auto"/>
            <w:tcBorders>
              <w:bottom w:val="single" w:sz="0" w:space="0" w:color="auto"/>
            </w:tcBorders>
            <w:vAlign w:val="bottom"/>
          </w:tcPr>
          <w:p w14:paraId="3C2999F7" w14:textId="77777777" w:rsidR="00BA28F0" w:rsidRDefault="00000000">
            <w:pPr>
              <w:pStyle w:val="Compact"/>
            </w:pPr>
            <w:r>
              <w:t>ID</w:t>
            </w:r>
          </w:p>
        </w:tc>
        <w:tc>
          <w:tcPr>
            <w:tcW w:w="0" w:type="auto"/>
            <w:tcBorders>
              <w:bottom w:val="single" w:sz="0" w:space="0" w:color="auto"/>
            </w:tcBorders>
            <w:vAlign w:val="bottom"/>
          </w:tcPr>
          <w:p w14:paraId="2304745F" w14:textId="77777777" w:rsidR="00BA28F0" w:rsidRDefault="00000000">
            <w:pPr>
              <w:pStyle w:val="Compact"/>
            </w:pPr>
            <w:r>
              <w:t>Workstream</w:t>
            </w:r>
          </w:p>
        </w:tc>
        <w:tc>
          <w:tcPr>
            <w:tcW w:w="0" w:type="auto"/>
            <w:tcBorders>
              <w:bottom w:val="single" w:sz="0" w:space="0" w:color="auto"/>
            </w:tcBorders>
            <w:vAlign w:val="bottom"/>
          </w:tcPr>
          <w:p w14:paraId="7CF1309B" w14:textId="77777777" w:rsidR="00BA28F0" w:rsidRDefault="00000000">
            <w:pPr>
              <w:pStyle w:val="Compact"/>
            </w:pPr>
            <w:r>
              <w:t>Description and known constraints</w:t>
            </w:r>
          </w:p>
        </w:tc>
      </w:tr>
      <w:tr w:rsidR="00BA28F0" w14:paraId="6EC7187C" w14:textId="77777777">
        <w:tc>
          <w:tcPr>
            <w:tcW w:w="0" w:type="auto"/>
          </w:tcPr>
          <w:p w14:paraId="52B409C0" w14:textId="77777777" w:rsidR="00BA28F0" w:rsidRDefault="00000000">
            <w:pPr>
              <w:pStyle w:val="Compact"/>
            </w:pPr>
            <w:r>
              <w:rPr>
                <w:b/>
              </w:rPr>
              <w:t>R-01</w:t>
            </w:r>
          </w:p>
        </w:tc>
        <w:tc>
          <w:tcPr>
            <w:tcW w:w="0" w:type="auto"/>
          </w:tcPr>
          <w:p w14:paraId="5FE6F4FF" w14:textId="77777777" w:rsidR="00BA28F0" w:rsidRDefault="00000000">
            <w:pPr>
              <w:pStyle w:val="Compact"/>
            </w:pPr>
            <w:r>
              <w:rPr>
                <w:b/>
              </w:rPr>
              <w:t>Estate discovery and component inventory</w:t>
            </w:r>
          </w:p>
        </w:tc>
        <w:tc>
          <w:tcPr>
            <w:tcW w:w="0" w:type="auto"/>
          </w:tcPr>
          <w:p w14:paraId="3A51CA35" w14:textId="77777777" w:rsidR="00BA28F0" w:rsidRDefault="00000000">
            <w:pPr>
              <w:pStyle w:val="Compact"/>
            </w:pPr>
            <w:r>
              <w:t>The Vendor shall produce a validated inventory, across the seven in-scope modules, of every mediation flow, transformation artefact, service, scheduled job (96, per Appendix A.2) and integration contract, recording for each its ownership, traffic profile, dependencies and criticality rating. The inventory feeds the Refactoring Roadmap. Our own inventory is partial and out of date.</w:t>
            </w:r>
          </w:p>
        </w:tc>
      </w:tr>
      <w:tr w:rsidR="00BA28F0" w14:paraId="7293D6B5" w14:textId="77777777">
        <w:tc>
          <w:tcPr>
            <w:tcW w:w="0" w:type="auto"/>
          </w:tcPr>
          <w:p w14:paraId="670346F4" w14:textId="77777777" w:rsidR="00BA28F0" w:rsidRDefault="00000000">
            <w:pPr>
              <w:pStyle w:val="Compact"/>
            </w:pPr>
            <w:r>
              <w:rPr>
                <w:b/>
              </w:rPr>
              <w:t>R-02</w:t>
            </w:r>
          </w:p>
        </w:tc>
        <w:tc>
          <w:tcPr>
            <w:tcW w:w="0" w:type="auto"/>
          </w:tcPr>
          <w:p w14:paraId="03C5ECDD" w14:textId="77777777" w:rsidR="00BA28F0" w:rsidRDefault="00000000">
            <w:pPr>
              <w:pStyle w:val="Compact"/>
            </w:pPr>
            <w:r>
              <w:rPr>
                <w:b/>
              </w:rPr>
              <w:t>Interface contract baseline</w:t>
            </w:r>
          </w:p>
        </w:tc>
        <w:tc>
          <w:tcPr>
            <w:tcW w:w="0" w:type="auto"/>
          </w:tcPr>
          <w:p w14:paraId="5B1C952D" w14:textId="77777777" w:rsidR="00BA28F0" w:rsidRDefault="00000000">
            <w:pPr>
              <w:pStyle w:val="Compact"/>
            </w:pPr>
            <w:r>
              <w:t>The Vendor shall reverse-engineer and publish machine-readable contracts (OpenAPI 3.1, GraphQL SDL or WSDL) for every published operation exposed by the in-scope modules, together with example payloads and negative cases. These contracts become the frozen reference against which behaviour preservation is proven. Roughly half of current published operations have documentation that has drifted from implementation.</w:t>
            </w:r>
          </w:p>
        </w:tc>
      </w:tr>
      <w:tr w:rsidR="00BA28F0" w14:paraId="0BFC4646" w14:textId="77777777">
        <w:tc>
          <w:tcPr>
            <w:tcW w:w="0" w:type="auto"/>
          </w:tcPr>
          <w:p w14:paraId="2CA0C528" w14:textId="77777777" w:rsidR="00BA28F0" w:rsidRDefault="00000000">
            <w:pPr>
              <w:pStyle w:val="Compact"/>
            </w:pPr>
            <w:r>
              <w:rPr>
                <w:b/>
              </w:rPr>
              <w:t>R-03</w:t>
            </w:r>
          </w:p>
        </w:tc>
        <w:tc>
          <w:tcPr>
            <w:tcW w:w="0" w:type="auto"/>
          </w:tcPr>
          <w:p w14:paraId="2EB85C7C" w14:textId="77777777" w:rsidR="00BA28F0" w:rsidRDefault="00000000">
            <w:pPr>
              <w:pStyle w:val="Compact"/>
            </w:pPr>
            <w:r>
              <w:rPr>
                <w:b/>
              </w:rPr>
              <w:t>Business logic extraction from the mediation layer (mandatory)</w:t>
            </w:r>
          </w:p>
        </w:tc>
        <w:tc>
          <w:tcPr>
            <w:tcW w:w="0" w:type="auto"/>
          </w:tcPr>
          <w:p w14:paraId="71C0C96D" w14:textId="77777777" w:rsidR="00BA28F0" w:rsidRDefault="00000000">
            <w:pPr>
              <w:pStyle w:val="Compact"/>
            </w:pPr>
            <w:r>
              <w:t>The Vendor shall identify the business rules currently embedded in ESB orchestration flows and move them into owned, unit-tested service code behind stable interfaces. Every rule shall be catalogued and traced to its new location. Extraction shall be incremental and reversible. This workstream is the core of the programme.</w:t>
            </w:r>
          </w:p>
        </w:tc>
      </w:tr>
      <w:tr w:rsidR="00BA28F0" w14:paraId="5528B828" w14:textId="77777777">
        <w:tc>
          <w:tcPr>
            <w:tcW w:w="0" w:type="auto"/>
          </w:tcPr>
          <w:p w14:paraId="68209FA7" w14:textId="77777777" w:rsidR="00BA28F0" w:rsidRDefault="00000000">
            <w:pPr>
              <w:pStyle w:val="Compact"/>
            </w:pPr>
            <w:r>
              <w:rPr>
                <w:b/>
              </w:rPr>
              <w:t>R-04</w:t>
            </w:r>
          </w:p>
        </w:tc>
        <w:tc>
          <w:tcPr>
            <w:tcW w:w="0" w:type="auto"/>
          </w:tcPr>
          <w:p w14:paraId="4699BAA9" w14:textId="77777777" w:rsidR="00BA28F0" w:rsidRDefault="00000000">
            <w:pPr>
              <w:pStyle w:val="Compact"/>
            </w:pPr>
            <w:r>
              <w:rPr>
                <w:b/>
              </w:rPr>
              <w:t>XQuery transformation migration</w:t>
            </w:r>
          </w:p>
        </w:tc>
        <w:tc>
          <w:tcPr>
            <w:tcW w:w="0" w:type="auto"/>
          </w:tcPr>
          <w:p w14:paraId="129ABBF1" w14:textId="77777777" w:rsidR="00BA28F0" w:rsidRDefault="00000000">
            <w:pPr>
              <w:pStyle w:val="Compact"/>
            </w:pPr>
            <w:r>
              <w:t>The Vendor shall replace the XQuery payload transformations with maintainable, tested code in the target stack. Transformation semantics — null handling, character encoding, numeric precision and date formatting — shall be preserved exactly, and preservation shall be evidenced by differential testing against production-shaped payloads.</w:t>
            </w:r>
          </w:p>
        </w:tc>
      </w:tr>
      <w:tr w:rsidR="00BA28F0" w14:paraId="00438FBF" w14:textId="77777777">
        <w:tc>
          <w:tcPr>
            <w:tcW w:w="0" w:type="auto"/>
          </w:tcPr>
          <w:p w14:paraId="162DCBCC" w14:textId="77777777" w:rsidR="00BA28F0" w:rsidRDefault="00000000">
            <w:pPr>
              <w:pStyle w:val="Compact"/>
            </w:pPr>
            <w:r>
              <w:rPr>
                <w:b/>
              </w:rPr>
              <w:t>R-05</w:t>
            </w:r>
          </w:p>
        </w:tc>
        <w:tc>
          <w:tcPr>
            <w:tcW w:w="0" w:type="auto"/>
          </w:tcPr>
          <w:p w14:paraId="75F00ED9" w14:textId="77777777" w:rsidR="00BA28F0" w:rsidRDefault="00000000">
            <w:pPr>
              <w:pStyle w:val="Compact"/>
            </w:pPr>
            <w:r>
              <w:rPr>
                <w:b/>
              </w:rPr>
              <w:t>Orchestration, mediation and event semantics</w:t>
            </w:r>
          </w:p>
        </w:tc>
        <w:tc>
          <w:tcPr>
            <w:tcW w:w="0" w:type="auto"/>
          </w:tcPr>
          <w:p w14:paraId="15768E73" w14:textId="77777777" w:rsidR="00BA28F0" w:rsidRDefault="00000000">
            <w:pPr>
              <w:pStyle w:val="Compact"/>
            </w:pPr>
            <w:r>
              <w:t>The Vendor shall re-implement the orchestration and mediation flows as explicit, observable service compositions with defined timeout, retry, idempotency and compensation semantics, and shall make event consumers idempotent, with dead-letter handling and replay. Current flows rely on implicit ESB defaults that are not documented, and current consumers assume delivery semantics that the platform does not in fact guarantee under failure. Flows that serve both the shopper and the merchant side shall be identified before cutover, because they cannot be migrated on the schedule of one audience alone.</w:t>
            </w:r>
          </w:p>
        </w:tc>
      </w:tr>
      <w:tr w:rsidR="00BA28F0" w14:paraId="04CEEE99" w14:textId="77777777">
        <w:tc>
          <w:tcPr>
            <w:tcW w:w="0" w:type="auto"/>
          </w:tcPr>
          <w:p w14:paraId="3AEE4E2E" w14:textId="77777777" w:rsidR="00BA28F0" w:rsidRDefault="00000000">
            <w:pPr>
              <w:pStyle w:val="Compact"/>
            </w:pPr>
            <w:r>
              <w:rPr>
                <w:b/>
              </w:rPr>
              <w:t>R-06</w:t>
            </w:r>
          </w:p>
        </w:tc>
        <w:tc>
          <w:tcPr>
            <w:tcW w:w="0" w:type="auto"/>
          </w:tcPr>
          <w:p w14:paraId="633A129A" w14:textId="77777777" w:rsidR="00BA28F0" w:rsidRDefault="00000000">
            <w:pPr>
              <w:pStyle w:val="Compact"/>
            </w:pPr>
            <w:r>
              <w:rPr>
                <w:b/>
              </w:rPr>
              <w:t>API modernisation and contract lifecycle (shopper and merchant)</w:t>
            </w:r>
          </w:p>
        </w:tc>
        <w:tc>
          <w:tcPr>
            <w:tcW w:w="0" w:type="auto"/>
          </w:tcPr>
          <w:p w14:paraId="45E888A5" w14:textId="77777777" w:rsidR="00BA28F0" w:rsidRDefault="00000000">
            <w:pPr>
              <w:pStyle w:val="Compact"/>
            </w:pPr>
            <w:r>
              <w:t>The Vendor shall rationalise both published surfaces of the in-scope modules, introducing a consistent error model, consistent pagination, versioning, idempotency keys and a formal deprecation lifecycle, so that newer clients can consume modern contracts. The two surfaces serve different consumer populations and therefore allow different latitude for change; they shall be treated as separate tracks governed by a shared standard. The impact on existing integrations is to be assessed.</w:t>
            </w:r>
          </w:p>
        </w:tc>
      </w:tr>
      <w:tr w:rsidR="00BA28F0" w14:paraId="63094409" w14:textId="77777777">
        <w:tc>
          <w:tcPr>
            <w:tcW w:w="0" w:type="auto"/>
          </w:tcPr>
          <w:p w14:paraId="11A41018" w14:textId="77777777" w:rsidR="00BA28F0" w:rsidRDefault="00000000">
            <w:pPr>
              <w:pStyle w:val="Compact"/>
            </w:pPr>
            <w:r>
              <w:rPr>
                <w:b/>
              </w:rPr>
              <w:t>R-07</w:t>
            </w:r>
          </w:p>
        </w:tc>
        <w:tc>
          <w:tcPr>
            <w:tcW w:w="0" w:type="auto"/>
          </w:tcPr>
          <w:p w14:paraId="5E0A1826" w14:textId="77777777" w:rsidR="00BA28F0" w:rsidRDefault="00000000">
            <w:pPr>
              <w:pStyle w:val="Compact"/>
            </w:pPr>
            <w:r>
              <w:rPr>
                <w:b/>
              </w:rPr>
              <w:t>Automated regression safety net (mandatory)</w:t>
            </w:r>
          </w:p>
        </w:tc>
        <w:tc>
          <w:tcPr>
            <w:tcW w:w="0" w:type="auto"/>
          </w:tcPr>
          <w:p w14:paraId="444D42D2" w14:textId="77777777" w:rsidR="00BA28F0" w:rsidRDefault="00000000">
            <w:pPr>
              <w:pStyle w:val="Compact"/>
            </w:pPr>
            <w:r>
              <w:t xml:space="preserve">The Vendor shall build the test automation capability on which the programme depends: unit, integration, contract and end-to-end regression executing in the pipeline, reaching a target of </w:t>
            </w:r>
            <w:r>
              <w:rPr>
                <w:b/>
              </w:rPr>
              <w:t>70% line coverage and 85% branch coverage on refactored code paths</w:t>
            </w:r>
            <w:r>
              <w:t>. The workstream also includes remediating the reliability of the existing suite, so that its results become trustworthy. No refactoring workstream shall proceed ahead of its safety net.</w:t>
            </w:r>
          </w:p>
        </w:tc>
      </w:tr>
      <w:tr w:rsidR="00BA28F0" w14:paraId="1954C0A9" w14:textId="77777777">
        <w:tc>
          <w:tcPr>
            <w:tcW w:w="0" w:type="auto"/>
          </w:tcPr>
          <w:p w14:paraId="7583EDA0" w14:textId="77777777" w:rsidR="00BA28F0" w:rsidRDefault="00000000">
            <w:pPr>
              <w:pStyle w:val="Compact"/>
            </w:pPr>
            <w:r>
              <w:rPr>
                <w:b/>
              </w:rPr>
              <w:lastRenderedPageBreak/>
              <w:t>R-08</w:t>
            </w:r>
          </w:p>
        </w:tc>
        <w:tc>
          <w:tcPr>
            <w:tcW w:w="0" w:type="auto"/>
          </w:tcPr>
          <w:p w14:paraId="61400397" w14:textId="77777777" w:rsidR="00BA28F0" w:rsidRDefault="00000000">
            <w:pPr>
              <w:pStyle w:val="Compact"/>
            </w:pPr>
            <w:r>
              <w:rPr>
                <w:b/>
              </w:rPr>
              <w:t>Data access, persistence and state remediation</w:t>
            </w:r>
          </w:p>
        </w:tc>
        <w:tc>
          <w:tcPr>
            <w:tcW w:w="0" w:type="auto"/>
          </w:tcPr>
          <w:p w14:paraId="6FD6AA6B" w14:textId="77777777" w:rsidR="00BA28F0" w:rsidRDefault="00000000">
            <w:pPr>
              <w:pStyle w:val="Compact"/>
            </w:pPr>
            <w:r>
              <w:t>The Vendor shall consolidate data access patterns, remove engine-specific SQL where it blocks portability, address the N+1 and long-transaction hotspots on the order path, introduce schema migration tooling, and externalise HTTP session state so that services can be scaled and replaced independently. Some stored procedural logic on the order path encodes business rules, and those rules shall first be catalogued under R-03. The in-memory store currently serves as both application cache and session store, with no separation of concerns and no distinction in eviction policy.</w:t>
            </w:r>
          </w:p>
        </w:tc>
      </w:tr>
      <w:tr w:rsidR="00BA28F0" w14:paraId="06CDCDEC" w14:textId="77777777">
        <w:tc>
          <w:tcPr>
            <w:tcW w:w="0" w:type="auto"/>
          </w:tcPr>
          <w:p w14:paraId="636FDB8C" w14:textId="77777777" w:rsidR="00BA28F0" w:rsidRDefault="00000000">
            <w:pPr>
              <w:pStyle w:val="Compact"/>
            </w:pPr>
            <w:r>
              <w:rPr>
                <w:b/>
              </w:rPr>
              <w:t>R-09</w:t>
            </w:r>
          </w:p>
        </w:tc>
        <w:tc>
          <w:tcPr>
            <w:tcW w:w="0" w:type="auto"/>
          </w:tcPr>
          <w:p w14:paraId="554686FD" w14:textId="77777777" w:rsidR="00BA28F0" w:rsidRDefault="00000000">
            <w:pPr>
              <w:pStyle w:val="Compact"/>
            </w:pPr>
            <w:r>
              <w:rPr>
                <w:b/>
              </w:rPr>
              <w:t>Observability uplift</w:t>
            </w:r>
          </w:p>
        </w:tc>
        <w:tc>
          <w:tcPr>
            <w:tcW w:w="0" w:type="auto"/>
          </w:tcPr>
          <w:p w14:paraId="0DB57ECA" w14:textId="77777777" w:rsidR="00BA28F0" w:rsidRDefault="00000000">
            <w:pPr>
              <w:pStyle w:val="Compact"/>
            </w:pPr>
            <w:r>
              <w:t>The Vendor shall deliver structured logging, RED metrics, and distributed tracing with correlation-ID propagation across both synchronous and asynchronous hops, together with service-level dashboards and actionable alerting. Instrumentation coverage today is partial and inconsistent between the middleware and the microservice tiers.</w:t>
            </w:r>
          </w:p>
        </w:tc>
      </w:tr>
      <w:tr w:rsidR="00BA28F0" w14:paraId="13E0BD7A" w14:textId="77777777">
        <w:tc>
          <w:tcPr>
            <w:tcW w:w="0" w:type="auto"/>
          </w:tcPr>
          <w:p w14:paraId="2061959A" w14:textId="77777777" w:rsidR="00BA28F0" w:rsidRDefault="00000000">
            <w:pPr>
              <w:pStyle w:val="Compact"/>
            </w:pPr>
            <w:r>
              <w:rPr>
                <w:b/>
              </w:rPr>
              <w:t>R-10</w:t>
            </w:r>
          </w:p>
        </w:tc>
        <w:tc>
          <w:tcPr>
            <w:tcW w:w="0" w:type="auto"/>
          </w:tcPr>
          <w:p w14:paraId="5AB4F7A1" w14:textId="77777777" w:rsidR="00BA28F0" w:rsidRDefault="00000000">
            <w:pPr>
              <w:pStyle w:val="Compact"/>
            </w:pPr>
            <w:r>
              <w:rPr>
                <w:b/>
              </w:rPr>
              <w:t>Performance and capacity engineering</w:t>
            </w:r>
          </w:p>
        </w:tc>
        <w:tc>
          <w:tcPr>
            <w:tcW w:w="0" w:type="auto"/>
          </w:tcPr>
          <w:p w14:paraId="6B8CCEA7" w14:textId="77777777" w:rsidR="00BA28F0" w:rsidRDefault="00000000">
            <w:pPr>
              <w:pStyle w:val="Compact"/>
            </w:pPr>
            <w:r>
              <w:t>The Vendor shall establish a repeatable performance-test capability using production-shaped data, and shall baseline every refactored interface both before and after change — shopper-facing paths under campaign-shaped load profiles, merchant-facing paths under bulk-operation profiles — and support campaign readiness verification. The workstream includes capacity modelling for peak events.</w:t>
            </w:r>
          </w:p>
        </w:tc>
      </w:tr>
      <w:tr w:rsidR="00BA28F0" w14:paraId="6DE5DA25" w14:textId="77777777">
        <w:tc>
          <w:tcPr>
            <w:tcW w:w="0" w:type="auto"/>
          </w:tcPr>
          <w:p w14:paraId="2FD1BEDF" w14:textId="77777777" w:rsidR="00BA28F0" w:rsidRDefault="00000000">
            <w:pPr>
              <w:pStyle w:val="Compact"/>
            </w:pPr>
            <w:r>
              <w:rPr>
                <w:b/>
              </w:rPr>
              <w:t>R-11</w:t>
            </w:r>
          </w:p>
        </w:tc>
        <w:tc>
          <w:tcPr>
            <w:tcW w:w="0" w:type="auto"/>
          </w:tcPr>
          <w:p w14:paraId="1C944AC7" w14:textId="77777777" w:rsidR="00BA28F0" w:rsidRDefault="00000000">
            <w:pPr>
              <w:pStyle w:val="Compact"/>
            </w:pPr>
            <w:r>
              <w:rPr>
                <w:b/>
              </w:rPr>
              <w:t>Security remediation and hardening (mandatory)</w:t>
            </w:r>
          </w:p>
        </w:tc>
        <w:tc>
          <w:tcPr>
            <w:tcW w:w="0" w:type="auto"/>
          </w:tcPr>
          <w:p w14:paraId="00057F00" w14:textId="77777777" w:rsidR="00BA28F0" w:rsidRDefault="00000000">
            <w:pPr>
              <w:pStyle w:val="Compact"/>
            </w:pPr>
            <w:r>
              <w:t>The Vendor shall threat model each bounded context as it is refactored; remediate those findings in JNGC’s existing security backlog that fall within Vendor scope (61 findings are open within ECX scope, of which 9 are rated high — see Appendix A.2); integrate SAST, DAST, SCA and secret scanning into the pipelines; remove hard-coded credentials and legacy cryptographic usage; and enforce least-privilege service identity.</w:t>
            </w:r>
          </w:p>
        </w:tc>
      </w:tr>
    </w:tbl>
    <w:p w14:paraId="25EEB1A9" w14:textId="13E43566" w:rsidR="00BA28F0" w:rsidRDefault="00000000">
      <w:pPr>
        <w:pStyle w:val="BodyText"/>
      </w:pPr>
      <w:r>
        <w:rPr>
          <w:b/>
        </w:rPr>
        <w:t>Explicitly out of refactoring scope this term</w:t>
      </w:r>
      <w:r w:rsidR="00CA5E4D">
        <w:rPr>
          <w:b/>
        </w:rPr>
        <w:t>:</w:t>
      </w:r>
      <w:r>
        <w:t xml:space="preserve"> The following work is excluded: decomposition of the middleware application engine into bounded-context services; migration of the remaining JavaEE workloads off the legacy application server; consolidation of the duplicated gateway-tier and middleware-tier policy; and any documentation or knowledge-asset programme beyond the material each workstream produces as it proceeds. These items remain on our roadmap and may be tendered separately at a later date. Proponents shall not price them, and shall record their exclusion in the out-of-scope statement required by Section 15.3.</w:t>
      </w:r>
    </w:p>
    <w:p w14:paraId="5122572B" w14:textId="57C32E55" w:rsidR="00BA28F0" w:rsidRDefault="00000000">
      <w:pPr>
        <w:pStyle w:val="BodyText"/>
      </w:pPr>
      <w:r>
        <w:rPr>
          <w:b/>
        </w:rPr>
        <w:t>Continuing business delivery</w:t>
      </w:r>
      <w:r w:rsidR="00CA5E4D">
        <w:rPr>
          <w:b/>
        </w:rPr>
        <w:t>:</w:t>
      </w:r>
      <w:r>
        <w:t xml:space="preserve"> In parallel with R-01 to R-11, the ODC absorbs the ECX business backlog across the </w:t>
      </w:r>
      <w:r>
        <w:rPr>
          <w:b/>
        </w:rPr>
        <w:t>whole</w:t>
      </w:r>
      <w:r>
        <w:t xml:space="preserve"> estate — in-scope and supported modules alike. That backlog comprises new shopper-facing and merchant-facing capabilities, new partner integrations, campaign-mechanic support and channel expansion. Our planning assumption is that this work consumes a material share of ODC capacity throughout the term; Appendix A.3 records the historic throughput that the team must sustain. Proponents shall state the split they have assumed between refactoring and business delivery, and shall explain how that split is governed when the two compete for the same capacity.</w:t>
      </w:r>
    </w:p>
    <w:p w14:paraId="2D76DDFF" w14:textId="77777777" w:rsidR="00BA28F0" w:rsidRDefault="00000000">
      <w:pPr>
        <w:pStyle w:val="Heading1"/>
      </w:pPr>
      <w:bookmarkStart w:id="26" w:name="X4752284fe1e533023bc3beef5c466eae2256f3f"/>
      <w:r>
        <w:t>Appendix C — Technology Inventory (Current State)</w:t>
      </w:r>
      <w:bookmarkEnd w:id="26"/>
    </w:p>
    <w:tbl>
      <w:tblPr>
        <w:tblStyle w:val="Table"/>
        <w:tblW w:w="5000" w:type="pct"/>
        <w:tblLook w:val="07E0" w:firstRow="1" w:lastRow="1" w:firstColumn="1" w:lastColumn="1" w:noHBand="1" w:noVBand="1"/>
      </w:tblPr>
      <w:tblGrid>
        <w:gridCol w:w="1620"/>
        <w:gridCol w:w="4683"/>
        <w:gridCol w:w="3551"/>
      </w:tblGrid>
      <w:tr w:rsidR="00BA28F0" w14:paraId="41E0DE56" w14:textId="77777777">
        <w:trPr>
          <w:tblHeader/>
        </w:trPr>
        <w:tc>
          <w:tcPr>
            <w:tcW w:w="0" w:type="auto"/>
            <w:tcBorders>
              <w:bottom w:val="single" w:sz="0" w:space="0" w:color="auto"/>
            </w:tcBorders>
            <w:vAlign w:val="bottom"/>
          </w:tcPr>
          <w:p w14:paraId="442F3D27" w14:textId="77777777" w:rsidR="00BA28F0" w:rsidRDefault="00000000">
            <w:pPr>
              <w:pStyle w:val="Compact"/>
            </w:pPr>
            <w:r>
              <w:t>Layer</w:t>
            </w:r>
          </w:p>
        </w:tc>
        <w:tc>
          <w:tcPr>
            <w:tcW w:w="0" w:type="auto"/>
            <w:tcBorders>
              <w:bottom w:val="single" w:sz="0" w:space="0" w:color="auto"/>
            </w:tcBorders>
            <w:vAlign w:val="bottom"/>
          </w:tcPr>
          <w:p w14:paraId="6349DFE0" w14:textId="77777777" w:rsidR="00BA28F0" w:rsidRDefault="00000000">
            <w:pPr>
              <w:pStyle w:val="Compact"/>
            </w:pPr>
            <w:r>
              <w:t>In use today</w:t>
            </w:r>
          </w:p>
        </w:tc>
        <w:tc>
          <w:tcPr>
            <w:tcW w:w="0" w:type="auto"/>
            <w:tcBorders>
              <w:bottom w:val="single" w:sz="0" w:space="0" w:color="auto"/>
            </w:tcBorders>
            <w:vAlign w:val="bottom"/>
          </w:tcPr>
          <w:p w14:paraId="241E84FF" w14:textId="77777777" w:rsidR="00BA28F0" w:rsidRDefault="00000000">
            <w:pPr>
              <w:pStyle w:val="Compact"/>
            </w:pPr>
            <w:r>
              <w:t>Direction</w:t>
            </w:r>
          </w:p>
        </w:tc>
      </w:tr>
      <w:tr w:rsidR="00BA28F0" w14:paraId="0049D57C" w14:textId="77777777">
        <w:tc>
          <w:tcPr>
            <w:tcW w:w="0" w:type="auto"/>
          </w:tcPr>
          <w:p w14:paraId="6ABE6FD1" w14:textId="77777777" w:rsidR="00BA28F0" w:rsidRDefault="00000000">
            <w:pPr>
              <w:pStyle w:val="Compact"/>
            </w:pPr>
            <w:r>
              <w:rPr>
                <w:b/>
              </w:rPr>
              <w:t>Language / runtime</w:t>
            </w:r>
          </w:p>
        </w:tc>
        <w:tc>
          <w:tcPr>
            <w:tcW w:w="0" w:type="auto"/>
          </w:tcPr>
          <w:p w14:paraId="26D49851" w14:textId="77777777" w:rsidR="00BA28F0" w:rsidRDefault="00000000">
            <w:pPr>
              <w:pStyle w:val="Compact"/>
            </w:pPr>
            <w:r>
              <w:t>Java (mixed versions across the estate, including versions no longer under active support), JavaEE</w:t>
            </w:r>
          </w:p>
        </w:tc>
        <w:tc>
          <w:tcPr>
            <w:tcW w:w="0" w:type="auto"/>
          </w:tcPr>
          <w:p w14:paraId="44E42AC6" w14:textId="77777777" w:rsidR="00BA28F0" w:rsidRDefault="00000000">
            <w:pPr>
              <w:pStyle w:val="Compact"/>
            </w:pPr>
            <w:r>
              <w:t xml:space="preserve">Consolidate on current Java LTS — </w:t>
            </w:r>
            <w:r>
              <w:rPr>
                <w:b/>
              </w:rPr>
              <w:t>not in this term’s scope</w:t>
            </w:r>
          </w:p>
        </w:tc>
      </w:tr>
      <w:tr w:rsidR="00BA28F0" w14:paraId="1E32853A" w14:textId="77777777">
        <w:tc>
          <w:tcPr>
            <w:tcW w:w="0" w:type="auto"/>
          </w:tcPr>
          <w:p w14:paraId="2B8FAA93" w14:textId="77777777" w:rsidR="00BA28F0" w:rsidRDefault="00000000">
            <w:pPr>
              <w:pStyle w:val="Compact"/>
            </w:pPr>
            <w:r>
              <w:rPr>
                <w:b/>
              </w:rPr>
              <w:t>Application frameworks</w:t>
            </w:r>
          </w:p>
        </w:tc>
        <w:tc>
          <w:tcPr>
            <w:tcW w:w="0" w:type="auto"/>
          </w:tcPr>
          <w:p w14:paraId="418F898B" w14:textId="77777777" w:rsidR="00BA28F0" w:rsidRDefault="00000000">
            <w:pPr>
              <w:pStyle w:val="Compact"/>
            </w:pPr>
            <w:r>
              <w:t>Spring, Spring Cloud, Spring Integration, Spring WebFlux</w:t>
            </w:r>
          </w:p>
        </w:tc>
        <w:tc>
          <w:tcPr>
            <w:tcW w:w="0" w:type="auto"/>
          </w:tcPr>
          <w:p w14:paraId="3A9C6DF1" w14:textId="77777777" w:rsidR="00BA28F0" w:rsidRDefault="00000000">
            <w:pPr>
              <w:pStyle w:val="Compact"/>
            </w:pPr>
            <w:r>
              <w:t>Retain as-is</w:t>
            </w:r>
          </w:p>
        </w:tc>
      </w:tr>
      <w:tr w:rsidR="00BA28F0" w14:paraId="6297125B" w14:textId="77777777">
        <w:tc>
          <w:tcPr>
            <w:tcW w:w="0" w:type="auto"/>
          </w:tcPr>
          <w:p w14:paraId="132DD146" w14:textId="77777777" w:rsidR="00BA28F0" w:rsidRDefault="00000000">
            <w:pPr>
              <w:pStyle w:val="Compact"/>
            </w:pPr>
            <w:r>
              <w:rPr>
                <w:b/>
              </w:rPr>
              <w:t>Application servers</w:t>
            </w:r>
          </w:p>
        </w:tc>
        <w:tc>
          <w:tcPr>
            <w:tcW w:w="0" w:type="auto"/>
          </w:tcPr>
          <w:p w14:paraId="5FC21DAE" w14:textId="77777777" w:rsidR="00BA28F0" w:rsidRDefault="00000000">
            <w:pPr>
              <w:pStyle w:val="Compact"/>
            </w:pPr>
            <w:r>
              <w:t>Oracle WebLogic, Apache Tomcat</w:t>
            </w:r>
          </w:p>
        </w:tc>
        <w:tc>
          <w:tcPr>
            <w:tcW w:w="0" w:type="auto"/>
          </w:tcPr>
          <w:p w14:paraId="34F97F58" w14:textId="77777777" w:rsidR="00BA28F0" w:rsidRDefault="00000000">
            <w:pPr>
              <w:pStyle w:val="Compact"/>
            </w:pPr>
            <w:r>
              <w:t>WebLogic retiring</w:t>
            </w:r>
          </w:p>
        </w:tc>
      </w:tr>
      <w:tr w:rsidR="00BA28F0" w14:paraId="365E3370" w14:textId="77777777">
        <w:tc>
          <w:tcPr>
            <w:tcW w:w="0" w:type="auto"/>
          </w:tcPr>
          <w:p w14:paraId="58A82086" w14:textId="77777777" w:rsidR="00BA28F0" w:rsidRDefault="00000000">
            <w:pPr>
              <w:pStyle w:val="Compact"/>
            </w:pPr>
            <w:r>
              <w:rPr>
                <w:b/>
              </w:rPr>
              <w:t>Integration / ESB</w:t>
            </w:r>
          </w:p>
        </w:tc>
        <w:tc>
          <w:tcPr>
            <w:tcW w:w="0" w:type="auto"/>
          </w:tcPr>
          <w:p w14:paraId="44F48AFF" w14:textId="77777777" w:rsidR="00BA28F0" w:rsidRDefault="00000000">
            <w:pPr>
              <w:pStyle w:val="Compact"/>
            </w:pPr>
            <w:r>
              <w:t>MuleSoft ESB, Oracle Service Bus</w:t>
            </w:r>
          </w:p>
        </w:tc>
        <w:tc>
          <w:tcPr>
            <w:tcW w:w="0" w:type="auto"/>
          </w:tcPr>
          <w:p w14:paraId="74853C10" w14:textId="77777777" w:rsidR="00BA28F0" w:rsidRDefault="00000000">
            <w:pPr>
              <w:pStyle w:val="Compact"/>
            </w:pPr>
            <w:r>
              <w:rPr>
                <w:b/>
              </w:rPr>
              <w:t>Retiring</w:t>
            </w:r>
          </w:p>
        </w:tc>
      </w:tr>
      <w:tr w:rsidR="00BA28F0" w14:paraId="10635C62" w14:textId="77777777">
        <w:tc>
          <w:tcPr>
            <w:tcW w:w="0" w:type="auto"/>
          </w:tcPr>
          <w:p w14:paraId="56E832D1" w14:textId="77777777" w:rsidR="00BA28F0" w:rsidRDefault="00000000">
            <w:pPr>
              <w:pStyle w:val="Compact"/>
            </w:pPr>
            <w:r>
              <w:rPr>
                <w:b/>
              </w:rPr>
              <w:t>Transformation</w:t>
            </w:r>
          </w:p>
        </w:tc>
        <w:tc>
          <w:tcPr>
            <w:tcW w:w="0" w:type="auto"/>
          </w:tcPr>
          <w:p w14:paraId="24F261AE" w14:textId="77777777" w:rsidR="00BA28F0" w:rsidRDefault="00000000">
            <w:pPr>
              <w:pStyle w:val="Compact"/>
            </w:pPr>
            <w:r>
              <w:t>XQuery</w:t>
            </w:r>
          </w:p>
        </w:tc>
        <w:tc>
          <w:tcPr>
            <w:tcW w:w="0" w:type="auto"/>
          </w:tcPr>
          <w:p w14:paraId="019A1D51" w14:textId="77777777" w:rsidR="00BA28F0" w:rsidRDefault="00000000">
            <w:pPr>
              <w:pStyle w:val="Compact"/>
            </w:pPr>
            <w:r>
              <w:rPr>
                <w:b/>
              </w:rPr>
              <w:t>Retiring</w:t>
            </w:r>
          </w:p>
        </w:tc>
      </w:tr>
      <w:tr w:rsidR="00BA28F0" w14:paraId="7D1B0F39" w14:textId="77777777">
        <w:tc>
          <w:tcPr>
            <w:tcW w:w="0" w:type="auto"/>
          </w:tcPr>
          <w:p w14:paraId="4EDBD8AB" w14:textId="77777777" w:rsidR="00BA28F0" w:rsidRDefault="00000000">
            <w:pPr>
              <w:pStyle w:val="Compact"/>
            </w:pPr>
            <w:r>
              <w:rPr>
                <w:b/>
              </w:rPr>
              <w:t>API styles</w:t>
            </w:r>
          </w:p>
        </w:tc>
        <w:tc>
          <w:tcPr>
            <w:tcW w:w="0" w:type="auto"/>
          </w:tcPr>
          <w:p w14:paraId="6313FEE2" w14:textId="77777777" w:rsidR="00BA28F0" w:rsidRDefault="00000000">
            <w:pPr>
              <w:pStyle w:val="Compact"/>
            </w:pPr>
            <w:r>
              <w:t>REST, GraphQL, SOAP</w:t>
            </w:r>
          </w:p>
        </w:tc>
        <w:tc>
          <w:tcPr>
            <w:tcW w:w="0" w:type="auto"/>
          </w:tcPr>
          <w:p w14:paraId="112615B2" w14:textId="77777777" w:rsidR="00BA28F0" w:rsidRDefault="00000000">
            <w:pPr>
              <w:pStyle w:val="Compact"/>
            </w:pPr>
            <w:r>
              <w:t>REST and GraphQL forward; SOAP retiring</w:t>
            </w:r>
          </w:p>
        </w:tc>
      </w:tr>
      <w:tr w:rsidR="00BA28F0" w14:paraId="7200B63D" w14:textId="77777777">
        <w:tc>
          <w:tcPr>
            <w:tcW w:w="0" w:type="auto"/>
          </w:tcPr>
          <w:p w14:paraId="1223FB71" w14:textId="77777777" w:rsidR="00BA28F0" w:rsidRDefault="00000000">
            <w:pPr>
              <w:pStyle w:val="Compact"/>
            </w:pPr>
            <w:r>
              <w:rPr>
                <w:b/>
              </w:rPr>
              <w:t>Edge / proxy</w:t>
            </w:r>
          </w:p>
        </w:tc>
        <w:tc>
          <w:tcPr>
            <w:tcW w:w="0" w:type="auto"/>
          </w:tcPr>
          <w:p w14:paraId="0971C9BD" w14:textId="77777777" w:rsidR="00BA28F0" w:rsidRDefault="00000000">
            <w:pPr>
              <w:pStyle w:val="Compact"/>
            </w:pPr>
            <w:r>
              <w:t>NGINX</w:t>
            </w:r>
          </w:p>
        </w:tc>
        <w:tc>
          <w:tcPr>
            <w:tcW w:w="0" w:type="auto"/>
          </w:tcPr>
          <w:p w14:paraId="6D55072A" w14:textId="77777777" w:rsidR="00BA28F0" w:rsidRDefault="00000000">
            <w:pPr>
              <w:pStyle w:val="Compact"/>
            </w:pPr>
            <w:r>
              <w:t>Retain</w:t>
            </w:r>
          </w:p>
        </w:tc>
      </w:tr>
      <w:tr w:rsidR="00BA28F0" w14:paraId="7275D875" w14:textId="77777777">
        <w:tc>
          <w:tcPr>
            <w:tcW w:w="0" w:type="auto"/>
          </w:tcPr>
          <w:p w14:paraId="205C363A" w14:textId="77777777" w:rsidR="00BA28F0" w:rsidRDefault="00000000">
            <w:pPr>
              <w:pStyle w:val="Compact"/>
            </w:pPr>
            <w:r>
              <w:rPr>
                <w:b/>
              </w:rPr>
              <w:t>Messaging / streaming</w:t>
            </w:r>
          </w:p>
        </w:tc>
        <w:tc>
          <w:tcPr>
            <w:tcW w:w="0" w:type="auto"/>
          </w:tcPr>
          <w:p w14:paraId="0C99107C" w14:textId="77777777" w:rsidR="00BA28F0" w:rsidRDefault="00000000">
            <w:pPr>
              <w:pStyle w:val="Compact"/>
            </w:pPr>
            <w:r>
              <w:t>Apache Kafka</w:t>
            </w:r>
          </w:p>
        </w:tc>
        <w:tc>
          <w:tcPr>
            <w:tcW w:w="0" w:type="auto"/>
          </w:tcPr>
          <w:p w14:paraId="671A2E79" w14:textId="77777777" w:rsidR="00BA28F0" w:rsidRDefault="00000000">
            <w:pPr>
              <w:pStyle w:val="Compact"/>
            </w:pPr>
            <w:r>
              <w:t>Retain, remediate semantics</w:t>
            </w:r>
          </w:p>
        </w:tc>
      </w:tr>
      <w:tr w:rsidR="00BA28F0" w14:paraId="6532786D" w14:textId="77777777">
        <w:tc>
          <w:tcPr>
            <w:tcW w:w="0" w:type="auto"/>
          </w:tcPr>
          <w:p w14:paraId="2DFDEE0D" w14:textId="77777777" w:rsidR="00BA28F0" w:rsidRDefault="00000000">
            <w:pPr>
              <w:pStyle w:val="Compact"/>
            </w:pPr>
            <w:r>
              <w:rPr>
                <w:b/>
              </w:rPr>
              <w:t>Caching / session</w:t>
            </w:r>
          </w:p>
        </w:tc>
        <w:tc>
          <w:tcPr>
            <w:tcW w:w="0" w:type="auto"/>
          </w:tcPr>
          <w:p w14:paraId="01A231C8" w14:textId="77777777" w:rsidR="00BA28F0" w:rsidRDefault="00000000">
            <w:pPr>
              <w:pStyle w:val="Compact"/>
            </w:pPr>
            <w:r>
              <w:t>Redis</w:t>
            </w:r>
          </w:p>
        </w:tc>
        <w:tc>
          <w:tcPr>
            <w:tcW w:w="0" w:type="auto"/>
          </w:tcPr>
          <w:p w14:paraId="465C7CF4" w14:textId="77777777" w:rsidR="00BA28F0" w:rsidRDefault="00000000">
            <w:pPr>
              <w:pStyle w:val="Compact"/>
            </w:pPr>
            <w:r>
              <w:t>Retain, separate concerns</w:t>
            </w:r>
          </w:p>
        </w:tc>
      </w:tr>
      <w:tr w:rsidR="00BA28F0" w14:paraId="460454BC" w14:textId="77777777">
        <w:tc>
          <w:tcPr>
            <w:tcW w:w="0" w:type="auto"/>
          </w:tcPr>
          <w:p w14:paraId="5C42E675" w14:textId="77777777" w:rsidR="00BA28F0" w:rsidRDefault="00000000">
            <w:pPr>
              <w:pStyle w:val="Compact"/>
            </w:pPr>
            <w:r>
              <w:rPr>
                <w:b/>
              </w:rPr>
              <w:t>Relational data</w:t>
            </w:r>
          </w:p>
        </w:tc>
        <w:tc>
          <w:tcPr>
            <w:tcW w:w="0" w:type="auto"/>
          </w:tcPr>
          <w:p w14:paraId="0D8FEFD2" w14:textId="77777777" w:rsidR="00BA28F0" w:rsidRDefault="00000000">
            <w:pPr>
              <w:pStyle w:val="Compact"/>
            </w:pPr>
            <w:r>
              <w:t>MySQL, Oracle Database, PostgreSQL</w:t>
            </w:r>
          </w:p>
        </w:tc>
        <w:tc>
          <w:tcPr>
            <w:tcW w:w="0" w:type="auto"/>
          </w:tcPr>
          <w:p w14:paraId="65F0128B" w14:textId="77777777" w:rsidR="00BA28F0" w:rsidRDefault="00000000">
            <w:pPr>
              <w:pStyle w:val="Compact"/>
            </w:pPr>
            <w:r>
              <w:t>Rationalise (R-08)</w:t>
            </w:r>
          </w:p>
        </w:tc>
      </w:tr>
      <w:tr w:rsidR="00BA28F0" w14:paraId="124FBFC3" w14:textId="77777777">
        <w:tc>
          <w:tcPr>
            <w:tcW w:w="0" w:type="auto"/>
          </w:tcPr>
          <w:p w14:paraId="2F337BE7" w14:textId="77777777" w:rsidR="00BA28F0" w:rsidRDefault="00000000">
            <w:pPr>
              <w:pStyle w:val="Compact"/>
            </w:pPr>
            <w:r>
              <w:rPr>
                <w:b/>
              </w:rPr>
              <w:lastRenderedPageBreak/>
              <w:t>Object storage</w:t>
            </w:r>
          </w:p>
        </w:tc>
        <w:tc>
          <w:tcPr>
            <w:tcW w:w="0" w:type="auto"/>
          </w:tcPr>
          <w:p w14:paraId="65250AF5" w14:textId="77777777" w:rsidR="00BA28F0" w:rsidRDefault="00000000">
            <w:pPr>
              <w:pStyle w:val="Compact"/>
            </w:pPr>
            <w:r>
              <w:t>S3-compatible object storage, MinIO, on-premises NAS</w:t>
            </w:r>
          </w:p>
        </w:tc>
        <w:tc>
          <w:tcPr>
            <w:tcW w:w="0" w:type="auto"/>
          </w:tcPr>
          <w:p w14:paraId="59224221" w14:textId="77777777" w:rsidR="00BA28F0" w:rsidRDefault="00000000">
            <w:pPr>
              <w:pStyle w:val="Compact"/>
            </w:pPr>
            <w:r>
              <w:t xml:space="preserve">Rationalise — </w:t>
            </w:r>
            <w:r>
              <w:rPr>
                <w:b/>
              </w:rPr>
              <w:t>not in this term’s scope</w:t>
            </w:r>
          </w:p>
        </w:tc>
      </w:tr>
      <w:tr w:rsidR="00BA28F0" w14:paraId="17A8F7F7" w14:textId="77777777">
        <w:tc>
          <w:tcPr>
            <w:tcW w:w="0" w:type="auto"/>
          </w:tcPr>
          <w:p w14:paraId="187C522A" w14:textId="77777777" w:rsidR="00BA28F0" w:rsidRDefault="00000000">
            <w:pPr>
              <w:pStyle w:val="Compact"/>
            </w:pPr>
            <w:r>
              <w:rPr>
                <w:b/>
              </w:rPr>
              <w:t>CI/CD</w:t>
            </w:r>
          </w:p>
        </w:tc>
        <w:tc>
          <w:tcPr>
            <w:tcW w:w="0" w:type="auto"/>
          </w:tcPr>
          <w:p w14:paraId="7468E32E" w14:textId="77777777" w:rsidR="00BA28F0" w:rsidRDefault="00000000">
            <w:pPr>
              <w:pStyle w:val="Compact"/>
            </w:pPr>
            <w:r>
              <w:t>Jenkins</w:t>
            </w:r>
          </w:p>
        </w:tc>
        <w:tc>
          <w:tcPr>
            <w:tcW w:w="0" w:type="auto"/>
          </w:tcPr>
          <w:p w14:paraId="76E05850" w14:textId="77777777" w:rsidR="00BA28F0" w:rsidRDefault="00000000">
            <w:pPr>
              <w:pStyle w:val="Compact"/>
            </w:pPr>
            <w:r>
              <w:t>JNGC-operated</w:t>
            </w:r>
          </w:p>
        </w:tc>
      </w:tr>
      <w:tr w:rsidR="00BA28F0" w14:paraId="085D80C7" w14:textId="77777777">
        <w:tc>
          <w:tcPr>
            <w:tcW w:w="0" w:type="auto"/>
          </w:tcPr>
          <w:p w14:paraId="483D7ECB" w14:textId="77777777" w:rsidR="00BA28F0" w:rsidRDefault="00000000">
            <w:pPr>
              <w:pStyle w:val="Compact"/>
            </w:pPr>
            <w:r>
              <w:rPr>
                <w:b/>
              </w:rPr>
              <w:t>Test automation</w:t>
            </w:r>
          </w:p>
        </w:tc>
        <w:tc>
          <w:tcPr>
            <w:tcW w:w="0" w:type="auto"/>
          </w:tcPr>
          <w:p w14:paraId="7A361732" w14:textId="77777777" w:rsidR="00BA28F0" w:rsidRDefault="00000000">
            <w:pPr>
              <w:pStyle w:val="Compact"/>
            </w:pPr>
            <w:r>
              <w:t>JUnit and TestNG at unit level; a Selenium-based UI suite; no contract-testing framework in use</w:t>
            </w:r>
          </w:p>
        </w:tc>
        <w:tc>
          <w:tcPr>
            <w:tcW w:w="0" w:type="auto"/>
          </w:tcPr>
          <w:p w14:paraId="0824D71F" w14:textId="77777777" w:rsidR="00BA28F0" w:rsidRDefault="00000000">
            <w:pPr>
              <w:pStyle w:val="Compact"/>
            </w:pPr>
            <w:r>
              <w:t>Vendor proposes the target toolchain (R-07)</w:t>
            </w:r>
          </w:p>
        </w:tc>
      </w:tr>
      <w:tr w:rsidR="00BA28F0" w14:paraId="1DA33935" w14:textId="77777777">
        <w:tc>
          <w:tcPr>
            <w:tcW w:w="0" w:type="auto"/>
          </w:tcPr>
          <w:p w14:paraId="062214D5" w14:textId="77777777" w:rsidR="00BA28F0" w:rsidRDefault="00000000">
            <w:pPr>
              <w:pStyle w:val="Compact"/>
            </w:pPr>
            <w:r>
              <w:rPr>
                <w:b/>
              </w:rPr>
              <w:t>Performance testing</w:t>
            </w:r>
          </w:p>
        </w:tc>
        <w:tc>
          <w:tcPr>
            <w:tcW w:w="0" w:type="auto"/>
          </w:tcPr>
          <w:p w14:paraId="6485EE3E" w14:textId="77777777" w:rsidR="00BA28F0" w:rsidRDefault="00000000">
            <w:pPr>
              <w:pStyle w:val="Compact"/>
            </w:pPr>
            <w:r>
              <w:t>JMeter scripts maintained ad hoc per campaign; no shared harness</w:t>
            </w:r>
          </w:p>
        </w:tc>
        <w:tc>
          <w:tcPr>
            <w:tcW w:w="0" w:type="auto"/>
          </w:tcPr>
          <w:p w14:paraId="0111A994" w14:textId="77777777" w:rsidR="00BA28F0" w:rsidRDefault="00000000">
            <w:pPr>
              <w:pStyle w:val="Compact"/>
            </w:pPr>
            <w:r>
              <w:t>Vendor proposes the target toolchain (R-10)</w:t>
            </w:r>
          </w:p>
        </w:tc>
      </w:tr>
      <w:tr w:rsidR="00BA28F0" w14:paraId="5889B54A" w14:textId="77777777">
        <w:tc>
          <w:tcPr>
            <w:tcW w:w="0" w:type="auto"/>
          </w:tcPr>
          <w:p w14:paraId="19D660B4" w14:textId="77777777" w:rsidR="00BA28F0" w:rsidRDefault="00000000">
            <w:pPr>
              <w:pStyle w:val="Compact"/>
            </w:pPr>
            <w:r>
              <w:rPr>
                <w:b/>
              </w:rPr>
              <w:t>Observability</w:t>
            </w:r>
          </w:p>
        </w:tc>
        <w:tc>
          <w:tcPr>
            <w:tcW w:w="0" w:type="auto"/>
          </w:tcPr>
          <w:p w14:paraId="50488C14" w14:textId="77777777" w:rsidR="00BA28F0" w:rsidRDefault="00000000">
            <w:pPr>
              <w:pStyle w:val="Compact"/>
            </w:pPr>
            <w:r>
              <w:t>Application logs to files and a central log search; host and JVM metrics only; no distributed tracing</w:t>
            </w:r>
          </w:p>
        </w:tc>
        <w:tc>
          <w:tcPr>
            <w:tcW w:w="0" w:type="auto"/>
          </w:tcPr>
          <w:p w14:paraId="0A32C3AF" w14:textId="77777777" w:rsidR="00BA28F0" w:rsidRDefault="00000000">
            <w:pPr>
              <w:pStyle w:val="Compact"/>
            </w:pPr>
            <w:r>
              <w:t>Vendor proposes the target toolchain (R-09)</w:t>
            </w:r>
          </w:p>
        </w:tc>
      </w:tr>
      <w:tr w:rsidR="00BA28F0" w14:paraId="7D08DC9E" w14:textId="77777777">
        <w:tc>
          <w:tcPr>
            <w:tcW w:w="0" w:type="auto"/>
          </w:tcPr>
          <w:p w14:paraId="35FCB1DF" w14:textId="77777777" w:rsidR="00BA28F0" w:rsidRDefault="00000000">
            <w:pPr>
              <w:pStyle w:val="Compact"/>
            </w:pPr>
            <w:r>
              <w:rPr>
                <w:b/>
              </w:rPr>
              <w:t>Security scanning</w:t>
            </w:r>
          </w:p>
        </w:tc>
        <w:tc>
          <w:tcPr>
            <w:tcW w:w="0" w:type="auto"/>
          </w:tcPr>
          <w:p w14:paraId="3A40979F" w14:textId="77777777" w:rsidR="00BA28F0" w:rsidRDefault="00000000">
            <w:pPr>
              <w:pStyle w:val="Compact"/>
            </w:pPr>
            <w:r>
              <w:t>Dependency scanning on some pipelines; no SAST, DAST or secret scanning in CI</w:t>
            </w:r>
          </w:p>
        </w:tc>
        <w:tc>
          <w:tcPr>
            <w:tcW w:w="0" w:type="auto"/>
          </w:tcPr>
          <w:p w14:paraId="5B057FE8" w14:textId="77777777" w:rsidR="00BA28F0" w:rsidRDefault="00000000">
            <w:pPr>
              <w:pStyle w:val="Compact"/>
            </w:pPr>
            <w:r>
              <w:t>Vendor proposes the target toolchain (R-11); licences procured by JNGC</w:t>
            </w:r>
          </w:p>
        </w:tc>
      </w:tr>
      <w:tr w:rsidR="00BA28F0" w14:paraId="44689C52" w14:textId="77777777">
        <w:tc>
          <w:tcPr>
            <w:tcW w:w="0" w:type="auto"/>
          </w:tcPr>
          <w:p w14:paraId="58048478" w14:textId="77777777" w:rsidR="00BA28F0" w:rsidRDefault="00000000">
            <w:pPr>
              <w:pStyle w:val="Compact"/>
            </w:pPr>
            <w:r>
              <w:rPr>
                <w:b/>
              </w:rPr>
              <w:t>Hosting</w:t>
            </w:r>
          </w:p>
        </w:tc>
        <w:tc>
          <w:tcPr>
            <w:tcW w:w="0" w:type="auto"/>
          </w:tcPr>
          <w:p w14:paraId="405ADF2A" w14:textId="77777777" w:rsidR="00BA28F0" w:rsidRDefault="00000000">
            <w:pPr>
              <w:pStyle w:val="Compact"/>
            </w:pPr>
            <w:r>
              <w:t>AWS and on-premises data centre, hybrid</w:t>
            </w:r>
          </w:p>
        </w:tc>
        <w:tc>
          <w:tcPr>
            <w:tcW w:w="0" w:type="auto"/>
          </w:tcPr>
          <w:p w14:paraId="7930137D" w14:textId="77777777" w:rsidR="00BA28F0" w:rsidRDefault="00000000">
            <w:pPr>
              <w:pStyle w:val="Compact"/>
            </w:pPr>
            <w:r>
              <w:t xml:space="preserve">Cloud-forward — </w:t>
            </w:r>
            <w:r>
              <w:rPr>
                <w:b/>
              </w:rPr>
              <w:t>not in this term’s scope</w:t>
            </w:r>
          </w:p>
        </w:tc>
      </w:tr>
      <w:tr w:rsidR="00BA28F0" w14:paraId="43D9A0D3" w14:textId="77777777">
        <w:tc>
          <w:tcPr>
            <w:tcW w:w="0" w:type="auto"/>
          </w:tcPr>
          <w:p w14:paraId="7C41BDA4" w14:textId="77777777" w:rsidR="00BA28F0" w:rsidRDefault="00000000">
            <w:pPr>
              <w:pStyle w:val="Compact"/>
            </w:pPr>
            <w:r>
              <w:rPr>
                <w:b/>
              </w:rPr>
              <w:t>Methodology</w:t>
            </w:r>
          </w:p>
        </w:tc>
        <w:tc>
          <w:tcPr>
            <w:tcW w:w="0" w:type="auto"/>
          </w:tcPr>
          <w:p w14:paraId="01154434" w14:textId="77777777" w:rsidR="00BA28F0" w:rsidRDefault="00000000">
            <w:pPr>
              <w:pStyle w:val="Compact"/>
            </w:pPr>
            <w:r>
              <w:t>Agile, two-week iterations</w:t>
            </w:r>
          </w:p>
        </w:tc>
        <w:tc>
          <w:tcPr>
            <w:tcW w:w="0" w:type="auto"/>
          </w:tcPr>
          <w:p w14:paraId="27E629AD" w14:textId="77777777" w:rsidR="00BA28F0" w:rsidRDefault="00000000">
            <w:pPr>
              <w:pStyle w:val="Compact"/>
            </w:pPr>
            <w:r>
              <w:t>Retain</w:t>
            </w:r>
          </w:p>
        </w:tc>
      </w:tr>
    </w:tbl>
    <w:p w14:paraId="0EFB8EDE" w14:textId="77777777" w:rsidR="00BA28F0" w:rsidRDefault="00000000">
      <w:pPr>
        <w:pStyle w:val="BodyText"/>
      </w:pPr>
      <w:r>
        <w:rPr>
          <w:i/>
        </w:rPr>
        <w:t>Proponents should not assume this inventory is complete. R-01 exists because it is not.</w:t>
      </w:r>
    </w:p>
    <w:p w14:paraId="63A48C19" w14:textId="77777777" w:rsidR="00BA28F0" w:rsidRDefault="00000000">
      <w:pPr>
        <w:pStyle w:val="BodyText"/>
      </w:pPr>
      <w:r>
        <w:rPr>
          <w:i/>
        </w:rPr>
        <w:t>Clarification questions are submitted in writing through the designated channel, stating the RfP section each question refers to. Answers are issued in writing to all Proponents. The quality of the questions asked is an evaluated criterion under Section 16.</w:t>
      </w:r>
    </w:p>
    <w:p w14:paraId="3A9F96CA" w14:textId="77777777" w:rsidR="00BA28F0" w:rsidRDefault="00000000">
      <w:pPr>
        <w:pStyle w:val="Heading1"/>
      </w:pPr>
      <w:bookmarkStart w:id="27" w:name="appendix-d-in-scope-module-inventory"/>
      <w:r>
        <w:t>Appendix D — In-Scope Module Inventory</w:t>
      </w:r>
      <w:bookmarkEnd w:id="27"/>
    </w:p>
    <w:p w14:paraId="176898F4" w14:textId="77777777" w:rsidR="00BA28F0" w:rsidRDefault="00000000">
      <w:pPr>
        <w:pStyle w:val="FirstParagraph"/>
      </w:pPr>
      <w:r>
        <w:rPr>
          <w:i/>
        </w:rPr>
        <w:t xml:space="preserve">This appendix covers </w:t>
      </w:r>
      <w:r>
        <w:rPr>
          <w:b/>
          <w:i/>
        </w:rPr>
        <w:t>only the seven modules in refactoring scope</w:t>
      </w:r>
      <w:r>
        <w:rPr>
          <w:i/>
        </w:rPr>
        <w:t xml:space="preserve"> (Appendix B). It is the estimating basis for R-01 … R-11. Estate-wide figures, which govern business delivery and regression of dependent modules, are in Appendix A. Figures are from our source-control and configuration-management records as at June 2026. “Ops S / M” is published operations, shopper / merchant. “Flows” shows the total with the </w:t>
      </w:r>
      <w:r>
        <w:rPr>
          <w:b/>
          <w:i/>
        </w:rPr>
        <w:t>simple / moderate / complex</w:t>
      </w:r>
      <w:r>
        <w:rPr>
          <w:i/>
        </w:rPr>
        <w:t xml:space="preserve"> split in brackets.</w:t>
      </w:r>
    </w:p>
    <w:tbl>
      <w:tblPr>
        <w:tblStyle w:val="Table"/>
        <w:tblW w:w="5000" w:type="pct"/>
        <w:tblLook w:val="07E0" w:firstRow="1" w:lastRow="1" w:firstColumn="1" w:lastColumn="1" w:noHBand="1" w:noVBand="1"/>
      </w:tblPr>
      <w:tblGrid>
        <w:gridCol w:w="2895"/>
        <w:gridCol w:w="2981"/>
        <w:gridCol w:w="548"/>
        <w:gridCol w:w="849"/>
        <w:gridCol w:w="1300"/>
        <w:gridCol w:w="788"/>
        <w:gridCol w:w="493"/>
      </w:tblGrid>
      <w:tr w:rsidR="00BA28F0" w14:paraId="7CE5FCAF" w14:textId="77777777">
        <w:trPr>
          <w:tblHeader/>
        </w:trPr>
        <w:tc>
          <w:tcPr>
            <w:tcW w:w="0" w:type="auto"/>
            <w:tcBorders>
              <w:bottom w:val="single" w:sz="0" w:space="0" w:color="auto"/>
            </w:tcBorders>
            <w:vAlign w:val="bottom"/>
          </w:tcPr>
          <w:p w14:paraId="22C08CC1" w14:textId="77777777" w:rsidR="00BA28F0" w:rsidRDefault="00000000">
            <w:pPr>
              <w:pStyle w:val="Compact"/>
            </w:pPr>
            <w:r>
              <w:t>Module</w:t>
            </w:r>
          </w:p>
        </w:tc>
        <w:tc>
          <w:tcPr>
            <w:tcW w:w="0" w:type="auto"/>
            <w:tcBorders>
              <w:bottom w:val="single" w:sz="0" w:space="0" w:color="auto"/>
            </w:tcBorders>
            <w:vAlign w:val="bottom"/>
          </w:tcPr>
          <w:p w14:paraId="4FE47FDC" w14:textId="77777777" w:rsidR="00BA28F0" w:rsidRDefault="00000000">
            <w:pPr>
              <w:pStyle w:val="Compact"/>
            </w:pPr>
            <w:r>
              <w:t>Layer — technology</w:t>
            </w:r>
          </w:p>
        </w:tc>
        <w:tc>
          <w:tcPr>
            <w:tcW w:w="0" w:type="auto"/>
            <w:tcBorders>
              <w:bottom w:val="single" w:sz="0" w:space="0" w:color="auto"/>
            </w:tcBorders>
            <w:vAlign w:val="bottom"/>
          </w:tcPr>
          <w:p w14:paraId="0C09FA29" w14:textId="77777777" w:rsidR="00BA28F0" w:rsidRDefault="00000000">
            <w:pPr>
              <w:pStyle w:val="Compact"/>
              <w:jc w:val="right"/>
            </w:pPr>
            <w:r>
              <w:t>kLOC</w:t>
            </w:r>
          </w:p>
        </w:tc>
        <w:tc>
          <w:tcPr>
            <w:tcW w:w="0" w:type="auto"/>
            <w:tcBorders>
              <w:bottom w:val="single" w:sz="0" w:space="0" w:color="auto"/>
            </w:tcBorders>
            <w:vAlign w:val="bottom"/>
          </w:tcPr>
          <w:p w14:paraId="75CEA532" w14:textId="77777777" w:rsidR="00BA28F0" w:rsidRDefault="00000000">
            <w:pPr>
              <w:pStyle w:val="Compact"/>
            </w:pPr>
            <w:r>
              <w:t>Ops S / M</w:t>
            </w:r>
          </w:p>
        </w:tc>
        <w:tc>
          <w:tcPr>
            <w:tcW w:w="0" w:type="auto"/>
            <w:tcBorders>
              <w:bottom w:val="single" w:sz="0" w:space="0" w:color="auto"/>
            </w:tcBorders>
            <w:vAlign w:val="bottom"/>
          </w:tcPr>
          <w:p w14:paraId="13A4791C" w14:textId="77777777" w:rsidR="00BA28F0" w:rsidRDefault="00000000">
            <w:pPr>
              <w:pStyle w:val="Compact"/>
            </w:pPr>
            <w:r>
              <w:t>Flows (S/M/C)</w:t>
            </w:r>
          </w:p>
        </w:tc>
        <w:tc>
          <w:tcPr>
            <w:tcW w:w="0" w:type="auto"/>
            <w:tcBorders>
              <w:bottom w:val="single" w:sz="0" w:space="0" w:color="auto"/>
            </w:tcBorders>
            <w:vAlign w:val="bottom"/>
          </w:tcPr>
          <w:p w14:paraId="27C6EA16" w14:textId="77777777" w:rsidR="00BA28F0" w:rsidRDefault="00000000">
            <w:pPr>
              <w:pStyle w:val="Compact"/>
              <w:jc w:val="right"/>
            </w:pPr>
            <w:r>
              <w:t>Schemas</w:t>
            </w:r>
          </w:p>
        </w:tc>
        <w:tc>
          <w:tcPr>
            <w:tcW w:w="0" w:type="auto"/>
            <w:tcBorders>
              <w:bottom w:val="single" w:sz="0" w:space="0" w:color="auto"/>
            </w:tcBorders>
            <w:vAlign w:val="bottom"/>
          </w:tcPr>
          <w:p w14:paraId="150F0957" w14:textId="77777777" w:rsidR="00BA28F0" w:rsidRDefault="00000000">
            <w:pPr>
              <w:pStyle w:val="Compact"/>
              <w:jc w:val="right"/>
            </w:pPr>
            <w:r>
              <w:t>Svcs</w:t>
            </w:r>
          </w:p>
        </w:tc>
      </w:tr>
      <w:tr w:rsidR="00BA28F0" w14:paraId="6CC9AA7F" w14:textId="77777777">
        <w:tc>
          <w:tcPr>
            <w:tcW w:w="0" w:type="auto"/>
          </w:tcPr>
          <w:p w14:paraId="1E1BBA9D" w14:textId="77777777" w:rsidR="00BA28F0" w:rsidRDefault="00000000">
            <w:pPr>
              <w:pStyle w:val="Compact"/>
            </w:pPr>
            <w:r>
              <w:t>Common Authentication &amp; Token Service</w:t>
            </w:r>
          </w:p>
        </w:tc>
        <w:tc>
          <w:tcPr>
            <w:tcW w:w="0" w:type="auto"/>
          </w:tcPr>
          <w:p w14:paraId="28D2E863" w14:textId="77777777" w:rsidR="00BA28F0" w:rsidRDefault="00000000">
            <w:pPr>
              <w:pStyle w:val="Compact"/>
            </w:pPr>
            <w:r>
              <w:t>Middleware — Java / Spring</w:t>
            </w:r>
          </w:p>
        </w:tc>
        <w:tc>
          <w:tcPr>
            <w:tcW w:w="0" w:type="auto"/>
          </w:tcPr>
          <w:p w14:paraId="3E29DF27" w14:textId="77777777" w:rsidR="00BA28F0" w:rsidRDefault="00000000">
            <w:pPr>
              <w:pStyle w:val="Compact"/>
              <w:jc w:val="right"/>
            </w:pPr>
            <w:r>
              <w:t>38</w:t>
            </w:r>
          </w:p>
        </w:tc>
        <w:tc>
          <w:tcPr>
            <w:tcW w:w="0" w:type="auto"/>
          </w:tcPr>
          <w:p w14:paraId="6762B60E" w14:textId="77777777" w:rsidR="00BA28F0" w:rsidRDefault="00000000">
            <w:pPr>
              <w:pStyle w:val="Compact"/>
            </w:pPr>
            <w:r>
              <w:t>—</w:t>
            </w:r>
          </w:p>
        </w:tc>
        <w:tc>
          <w:tcPr>
            <w:tcW w:w="0" w:type="auto"/>
          </w:tcPr>
          <w:p w14:paraId="50EF1D96" w14:textId="77777777" w:rsidR="00BA28F0" w:rsidRDefault="00000000">
            <w:pPr>
              <w:pStyle w:val="Compact"/>
            </w:pPr>
            <w:r>
              <w:t>12 (8/3/1)</w:t>
            </w:r>
          </w:p>
        </w:tc>
        <w:tc>
          <w:tcPr>
            <w:tcW w:w="0" w:type="auto"/>
          </w:tcPr>
          <w:p w14:paraId="004EEFEB" w14:textId="77777777" w:rsidR="00BA28F0" w:rsidRDefault="00000000">
            <w:pPr>
              <w:pStyle w:val="Compact"/>
              <w:jc w:val="right"/>
            </w:pPr>
            <w:r>
              <w:t>—</w:t>
            </w:r>
          </w:p>
        </w:tc>
        <w:tc>
          <w:tcPr>
            <w:tcW w:w="0" w:type="auto"/>
          </w:tcPr>
          <w:p w14:paraId="6F56B77A" w14:textId="77777777" w:rsidR="00BA28F0" w:rsidRDefault="00000000">
            <w:pPr>
              <w:pStyle w:val="Compact"/>
              <w:jc w:val="right"/>
            </w:pPr>
            <w:r>
              <w:t>—</w:t>
            </w:r>
          </w:p>
        </w:tc>
      </w:tr>
      <w:tr w:rsidR="00BA28F0" w14:paraId="1230198A" w14:textId="77777777">
        <w:tc>
          <w:tcPr>
            <w:tcW w:w="0" w:type="auto"/>
          </w:tcPr>
          <w:p w14:paraId="0F9EB703" w14:textId="77777777" w:rsidR="00BA28F0" w:rsidRDefault="00000000">
            <w:pPr>
              <w:pStyle w:val="Compact"/>
            </w:pPr>
            <w:r>
              <w:t>Catalogue &amp; Search Integration</w:t>
            </w:r>
          </w:p>
        </w:tc>
        <w:tc>
          <w:tcPr>
            <w:tcW w:w="0" w:type="auto"/>
          </w:tcPr>
          <w:p w14:paraId="56DF9EB8" w14:textId="77777777" w:rsidR="00BA28F0" w:rsidRDefault="00000000">
            <w:pPr>
              <w:pStyle w:val="Compact"/>
            </w:pPr>
            <w:r>
              <w:t>Middleware + services — Java, JavaEE, ESB</w:t>
            </w:r>
          </w:p>
        </w:tc>
        <w:tc>
          <w:tcPr>
            <w:tcW w:w="0" w:type="auto"/>
          </w:tcPr>
          <w:p w14:paraId="5BD8CE43" w14:textId="77777777" w:rsidR="00BA28F0" w:rsidRDefault="00000000">
            <w:pPr>
              <w:pStyle w:val="Compact"/>
              <w:jc w:val="right"/>
            </w:pPr>
            <w:r>
              <w:t>168</w:t>
            </w:r>
          </w:p>
        </w:tc>
        <w:tc>
          <w:tcPr>
            <w:tcW w:w="0" w:type="auto"/>
          </w:tcPr>
          <w:p w14:paraId="276DBCE1" w14:textId="77777777" w:rsidR="00BA28F0" w:rsidRDefault="00000000">
            <w:pPr>
              <w:pStyle w:val="Compact"/>
            </w:pPr>
            <w:r>
              <w:t>42 / 38</w:t>
            </w:r>
          </w:p>
        </w:tc>
        <w:tc>
          <w:tcPr>
            <w:tcW w:w="0" w:type="auto"/>
          </w:tcPr>
          <w:p w14:paraId="37F3C3BA" w14:textId="77777777" w:rsidR="00BA28F0" w:rsidRDefault="00000000">
            <w:pPr>
              <w:pStyle w:val="Compact"/>
            </w:pPr>
            <w:r>
              <w:t>48 (22/19/7)</w:t>
            </w:r>
          </w:p>
        </w:tc>
        <w:tc>
          <w:tcPr>
            <w:tcW w:w="0" w:type="auto"/>
          </w:tcPr>
          <w:p w14:paraId="1DA8950F" w14:textId="77777777" w:rsidR="00BA28F0" w:rsidRDefault="00000000">
            <w:pPr>
              <w:pStyle w:val="Compact"/>
              <w:jc w:val="right"/>
            </w:pPr>
            <w:r>
              <w:t>34</w:t>
            </w:r>
          </w:p>
        </w:tc>
        <w:tc>
          <w:tcPr>
            <w:tcW w:w="0" w:type="auto"/>
          </w:tcPr>
          <w:p w14:paraId="676B15CC" w14:textId="77777777" w:rsidR="00BA28F0" w:rsidRDefault="00000000">
            <w:pPr>
              <w:pStyle w:val="Compact"/>
              <w:jc w:val="right"/>
            </w:pPr>
            <w:r>
              <w:t>11</w:t>
            </w:r>
          </w:p>
        </w:tc>
      </w:tr>
      <w:tr w:rsidR="00BA28F0" w14:paraId="56EE1AFD" w14:textId="77777777">
        <w:tc>
          <w:tcPr>
            <w:tcW w:w="0" w:type="auto"/>
          </w:tcPr>
          <w:p w14:paraId="5A508239" w14:textId="77777777" w:rsidR="00BA28F0" w:rsidRDefault="00000000">
            <w:pPr>
              <w:pStyle w:val="Compact"/>
            </w:pPr>
            <w:r>
              <w:t>Cart &amp; Checkout Orchestration</w:t>
            </w:r>
          </w:p>
        </w:tc>
        <w:tc>
          <w:tcPr>
            <w:tcW w:w="0" w:type="auto"/>
          </w:tcPr>
          <w:p w14:paraId="5DA09C4C" w14:textId="77777777" w:rsidR="00BA28F0" w:rsidRDefault="00000000">
            <w:pPr>
              <w:pStyle w:val="Compact"/>
            </w:pPr>
            <w:r>
              <w:t>Middleware — ESB + Java</w:t>
            </w:r>
          </w:p>
        </w:tc>
        <w:tc>
          <w:tcPr>
            <w:tcW w:w="0" w:type="auto"/>
          </w:tcPr>
          <w:p w14:paraId="7598F668" w14:textId="77777777" w:rsidR="00BA28F0" w:rsidRDefault="00000000">
            <w:pPr>
              <w:pStyle w:val="Compact"/>
              <w:jc w:val="right"/>
            </w:pPr>
            <w:r>
              <w:t>145</w:t>
            </w:r>
          </w:p>
        </w:tc>
        <w:tc>
          <w:tcPr>
            <w:tcW w:w="0" w:type="auto"/>
          </w:tcPr>
          <w:p w14:paraId="0831FC14" w14:textId="77777777" w:rsidR="00BA28F0" w:rsidRDefault="00000000">
            <w:pPr>
              <w:pStyle w:val="Compact"/>
            </w:pPr>
            <w:r>
              <w:t>38 / 4</w:t>
            </w:r>
          </w:p>
        </w:tc>
        <w:tc>
          <w:tcPr>
            <w:tcW w:w="0" w:type="auto"/>
          </w:tcPr>
          <w:p w14:paraId="00A04E55" w14:textId="77777777" w:rsidR="00BA28F0" w:rsidRDefault="00000000">
            <w:pPr>
              <w:pStyle w:val="Compact"/>
            </w:pPr>
            <w:r>
              <w:t>52 (18/22/12)</w:t>
            </w:r>
          </w:p>
        </w:tc>
        <w:tc>
          <w:tcPr>
            <w:tcW w:w="0" w:type="auto"/>
          </w:tcPr>
          <w:p w14:paraId="20E9B5CC" w14:textId="77777777" w:rsidR="00BA28F0" w:rsidRDefault="00000000">
            <w:pPr>
              <w:pStyle w:val="Compact"/>
              <w:jc w:val="right"/>
            </w:pPr>
            <w:r>
              <w:t>18</w:t>
            </w:r>
          </w:p>
        </w:tc>
        <w:tc>
          <w:tcPr>
            <w:tcW w:w="0" w:type="auto"/>
          </w:tcPr>
          <w:p w14:paraId="40F01F50" w14:textId="77777777" w:rsidR="00BA28F0" w:rsidRDefault="00000000">
            <w:pPr>
              <w:pStyle w:val="Compact"/>
              <w:jc w:val="right"/>
            </w:pPr>
            <w:r>
              <w:t>6</w:t>
            </w:r>
          </w:p>
        </w:tc>
      </w:tr>
      <w:tr w:rsidR="00BA28F0" w14:paraId="78FA7495" w14:textId="77777777">
        <w:tc>
          <w:tcPr>
            <w:tcW w:w="0" w:type="auto"/>
          </w:tcPr>
          <w:p w14:paraId="078E32AE" w14:textId="77777777" w:rsidR="00BA28F0" w:rsidRDefault="00000000">
            <w:pPr>
              <w:pStyle w:val="Compact"/>
            </w:pPr>
            <w:r>
              <w:t>Order Capture &amp; Lifecycle</w:t>
            </w:r>
          </w:p>
        </w:tc>
        <w:tc>
          <w:tcPr>
            <w:tcW w:w="0" w:type="auto"/>
          </w:tcPr>
          <w:p w14:paraId="753AFDB9" w14:textId="77777777" w:rsidR="00BA28F0" w:rsidRDefault="00000000">
            <w:pPr>
              <w:pStyle w:val="Compact"/>
            </w:pPr>
            <w:r>
              <w:t>Middleware + services — Java, JavaEE, ESB</w:t>
            </w:r>
          </w:p>
        </w:tc>
        <w:tc>
          <w:tcPr>
            <w:tcW w:w="0" w:type="auto"/>
          </w:tcPr>
          <w:p w14:paraId="73248B1B" w14:textId="77777777" w:rsidR="00BA28F0" w:rsidRDefault="00000000">
            <w:pPr>
              <w:pStyle w:val="Compact"/>
              <w:jc w:val="right"/>
            </w:pPr>
            <w:r>
              <w:t>232</w:t>
            </w:r>
          </w:p>
        </w:tc>
        <w:tc>
          <w:tcPr>
            <w:tcW w:w="0" w:type="auto"/>
          </w:tcPr>
          <w:p w14:paraId="5BF97009" w14:textId="77777777" w:rsidR="00BA28F0" w:rsidRDefault="00000000">
            <w:pPr>
              <w:pStyle w:val="Compact"/>
            </w:pPr>
            <w:r>
              <w:t>30 / 72</w:t>
            </w:r>
          </w:p>
        </w:tc>
        <w:tc>
          <w:tcPr>
            <w:tcW w:w="0" w:type="auto"/>
          </w:tcPr>
          <w:p w14:paraId="0B4BF266" w14:textId="77777777" w:rsidR="00BA28F0" w:rsidRDefault="00000000">
            <w:pPr>
              <w:pStyle w:val="Compact"/>
            </w:pPr>
            <w:r>
              <w:t>78 (21/34/23)</w:t>
            </w:r>
          </w:p>
        </w:tc>
        <w:tc>
          <w:tcPr>
            <w:tcW w:w="0" w:type="auto"/>
          </w:tcPr>
          <w:p w14:paraId="7B9EE075" w14:textId="77777777" w:rsidR="00BA28F0" w:rsidRDefault="00000000">
            <w:pPr>
              <w:pStyle w:val="Compact"/>
              <w:jc w:val="right"/>
            </w:pPr>
            <w:r>
              <w:t>41</w:t>
            </w:r>
          </w:p>
        </w:tc>
        <w:tc>
          <w:tcPr>
            <w:tcW w:w="0" w:type="auto"/>
          </w:tcPr>
          <w:p w14:paraId="1915EB8E" w14:textId="77777777" w:rsidR="00BA28F0" w:rsidRDefault="00000000">
            <w:pPr>
              <w:pStyle w:val="Compact"/>
              <w:jc w:val="right"/>
            </w:pPr>
            <w:r>
              <w:t>13</w:t>
            </w:r>
          </w:p>
        </w:tc>
      </w:tr>
      <w:tr w:rsidR="00BA28F0" w14:paraId="2F80ACEB" w14:textId="77777777">
        <w:tc>
          <w:tcPr>
            <w:tcW w:w="0" w:type="auto"/>
          </w:tcPr>
          <w:p w14:paraId="3B577BB4" w14:textId="77777777" w:rsidR="00BA28F0" w:rsidRDefault="00000000">
            <w:pPr>
              <w:pStyle w:val="Compact"/>
            </w:pPr>
            <w:r>
              <w:t>Settlement &amp; Payment Orchestration</w:t>
            </w:r>
          </w:p>
        </w:tc>
        <w:tc>
          <w:tcPr>
            <w:tcW w:w="0" w:type="auto"/>
          </w:tcPr>
          <w:p w14:paraId="263180BC" w14:textId="77777777" w:rsidR="00BA28F0" w:rsidRDefault="00000000">
            <w:pPr>
              <w:pStyle w:val="Compact"/>
            </w:pPr>
            <w:r>
              <w:t>Middleware — ESB + Java</w:t>
            </w:r>
          </w:p>
        </w:tc>
        <w:tc>
          <w:tcPr>
            <w:tcW w:w="0" w:type="auto"/>
          </w:tcPr>
          <w:p w14:paraId="542465B1" w14:textId="77777777" w:rsidR="00BA28F0" w:rsidRDefault="00000000">
            <w:pPr>
              <w:pStyle w:val="Compact"/>
              <w:jc w:val="right"/>
            </w:pPr>
            <w:r>
              <w:t>138</w:t>
            </w:r>
          </w:p>
        </w:tc>
        <w:tc>
          <w:tcPr>
            <w:tcW w:w="0" w:type="auto"/>
          </w:tcPr>
          <w:p w14:paraId="135E1663" w14:textId="77777777" w:rsidR="00BA28F0" w:rsidRDefault="00000000">
            <w:pPr>
              <w:pStyle w:val="Compact"/>
            </w:pPr>
            <w:r>
              <w:t>10 / 41</w:t>
            </w:r>
          </w:p>
        </w:tc>
        <w:tc>
          <w:tcPr>
            <w:tcW w:w="0" w:type="auto"/>
          </w:tcPr>
          <w:p w14:paraId="1B8D9AB3" w14:textId="77777777" w:rsidR="00BA28F0" w:rsidRDefault="00000000">
            <w:pPr>
              <w:pStyle w:val="Compact"/>
            </w:pPr>
            <w:r>
              <w:t>46 (12/21/13)</w:t>
            </w:r>
          </w:p>
        </w:tc>
        <w:tc>
          <w:tcPr>
            <w:tcW w:w="0" w:type="auto"/>
          </w:tcPr>
          <w:p w14:paraId="22748A7D" w14:textId="77777777" w:rsidR="00BA28F0" w:rsidRDefault="00000000">
            <w:pPr>
              <w:pStyle w:val="Compact"/>
              <w:jc w:val="right"/>
            </w:pPr>
            <w:r>
              <w:t>31</w:t>
            </w:r>
          </w:p>
        </w:tc>
        <w:tc>
          <w:tcPr>
            <w:tcW w:w="0" w:type="auto"/>
          </w:tcPr>
          <w:p w14:paraId="6BF19F7F" w14:textId="77777777" w:rsidR="00BA28F0" w:rsidRDefault="00000000">
            <w:pPr>
              <w:pStyle w:val="Compact"/>
              <w:jc w:val="right"/>
            </w:pPr>
            <w:r>
              <w:t>7</w:t>
            </w:r>
          </w:p>
        </w:tc>
      </w:tr>
      <w:tr w:rsidR="00BA28F0" w14:paraId="49DF92E8" w14:textId="77777777">
        <w:tc>
          <w:tcPr>
            <w:tcW w:w="0" w:type="auto"/>
          </w:tcPr>
          <w:p w14:paraId="76768EDB" w14:textId="77777777" w:rsidR="00BA28F0" w:rsidRDefault="00000000">
            <w:pPr>
              <w:pStyle w:val="Compact"/>
            </w:pPr>
            <w:r>
              <w:t>Campaign &amp; Points Integration</w:t>
            </w:r>
          </w:p>
        </w:tc>
        <w:tc>
          <w:tcPr>
            <w:tcW w:w="0" w:type="auto"/>
          </w:tcPr>
          <w:p w14:paraId="3D535F72" w14:textId="77777777" w:rsidR="00BA28F0" w:rsidRDefault="00000000">
            <w:pPr>
              <w:pStyle w:val="Compact"/>
            </w:pPr>
            <w:r>
              <w:t>Middleware — ESB + Java</w:t>
            </w:r>
          </w:p>
        </w:tc>
        <w:tc>
          <w:tcPr>
            <w:tcW w:w="0" w:type="auto"/>
          </w:tcPr>
          <w:p w14:paraId="428163DE" w14:textId="77777777" w:rsidR="00BA28F0" w:rsidRDefault="00000000">
            <w:pPr>
              <w:pStyle w:val="Compact"/>
              <w:jc w:val="right"/>
            </w:pPr>
            <w:r>
              <w:t>112</w:t>
            </w:r>
          </w:p>
        </w:tc>
        <w:tc>
          <w:tcPr>
            <w:tcW w:w="0" w:type="auto"/>
          </w:tcPr>
          <w:p w14:paraId="78E1121D" w14:textId="77777777" w:rsidR="00BA28F0" w:rsidRDefault="00000000">
            <w:pPr>
              <w:pStyle w:val="Compact"/>
            </w:pPr>
            <w:r>
              <w:t>20 / 18</w:t>
            </w:r>
          </w:p>
        </w:tc>
        <w:tc>
          <w:tcPr>
            <w:tcW w:w="0" w:type="auto"/>
          </w:tcPr>
          <w:p w14:paraId="6D80D3E6" w14:textId="77777777" w:rsidR="00BA28F0" w:rsidRDefault="00000000">
            <w:pPr>
              <w:pStyle w:val="Compact"/>
            </w:pPr>
            <w:r>
              <w:t>38 (14/17/7)</w:t>
            </w:r>
          </w:p>
        </w:tc>
        <w:tc>
          <w:tcPr>
            <w:tcW w:w="0" w:type="auto"/>
          </w:tcPr>
          <w:p w14:paraId="024E1804" w14:textId="77777777" w:rsidR="00BA28F0" w:rsidRDefault="00000000">
            <w:pPr>
              <w:pStyle w:val="Compact"/>
              <w:jc w:val="right"/>
            </w:pPr>
            <w:r>
              <w:t>22</w:t>
            </w:r>
          </w:p>
        </w:tc>
        <w:tc>
          <w:tcPr>
            <w:tcW w:w="0" w:type="auto"/>
          </w:tcPr>
          <w:p w14:paraId="08FC15DE" w14:textId="77777777" w:rsidR="00BA28F0" w:rsidRDefault="00000000">
            <w:pPr>
              <w:pStyle w:val="Compact"/>
              <w:jc w:val="right"/>
            </w:pPr>
            <w:r>
              <w:t>6</w:t>
            </w:r>
          </w:p>
        </w:tc>
      </w:tr>
      <w:tr w:rsidR="00BA28F0" w14:paraId="3BAE05D5" w14:textId="77777777">
        <w:tc>
          <w:tcPr>
            <w:tcW w:w="0" w:type="auto"/>
          </w:tcPr>
          <w:p w14:paraId="2113B407" w14:textId="77777777" w:rsidR="00BA28F0" w:rsidRDefault="00000000">
            <w:pPr>
              <w:pStyle w:val="Compact"/>
            </w:pPr>
            <w:r>
              <w:t>Payload Transformation Layer</w:t>
            </w:r>
          </w:p>
        </w:tc>
        <w:tc>
          <w:tcPr>
            <w:tcW w:w="0" w:type="auto"/>
          </w:tcPr>
          <w:p w14:paraId="0BEE2E5D" w14:textId="77777777" w:rsidR="00BA28F0" w:rsidRDefault="00000000">
            <w:pPr>
              <w:pStyle w:val="Compact"/>
            </w:pPr>
            <w:r>
              <w:t>Middleware — XQuery</w:t>
            </w:r>
          </w:p>
        </w:tc>
        <w:tc>
          <w:tcPr>
            <w:tcW w:w="0" w:type="auto"/>
          </w:tcPr>
          <w:p w14:paraId="4B7553A4" w14:textId="77777777" w:rsidR="00BA28F0" w:rsidRDefault="00000000">
            <w:pPr>
              <w:pStyle w:val="Compact"/>
              <w:jc w:val="right"/>
            </w:pPr>
            <w:r>
              <w:t>96</w:t>
            </w:r>
          </w:p>
        </w:tc>
        <w:tc>
          <w:tcPr>
            <w:tcW w:w="0" w:type="auto"/>
          </w:tcPr>
          <w:p w14:paraId="6F169AB5" w14:textId="77777777" w:rsidR="00BA28F0" w:rsidRDefault="00000000">
            <w:pPr>
              <w:pStyle w:val="Compact"/>
            </w:pPr>
            <w:r>
              <w:t>—</w:t>
            </w:r>
          </w:p>
        </w:tc>
        <w:tc>
          <w:tcPr>
            <w:tcW w:w="0" w:type="auto"/>
          </w:tcPr>
          <w:p w14:paraId="513A13AE" w14:textId="77777777" w:rsidR="00BA28F0" w:rsidRDefault="00000000">
            <w:pPr>
              <w:pStyle w:val="Compact"/>
            </w:pPr>
            <w:r>
              <w:t>—</w:t>
            </w:r>
          </w:p>
        </w:tc>
        <w:tc>
          <w:tcPr>
            <w:tcW w:w="0" w:type="auto"/>
          </w:tcPr>
          <w:p w14:paraId="3C11D2DA" w14:textId="77777777" w:rsidR="00BA28F0" w:rsidRDefault="00000000">
            <w:pPr>
              <w:pStyle w:val="Compact"/>
              <w:jc w:val="right"/>
            </w:pPr>
            <w:r>
              <w:t>—</w:t>
            </w:r>
          </w:p>
        </w:tc>
        <w:tc>
          <w:tcPr>
            <w:tcW w:w="0" w:type="auto"/>
          </w:tcPr>
          <w:p w14:paraId="12D2CA77" w14:textId="77777777" w:rsidR="00BA28F0" w:rsidRDefault="00000000">
            <w:pPr>
              <w:pStyle w:val="Compact"/>
              <w:jc w:val="right"/>
            </w:pPr>
            <w:r>
              <w:t>—</w:t>
            </w:r>
          </w:p>
        </w:tc>
      </w:tr>
      <w:tr w:rsidR="00BA28F0" w14:paraId="2F0A5B46" w14:textId="77777777">
        <w:tc>
          <w:tcPr>
            <w:tcW w:w="0" w:type="auto"/>
          </w:tcPr>
          <w:p w14:paraId="1E22849D" w14:textId="77777777" w:rsidR="00BA28F0" w:rsidRDefault="00000000">
            <w:pPr>
              <w:pStyle w:val="Compact"/>
            </w:pPr>
            <w:r>
              <w:rPr>
                <w:b/>
              </w:rPr>
              <w:t>Total — refactoring scope</w:t>
            </w:r>
          </w:p>
        </w:tc>
        <w:tc>
          <w:tcPr>
            <w:tcW w:w="0" w:type="auto"/>
          </w:tcPr>
          <w:p w14:paraId="2D463269" w14:textId="77777777" w:rsidR="00BA28F0" w:rsidRDefault="00BA28F0"/>
        </w:tc>
        <w:tc>
          <w:tcPr>
            <w:tcW w:w="0" w:type="auto"/>
          </w:tcPr>
          <w:p w14:paraId="7908A289" w14:textId="77777777" w:rsidR="00BA28F0" w:rsidRDefault="00000000">
            <w:pPr>
              <w:pStyle w:val="Compact"/>
              <w:jc w:val="right"/>
            </w:pPr>
            <w:r>
              <w:rPr>
                <w:b/>
              </w:rPr>
              <w:t>929</w:t>
            </w:r>
          </w:p>
        </w:tc>
        <w:tc>
          <w:tcPr>
            <w:tcW w:w="0" w:type="auto"/>
          </w:tcPr>
          <w:p w14:paraId="5B504B0B" w14:textId="77777777" w:rsidR="00BA28F0" w:rsidRDefault="00000000">
            <w:pPr>
              <w:pStyle w:val="Compact"/>
            </w:pPr>
            <w:r>
              <w:rPr>
                <w:b/>
              </w:rPr>
              <w:t>140 / 173</w:t>
            </w:r>
          </w:p>
        </w:tc>
        <w:tc>
          <w:tcPr>
            <w:tcW w:w="0" w:type="auto"/>
          </w:tcPr>
          <w:p w14:paraId="325BC6C7" w14:textId="77777777" w:rsidR="00BA28F0" w:rsidRDefault="00000000">
            <w:pPr>
              <w:pStyle w:val="Compact"/>
            </w:pPr>
            <w:r>
              <w:rPr>
                <w:b/>
              </w:rPr>
              <w:t>274 (95/116/63)</w:t>
            </w:r>
          </w:p>
        </w:tc>
        <w:tc>
          <w:tcPr>
            <w:tcW w:w="0" w:type="auto"/>
          </w:tcPr>
          <w:p w14:paraId="05E59BB6" w14:textId="77777777" w:rsidR="00BA28F0" w:rsidRDefault="00000000">
            <w:pPr>
              <w:pStyle w:val="Compact"/>
              <w:jc w:val="right"/>
            </w:pPr>
            <w:r>
              <w:rPr>
                <w:b/>
              </w:rPr>
              <w:t>146</w:t>
            </w:r>
          </w:p>
        </w:tc>
        <w:tc>
          <w:tcPr>
            <w:tcW w:w="0" w:type="auto"/>
          </w:tcPr>
          <w:p w14:paraId="5493394E" w14:textId="77777777" w:rsidR="00BA28F0" w:rsidRDefault="00000000">
            <w:pPr>
              <w:pStyle w:val="Compact"/>
              <w:jc w:val="right"/>
            </w:pPr>
            <w:r>
              <w:rPr>
                <w:b/>
              </w:rPr>
              <w:t>43</w:t>
            </w:r>
          </w:p>
        </w:tc>
      </w:tr>
    </w:tbl>
    <w:p w14:paraId="3B5C6286" w14:textId="77777777" w:rsidR="00BA28F0" w:rsidRDefault="00000000">
      <w:pPr>
        <w:pStyle w:val="BodyText"/>
      </w:pPr>
      <w:r>
        <w:rPr>
          <w:b/>
        </w:rPr>
        <w:t>Notes — read them before estimating.</w:t>
      </w:r>
    </w:p>
    <w:p w14:paraId="623C7D34" w14:textId="77777777" w:rsidR="00BA28F0" w:rsidRDefault="00000000">
      <w:pPr>
        <w:pStyle w:val="Compact"/>
        <w:numPr>
          <w:ilvl w:val="0"/>
          <w:numId w:val="11"/>
        </w:numPr>
      </w:pPr>
      <w:r>
        <w:rPr>
          <w:b/>
        </w:rPr>
        <w:t>kLOC</w:t>
      </w:r>
      <w:r>
        <w:t xml:space="preserve"> is measured with </w:t>
      </w:r>
      <w:r>
        <w:rPr>
          <w:rStyle w:val="VerbatimChar"/>
        </w:rPr>
        <w:t>cloc</w:t>
      </w:r>
      <w:r>
        <w:t xml:space="preserve"> over the current mainline, excluding generated code, vendor libraries and </w:t>
      </w:r>
      <w:r>
        <w:rPr>
          <w:b/>
        </w:rPr>
        <w:t>test code</w:t>
      </w:r>
      <w:r>
        <w:t>. The Payload Transformation Layer figure is code volume only — the number of individual transformation artefacts is not centrally recorded and is confirmed under R-01.</w:t>
      </w:r>
    </w:p>
    <w:p w14:paraId="459C1B84" w14:textId="77777777" w:rsidR="00BA28F0" w:rsidRDefault="00000000">
      <w:pPr>
        <w:pStyle w:val="Compact"/>
        <w:numPr>
          <w:ilvl w:val="0"/>
          <w:numId w:val="11"/>
        </w:numPr>
      </w:pPr>
      <w:r>
        <w:rPr>
          <w:b/>
        </w:rPr>
        <w:t>Flow complexity</w:t>
      </w:r>
      <w:r>
        <w:t xml:space="preserve"> is banded by our own engineers: </w:t>
      </w:r>
      <w:r>
        <w:rPr>
          <w:i/>
        </w:rPr>
        <w:t>simple</w:t>
      </w:r>
      <w:r>
        <w:t xml:space="preserve"> = single source, no conditional logic; </w:t>
      </w:r>
      <w:r>
        <w:rPr>
          <w:i/>
        </w:rPr>
        <w:t>moderate</w:t>
      </w:r>
      <w:r>
        <w:t xml:space="preserve"> = conditional routing or two sources; </w:t>
      </w:r>
      <w:r>
        <w:rPr>
          <w:i/>
        </w:rPr>
        <w:t>complex</w:t>
      </w:r>
      <w:r>
        <w:t xml:space="preserve"> = multi-source, compensating logic, or a documented history of defects. The banding is a working judgement, not a measurement.</w:t>
      </w:r>
    </w:p>
    <w:p w14:paraId="10D878D0" w14:textId="77777777" w:rsidR="00BA28F0" w:rsidRDefault="00000000">
      <w:pPr>
        <w:pStyle w:val="Compact"/>
        <w:numPr>
          <w:ilvl w:val="0"/>
          <w:numId w:val="11"/>
        </w:numPr>
      </w:pPr>
      <w:r>
        <w:rPr>
          <w:b/>
        </w:rPr>
        <w:t>The mediation footprint spans both integration products named in Appendix C.</w:t>
      </w:r>
      <w:r>
        <w:t xml:space="preserve"> The split of flows and code volume between the two products is not centrally recorded.</w:t>
      </w:r>
    </w:p>
    <w:p w14:paraId="5B9F7F94" w14:textId="77777777" w:rsidR="00BA28F0" w:rsidRDefault="00000000">
      <w:pPr>
        <w:pStyle w:val="Compact"/>
        <w:numPr>
          <w:ilvl w:val="0"/>
          <w:numId w:val="11"/>
        </w:numPr>
      </w:pPr>
      <w:r>
        <w:rPr>
          <w:b/>
        </w:rPr>
        <w:lastRenderedPageBreak/>
        <w:t>Automated test assets exist against most of these modules, but coverage is not centrally measured.</w:t>
      </w:r>
      <w:r>
        <w:t xml:space="preserve"> Treat the current test estate as an unknown to be established during R-01 and remediated under R-07.</w:t>
      </w:r>
    </w:p>
    <w:p w14:paraId="10EE3D91" w14:textId="77777777" w:rsidR="00BA28F0" w:rsidRDefault="00000000">
      <w:pPr>
        <w:pStyle w:val="Compact"/>
        <w:numPr>
          <w:ilvl w:val="0"/>
          <w:numId w:val="11"/>
        </w:numPr>
      </w:pPr>
      <w:r>
        <w:rPr>
          <w:b/>
        </w:rPr>
        <w:t>Relational engine:</w:t>
      </w:r>
      <w:r>
        <w:t xml:space="preserve"> Oracle on the order and settlement path (Cart &amp; Checkout, Order Capture, Settlement); MySQL for catalogue and campaign data; PostgreSQL for the newer services within Catalogue &amp; Search and Order Capture.</w:t>
      </w:r>
    </w:p>
    <w:p w14:paraId="1EBC8D43" w14:textId="77777777" w:rsidR="00BA28F0" w:rsidRDefault="00000000">
      <w:pPr>
        <w:pStyle w:val="Compact"/>
        <w:numPr>
          <w:ilvl w:val="0"/>
          <w:numId w:val="11"/>
        </w:numPr>
      </w:pPr>
      <w:r>
        <w:rPr>
          <w:b/>
        </w:rPr>
        <w:t>Of the 146 schemas above, 90 sit on the order and settlement path</w:t>
      </w:r>
      <w:r>
        <w:t xml:space="preserve"> — Cart &amp; Checkout (18), Order Capture (41) and Settlement &amp; Payment (31). These carry the data-integrity obligation in Section 7.</w:t>
      </w:r>
    </w:p>
    <w:p w14:paraId="428415E9" w14:textId="77777777" w:rsidR="00BA28F0" w:rsidRDefault="00000000">
      <w:pPr>
        <w:pStyle w:val="FirstParagraph"/>
      </w:pPr>
      <w:r>
        <w:rPr>
          <w:i/>
        </w:rPr>
        <w:t>— End of Request for Proposal —</w:t>
      </w:r>
    </w:p>
    <w:sectPr w:rsidR="00BA28F0">
      <w:footerReference w:type="default" r:id="rId7"/>
      <w:pgSz w:w="11906" w:h="16838"/>
      <w:pgMar w:top="1134" w:right="1134" w:bottom="1134"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D6A92" w14:textId="77777777" w:rsidR="00146BEB" w:rsidRDefault="00146BEB">
      <w:pPr>
        <w:spacing w:after="0" w:line="240" w:lineRule="auto"/>
      </w:pPr>
      <w:r>
        <w:separator/>
      </w:r>
    </w:p>
  </w:endnote>
  <w:endnote w:type="continuationSeparator" w:id="0">
    <w:p w14:paraId="5AE680CF" w14:textId="77777777" w:rsidR="00146BEB" w:rsidRDefault="00146B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23225" w14:textId="77777777" w:rsidR="00BA28F0" w:rsidRDefault="00000000">
    <w:pPr>
      <w:pBdr>
        <w:top w:val="single" w:sz="6" w:space="6" w:color="BFBFBF"/>
      </w:pBdr>
      <w:tabs>
        <w:tab w:val="center" w:pos="4680"/>
        <w:tab w:val="right" w:pos="9360"/>
      </w:tabs>
      <w:spacing w:before="120" w:after="0"/>
    </w:pPr>
    <w:r>
      <w:rPr>
        <w:color w:val="7F7F7F"/>
        <w:sz w:val="15"/>
      </w:rPr>
      <w:t>JNG-ECX-2026-</w:t>
    </w:r>
    <w:proofErr w:type="gramStart"/>
    <w:r>
      <w:rPr>
        <w:color w:val="7F7F7F"/>
        <w:sz w:val="15"/>
      </w:rPr>
      <w:t>047  ·</w:t>
    </w:r>
    <w:proofErr w:type="gramEnd"/>
    <w:r>
      <w:rPr>
        <w:color w:val="7F7F7F"/>
        <w:sz w:val="15"/>
      </w:rPr>
      <w:t xml:space="preserve">  </w:t>
    </w:r>
    <w:proofErr w:type="spellStart"/>
    <w:r>
      <w:rPr>
        <w:color w:val="7F7F7F"/>
        <w:sz w:val="15"/>
      </w:rPr>
      <w:t>RfP</w:t>
    </w:r>
    <w:proofErr w:type="spellEnd"/>
    <w:r>
      <w:rPr>
        <w:color w:val="7F7F7F"/>
        <w:sz w:val="15"/>
      </w:rPr>
      <w:t xml:space="preserve"> </w:t>
    </w:r>
    <w:proofErr w:type="gramStart"/>
    <w:r>
      <w:rPr>
        <w:color w:val="7F7F7F"/>
        <w:sz w:val="15"/>
      </w:rPr>
      <w:t>18  ·</w:t>
    </w:r>
    <w:proofErr w:type="gramEnd"/>
    <w:r>
      <w:rPr>
        <w:color w:val="7F7F7F"/>
        <w:sz w:val="15"/>
      </w:rPr>
      <w:t xml:space="preserve">  Mall Core Renewal</w:t>
    </w:r>
    <w:r>
      <w:tab/>
    </w:r>
    <w:r>
      <w:rPr>
        <w:color w:val="7F7F7F"/>
        <w:sz w:val="15"/>
      </w:rPr>
      <w:t>CONFIDENTIAL</w:t>
    </w:r>
    <w:r>
      <w:tab/>
    </w:r>
    <w:r>
      <w:rPr>
        <w:color w:val="7F7F7F"/>
        <w:sz w:val="15"/>
      </w:rPr>
      <w:t xml:space="preserve">Page </w:t>
    </w:r>
    <w:r>
      <w:fldChar w:fldCharType="begin"/>
    </w:r>
    <w:r>
      <w:instrText xml:space="preserve"> PAGE </w:instrText>
    </w:r>
    <w:r>
      <w:fldChar w:fldCharType="separate"/>
    </w:r>
    <w:r>
      <w:rPr>
        <w:color w:val="7F7F7F"/>
        <w:sz w:val="15"/>
      </w:rPr>
      <w:t>1</w:t>
    </w:r>
    <w:r>
      <w:fldChar w:fldCharType="end"/>
    </w:r>
    <w:r>
      <w:rPr>
        <w:color w:val="7F7F7F"/>
        <w:sz w:val="15"/>
      </w:rPr>
      <w:t xml:space="preserve"> of </w:t>
    </w:r>
    <w:fldSimple w:instr=" NUMPAGES ">
      <w:r>
        <w:rPr>
          <w:color w:val="7F7F7F"/>
          <w:sz w:val="15"/>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52FAF" w14:textId="77777777" w:rsidR="00146BEB" w:rsidRDefault="00146BEB">
      <w:r>
        <w:separator/>
      </w:r>
    </w:p>
  </w:footnote>
  <w:footnote w:type="continuationSeparator" w:id="0">
    <w:p w14:paraId="70FA6E85" w14:textId="77777777" w:rsidR="00146BEB" w:rsidRDefault="00146B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6CFEBB3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653AC4C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B210816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850490545">
    <w:abstractNumId w:val="1"/>
  </w:num>
  <w:num w:numId="2" w16cid:durableId="98794303">
    <w:abstractNumId w:val="0"/>
  </w:num>
  <w:num w:numId="3" w16cid:durableId="6273251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87699968">
    <w:abstractNumId w:val="0"/>
  </w:num>
  <w:num w:numId="5" w16cid:durableId="481042127">
    <w:abstractNumId w:val="0"/>
  </w:num>
  <w:num w:numId="6" w16cid:durableId="1924871955">
    <w:abstractNumId w:val="0"/>
  </w:num>
  <w:num w:numId="7" w16cid:durableId="795634620">
    <w:abstractNumId w:val="0"/>
  </w:num>
  <w:num w:numId="8" w16cid:durableId="1205220005">
    <w:abstractNumId w:val="0"/>
  </w:num>
  <w:num w:numId="9" w16cid:durableId="1932161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31107074">
    <w:abstractNumId w:val="0"/>
  </w:num>
  <w:num w:numId="11" w16cid:durableId="1885166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120CF6"/>
    <w:rsid w:val="00146BEB"/>
    <w:rsid w:val="004E29B3"/>
    <w:rsid w:val="00590D07"/>
    <w:rsid w:val="00784D58"/>
    <w:rsid w:val="008D6863"/>
    <w:rsid w:val="00B86B75"/>
    <w:rsid w:val="00BA28F0"/>
    <w:rsid w:val="00BC48D5"/>
    <w:rsid w:val="00C36279"/>
    <w:rsid w:val="00CA5E4D"/>
    <w:rsid w:val="00E315A3"/>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74E92"/>
  <w15:docId w15:val="{304F60CE-BF10-4B22-9CB2-A1384DA61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 w:eastAsia="en-US" w:bidi="ar-SA"/>
      </w:rPr>
    </w:rPrDefault>
    <w:pPrDefault>
      <w:pPr>
        <w:spacing w:after="100" w:line="252"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260" w:after="60"/>
      <w:outlineLvl w:val="0"/>
    </w:pPr>
    <w:rPr>
      <w:rFonts w:asciiTheme="majorHAnsi" w:eastAsiaTheme="majorEastAsia" w:hAnsiTheme="majorHAnsi" w:cstheme="majorBidi"/>
      <w:b/>
      <w:bCs/>
      <w:color w:val="4F81BD" w:themeColor="accent1"/>
      <w:sz w:val="26"/>
      <w:szCs w:val="32"/>
    </w:rPr>
  </w:style>
  <w:style w:type="paragraph" w:styleId="Heading2">
    <w:name w:val="heading 2"/>
    <w:basedOn w:val="Normal"/>
    <w:next w:val="BodyText"/>
    <w:uiPriority w:val="9"/>
    <w:unhideWhenUsed/>
    <w:qFormat/>
    <w:pPr>
      <w:keepNext/>
      <w:keepLines/>
      <w:spacing w:before="160" w:after="40"/>
      <w:outlineLvl w:val="1"/>
    </w:pPr>
    <w:rPr>
      <w:rFonts w:asciiTheme="majorHAnsi" w:eastAsiaTheme="majorEastAsia" w:hAnsiTheme="majorHAnsi" w:cstheme="majorBidi"/>
      <w:b/>
      <w:bCs/>
      <w:color w:val="4F81BD" w:themeColor="accent1"/>
      <w:sz w:val="23"/>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6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ind w:left="480" w:right="480"/>
    </w:pPr>
  </w:style>
  <w:style w:type="paragraph" w:styleId="FootnoteText">
    <w:name w:val="footnote text"/>
    <w:basedOn w:val="Normal"/>
    <w:uiPriority w:val="9"/>
    <w:unhideWhenUsed/>
    <w:qFormat/>
  </w:style>
  <w:style w:type="table" w:customStyle="1" w:styleId="Table">
    <w:name w:val="Table"/>
    <w:qFormat/>
    <w:rPr>
      <w:sz w:val="16"/>
      <w:szCs w:val="16"/>
    </w:rPr>
    <w:tblPr>
      <w:tblInd w:w="0" w:type="dxa"/>
      <w:tblBorders>
        <w:top w:val="single" w:sz="4" w:space="0" w:color="B4B4B4"/>
        <w:left w:val="single" w:sz="4" w:space="0" w:color="B4B4B4"/>
        <w:bottom w:val="single" w:sz="4" w:space="0" w:color="B4B4B4"/>
        <w:right w:val="single" w:sz="4" w:space="0" w:color="B4B4B4"/>
        <w:insideH w:val="single" w:sz="4" w:space="0" w:color="D0D0D0"/>
        <w:insideV w:val="single" w:sz="4" w:space="0" w:color="D0D0D0"/>
      </w:tblBorders>
      <w:tblCellMar>
        <w:top w:w="60" w:type="dxa"/>
        <w:left w:w="108" w:type="dxa"/>
        <w:bottom w:w="6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16</Pages>
  <Words>8068</Words>
  <Characters>47603</Characters>
  <Application>Microsoft Office Word</Application>
  <DocSecurity>0</DocSecurity>
  <Lines>991</Lines>
  <Paragraphs>632</Paragraphs>
  <ScaleCrop>false</ScaleCrop>
  <Company/>
  <LinksUpToDate>false</LinksUpToDate>
  <CharactersWithSpaces>55039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Md. Minhajur Rahman</cp:lastModifiedBy>
  <cp:revision>2</cp:revision>
  <dcterms:created xsi:type="dcterms:W3CDTF">2026-07-30T15:45:00Z</dcterms:created>
  <dcterms:modified xsi:type="dcterms:W3CDTF">2026-07-30T15:53:00Z</dcterms:modified>
  <dc:language>en</dc:language>
</cp:coreProperties>
</file>