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BRC20 FLOW 项目白皮书</w:t>
      </w:r>
    </w:p>
    <w:p>
      <w:pPr>
        <w:jc w:val="center"/>
        <w:rPr>
          <w:rFonts w:hint="default" w:asciiTheme="majorAscii" w:hAnsiTheme="majorAscii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default" w:asciiTheme="majorAscii" w:hAnsiTheme="majorAscii" w:eastAsiaTheme="majorEastAsia" w:cstheme="majorEastAsia"/>
          <w:b/>
          <w:bCs/>
          <w:sz w:val="28"/>
          <w:szCs w:val="28"/>
          <w:lang w:val="en-US" w:eastAsia="zh-CN"/>
        </w:rPr>
        <w:t>VERSION V1.0 - 2024-03-13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梦探星辰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E9EEF6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E9EEF6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E9EEF6"/>
        </w:rPr>
        <w:instrText xml:space="preserve"> HYPERLINK "mailto:mengtanxingchen@gmail.com" </w:instrTex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E9EEF6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spacing w:val="0"/>
          <w:sz w:val="24"/>
          <w:szCs w:val="24"/>
          <w:shd w:val="clear" w:fill="E9EEF6"/>
        </w:rPr>
        <w:t>mengtanxingchen@gmail.com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E9EEF6"/>
        </w:rPr>
        <w:fldChar w:fldCharType="end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E9EEF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E9EEF6"/>
          <w:lang w:val="en-US" w:eastAsia="zh-CN"/>
        </w:rPr>
        <w:t>https://brc20-flow.com</w:t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项目摘要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BRC20 是比特币网络上发行同质化Token 的实验性格式标准，由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"https://link.zhihu.com/?target=https://weibo.com/n/domodata" \t "https://zhuanlan.zhihu.com/p/_blank"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@domodata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 于2023 年3 月8 日基于 Ordinal 协议创建。使用比特币网络进行转移和交易，但与比特币本身的价值无关，在支持比特币网络的钱包和交易所中存储和交易，明确代币合约的基本要素，包括代币名称、符号、总供应量、小数点等，可用于各种应用场景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不过BRC20原生协议交易存在诸多痛点与问题，导致铭文流动性极差。例如以下几点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交易上下架都需要重新mint，支付高昂的手续费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只能mint后整单销售或购买，无法像普通代币任意数量购买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存在恶意用低gas卡销售流程，导致铭文无法及时销售造成资产损失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BTC链缓慢需要几十分钟甚至几小时并且交易GAS费太高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基于以上背景及原因我们团队开发铭文跨链代币化系统BRC20-FLOW项目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一项BRC20流动性解决方案的实验，BRC20铭文跨链代币化项目。可以降低交易时间与交易成本，让用户通过质押与赎回的方式自由兑换BRC20 铭文与BSC代币,并且只需要$0.1左右成本和几秒的时间完成铭文交易。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通过BTC与BSC跨链代币化来解决BRC20铭文现有问题，为BRC20提供流动性，促进BRC20铭文生态发展。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选用BSC链的原因是我们认为持有的本质是BRC20铭文，只是通过跨链桥接的方式解决BRC20流动性问题。让用户交易成本变得低廉才是我们的首选，以此使用BSC来实现跨链。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项目功能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铭文质押:在mint或者购买BRC20铭文后，可以通过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BRC20-FLOW 平台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1:1质押成BSC跨链代币。然后如同普通BSC代币一样在web3正常购买销售，其交易成本只是$0.1左右，交易时间只需几秒。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铭文赎回: 用户在BSC链购买的跨链代币，也可以通过BRC20-FLOW 平台赎回BRC20铭文。不过赎回是需要质押池使用BTC网络铭刻和发送，因此需要支付铭刻和发送的gas费。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BSC代币合约：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BRC20 FLOW发行的跨链代币数量与原有铭文一致，并且开源，其中无任何交易限制与交易税费，并会在发行前放弃管理员权限。以此确保BSC链合约等同与原生铭文一样去中心化与安全。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新玩法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由于BRC20 FLOW项目的上线，铭文的交易成本已经与普通BSC代币一样便宜，以此开源产生更多的玩法，具备BRC20铭文与以太坊代币结合的方式。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铭文空投：对的，就行普通代币一样去空投增加影响力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上线WEB3: 可以在去中心化交易所正常流通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社区应用化：社区可以开发应用与程序，并且使用铭文当服务费或者打赏，就如同DOGE币一样充当小费。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2E70ED"/>
    <w:multiLevelType w:val="singleLevel"/>
    <w:tmpl w:val="B22E70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5F98C5"/>
    <w:multiLevelType w:val="singleLevel"/>
    <w:tmpl w:val="CA5F98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C4E7CCA"/>
    <w:multiLevelType w:val="singleLevel"/>
    <w:tmpl w:val="3C4E7C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DDBE9E9"/>
    <w:multiLevelType w:val="singleLevel"/>
    <w:tmpl w:val="7DDBE9E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4E437950"/>
    <w:rsid w:val="6C15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2024-03-13T02:09:00Z</dcterms:created>
  <dc:creator>Administrator</dc:creator>
  <cp:lastModifiedBy>梦探星尘</cp:lastModifiedBy>
  <dcterms:modified xsi:type="dcterms:W3CDTF">2024-03-14T16:04:52Z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66A523DDB772452CA8BAEA5BDE0D458C_12</vt:lpwstr>
  </property>
</Properties>
</file>