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6CD8" w14:textId="77777777" w:rsidR="00F95754" w:rsidRPr="00F95754" w:rsidRDefault="00F95754" w:rsidP="002F799E">
      <w:pPr>
        <w:spacing w:line="276" w:lineRule="auto"/>
        <w:jc w:val="center"/>
        <w:rPr>
          <w:b/>
          <w:bCs/>
          <w:sz w:val="32"/>
          <w:szCs w:val="32"/>
        </w:rPr>
      </w:pPr>
      <w:bookmarkStart w:id="0" w:name="_Hlk216185054"/>
      <w:r w:rsidRPr="00F95754">
        <w:rPr>
          <w:b/>
          <w:bCs/>
          <w:sz w:val="32"/>
          <w:szCs w:val="32"/>
        </w:rPr>
        <w:t>Quantum Circuit Born Machine Assisted Fraud Detection in Financial Transactions</w:t>
      </w:r>
    </w:p>
    <w:bookmarkEnd w:id="0"/>
    <w:p w14:paraId="22BA986D" w14:textId="77777777" w:rsidR="00F95754" w:rsidRDefault="00F95754" w:rsidP="002F799E">
      <w:pPr>
        <w:spacing w:line="276" w:lineRule="auto"/>
        <w:jc w:val="both"/>
        <w:rPr>
          <w:b/>
          <w:bCs/>
          <w:sz w:val="20"/>
          <w:szCs w:val="20"/>
        </w:rPr>
        <w:sectPr w:rsidR="00F95754" w:rsidSect="00F95754">
          <w:headerReference w:type="default" r:id="rId7"/>
          <w:pgSz w:w="12240" w:h="15840"/>
          <w:pgMar w:top="1440" w:right="1440" w:bottom="1440" w:left="1440" w:header="720" w:footer="720" w:gutter="0"/>
          <w:cols w:space="720"/>
          <w:docGrid w:linePitch="360"/>
        </w:sectPr>
      </w:pPr>
    </w:p>
    <w:p w14:paraId="352F82EA" w14:textId="2B25C4AA" w:rsidR="00FA6F72" w:rsidRPr="00FA6F72" w:rsidRDefault="00FA6F72" w:rsidP="002F799E">
      <w:pPr>
        <w:spacing w:line="276" w:lineRule="auto"/>
        <w:jc w:val="both"/>
        <w:rPr>
          <w:b/>
          <w:bCs/>
          <w:sz w:val="20"/>
          <w:szCs w:val="20"/>
        </w:rPr>
      </w:pPr>
      <w:r w:rsidRPr="00FA6F72">
        <w:rPr>
          <w:b/>
          <w:bCs/>
          <w:sz w:val="20"/>
          <w:szCs w:val="20"/>
        </w:rPr>
        <w:t>Abstract</w:t>
      </w:r>
    </w:p>
    <w:p w14:paraId="7ABE1329" w14:textId="77777777" w:rsidR="00FA6F72" w:rsidRPr="00FA6F72" w:rsidRDefault="00FA6F72" w:rsidP="002F799E">
      <w:pPr>
        <w:spacing w:line="276" w:lineRule="auto"/>
        <w:jc w:val="both"/>
        <w:rPr>
          <w:sz w:val="20"/>
          <w:szCs w:val="20"/>
        </w:rPr>
      </w:pPr>
      <w:r w:rsidRPr="00FA6F72">
        <w:rPr>
          <w:sz w:val="20"/>
          <w:szCs w:val="20"/>
        </w:rPr>
        <w:t>Financial fraud continues to grow in scale and complexity, creating major challenges for financial institutions. Classical fraud detection systems rely on labelled fraud data, which is extremely limited and does not capture new or evolving attack strategies. This motivates the need for unsupervised methods capable of learning normal transaction behavior and identifying deviations.</w:t>
      </w:r>
      <w:r w:rsidRPr="00FA6F72">
        <w:rPr>
          <w:sz w:val="20"/>
          <w:szCs w:val="20"/>
        </w:rPr>
        <w:br/>
        <w:t>In this work, we investigate the use of Quantum Circuit Born Machines (QCBMs) as a generative quantum model for anomaly detection. We evaluate two data representations: PCA-reduced 2D space and VAE-generated 2D latent space. Results show that QCBMs learn normal transaction distributions well and achieve high accuracy on small datasets with clear separation. However, on the full dataset, fraud heavily overlaps normal transactions, limiting anomaly detection performance. Our analysis highlights the importance of data representation in quantum anomaly detection and provides insight for hybrid quantum–classical fraud detection systems.</w:t>
      </w:r>
    </w:p>
    <w:p w14:paraId="68F20906" w14:textId="77777777" w:rsidR="00FA6F72" w:rsidRPr="00FA6F72" w:rsidRDefault="00FA6F72" w:rsidP="002F799E">
      <w:pPr>
        <w:spacing w:line="276" w:lineRule="auto"/>
        <w:jc w:val="both"/>
        <w:rPr>
          <w:sz w:val="20"/>
          <w:szCs w:val="20"/>
        </w:rPr>
      </w:pPr>
      <w:r w:rsidRPr="00FA6F72">
        <w:rPr>
          <w:b/>
          <w:bCs/>
          <w:sz w:val="20"/>
          <w:szCs w:val="20"/>
        </w:rPr>
        <w:t>Keywords:</w:t>
      </w:r>
      <w:r w:rsidRPr="00FA6F72">
        <w:rPr>
          <w:sz w:val="20"/>
          <w:szCs w:val="20"/>
        </w:rPr>
        <w:t xml:space="preserve"> quantum machine learning, QCBM, anomaly detection, fraud detection, PCA, VAE.</w:t>
      </w:r>
    </w:p>
    <w:p w14:paraId="28511235" w14:textId="3CC87524" w:rsidR="00FA6F72" w:rsidRPr="00FA6F72" w:rsidRDefault="00FA6F72" w:rsidP="002F799E">
      <w:pPr>
        <w:spacing w:line="276" w:lineRule="auto"/>
        <w:jc w:val="both"/>
        <w:rPr>
          <w:sz w:val="20"/>
          <w:szCs w:val="20"/>
        </w:rPr>
      </w:pPr>
    </w:p>
    <w:p w14:paraId="49344BBA" w14:textId="77777777" w:rsidR="00FA6F72" w:rsidRPr="00FA6F72" w:rsidRDefault="00FA6F72" w:rsidP="002F799E">
      <w:pPr>
        <w:spacing w:line="276" w:lineRule="auto"/>
        <w:jc w:val="both"/>
        <w:rPr>
          <w:b/>
          <w:bCs/>
          <w:sz w:val="20"/>
          <w:szCs w:val="20"/>
        </w:rPr>
      </w:pPr>
      <w:r w:rsidRPr="00FA6F72">
        <w:rPr>
          <w:b/>
          <w:bCs/>
          <w:sz w:val="20"/>
          <w:szCs w:val="20"/>
        </w:rPr>
        <w:t>1. Introduction</w:t>
      </w:r>
    </w:p>
    <w:p w14:paraId="7649FB8E" w14:textId="77777777" w:rsidR="00FA6F72" w:rsidRPr="00FA6F72" w:rsidRDefault="00FA6F72" w:rsidP="002F799E">
      <w:pPr>
        <w:spacing w:line="276" w:lineRule="auto"/>
        <w:jc w:val="both"/>
        <w:rPr>
          <w:sz w:val="20"/>
          <w:szCs w:val="20"/>
        </w:rPr>
      </w:pPr>
      <w:r w:rsidRPr="00FA6F72">
        <w:rPr>
          <w:sz w:val="20"/>
          <w:szCs w:val="20"/>
        </w:rPr>
        <w:t>Credit card fraud causes billions of dollars in losses annually, affecting banks and consumers globally. Fraud patterns evolve rapidly, making supervised learning approaches ineffective because they depend on large amounts of labelled fraud data. Since fraud cases are rare and constantly changing, classical models often fail to detect new types of fraudulent behavior.</w:t>
      </w:r>
    </w:p>
    <w:p w14:paraId="0F446063" w14:textId="77777777" w:rsidR="00FA6F72" w:rsidRPr="00FA6F72" w:rsidRDefault="00FA6F72" w:rsidP="002F799E">
      <w:pPr>
        <w:spacing w:line="276" w:lineRule="auto"/>
        <w:jc w:val="both"/>
        <w:rPr>
          <w:sz w:val="20"/>
          <w:szCs w:val="20"/>
        </w:rPr>
      </w:pPr>
      <w:r w:rsidRPr="00FA6F72">
        <w:rPr>
          <w:sz w:val="20"/>
          <w:szCs w:val="20"/>
        </w:rPr>
        <w:t xml:space="preserve">Quantum generative models may offer new ways to model complex probability distributions. A Quantum Circuit Born Machine (QCBM) is a parametrized quantum circuit capable of learning </w:t>
      </w:r>
      <w:proofErr w:type="gramStart"/>
      <w:r w:rsidRPr="00FA6F72">
        <w:rPr>
          <w:sz w:val="20"/>
          <w:szCs w:val="20"/>
        </w:rPr>
        <w:t>a probability</w:t>
      </w:r>
      <w:proofErr w:type="gramEnd"/>
      <w:r w:rsidRPr="00FA6F72">
        <w:rPr>
          <w:sz w:val="20"/>
          <w:szCs w:val="20"/>
        </w:rPr>
        <w:t xml:space="preserve"> distribution over measurement outcomes. This makes QCBMs suitable for unsupervised anomaly detection, where the goal is to learn the distribution of normal transactions and identify anomalies as low-probability events.</w:t>
      </w:r>
    </w:p>
    <w:p w14:paraId="4D327BB9" w14:textId="77777777" w:rsidR="00FA6F72" w:rsidRPr="00FA6F72" w:rsidRDefault="00FA6F72" w:rsidP="002F799E">
      <w:pPr>
        <w:spacing w:line="276" w:lineRule="auto"/>
        <w:jc w:val="both"/>
        <w:rPr>
          <w:sz w:val="20"/>
          <w:szCs w:val="20"/>
        </w:rPr>
      </w:pPr>
      <w:r w:rsidRPr="00FA6F72">
        <w:rPr>
          <w:sz w:val="20"/>
          <w:szCs w:val="20"/>
        </w:rPr>
        <w:t>The objective of this research is to explore whether QCBMs can effectively learn normal transaction patterns and accurately detect anomalies. We compare PCA-based and VAE-based representations to evaluate how different feature spaces influence QCBM performance.</w:t>
      </w:r>
    </w:p>
    <w:p w14:paraId="24C1462B" w14:textId="5A6DAE66" w:rsidR="00FA6F72" w:rsidRPr="00FA6F72" w:rsidRDefault="00FA6F72" w:rsidP="002F799E">
      <w:pPr>
        <w:spacing w:line="276" w:lineRule="auto"/>
        <w:jc w:val="both"/>
        <w:rPr>
          <w:sz w:val="20"/>
          <w:szCs w:val="20"/>
        </w:rPr>
      </w:pPr>
    </w:p>
    <w:p w14:paraId="25ADB0EC" w14:textId="77777777" w:rsidR="00FA6F72" w:rsidRPr="00FA6F72" w:rsidRDefault="00FA6F72" w:rsidP="002F799E">
      <w:pPr>
        <w:spacing w:line="276" w:lineRule="auto"/>
        <w:jc w:val="both"/>
        <w:rPr>
          <w:b/>
          <w:bCs/>
          <w:sz w:val="20"/>
          <w:szCs w:val="20"/>
        </w:rPr>
      </w:pPr>
      <w:r w:rsidRPr="00FA6F72">
        <w:rPr>
          <w:b/>
          <w:bCs/>
          <w:sz w:val="20"/>
          <w:szCs w:val="20"/>
        </w:rPr>
        <w:t>2. Dataset and Preprocessing</w:t>
      </w:r>
    </w:p>
    <w:p w14:paraId="13690449" w14:textId="77777777" w:rsidR="00FA6F72" w:rsidRPr="00FA6F72" w:rsidRDefault="00FA6F72" w:rsidP="002F799E">
      <w:pPr>
        <w:spacing w:line="276" w:lineRule="auto"/>
        <w:jc w:val="both"/>
        <w:rPr>
          <w:sz w:val="20"/>
          <w:szCs w:val="20"/>
        </w:rPr>
      </w:pPr>
      <w:r w:rsidRPr="00FA6F72">
        <w:rPr>
          <w:sz w:val="20"/>
          <w:szCs w:val="20"/>
        </w:rPr>
        <w:t xml:space="preserve">We use the </w:t>
      </w:r>
      <w:r w:rsidRPr="00FA6F72">
        <w:rPr>
          <w:b/>
          <w:bCs/>
          <w:sz w:val="20"/>
          <w:szCs w:val="20"/>
        </w:rPr>
        <w:t>Credit Card Fraud Detection Dataset</w:t>
      </w:r>
      <w:r w:rsidRPr="00FA6F72">
        <w:rPr>
          <w:sz w:val="20"/>
          <w:szCs w:val="20"/>
        </w:rPr>
        <w:t>, containing 284,807 transactions, with only 492 labeled as fraud. Because fraud represents less than 0.2% of the dataset, anomaly detection is extremely challenging.</w:t>
      </w:r>
    </w:p>
    <w:p w14:paraId="3ED620FD" w14:textId="77777777" w:rsidR="00FA6F72" w:rsidRPr="00FA6F72" w:rsidRDefault="00FA6F72" w:rsidP="002F799E">
      <w:pPr>
        <w:spacing w:line="276" w:lineRule="auto"/>
        <w:jc w:val="both"/>
        <w:rPr>
          <w:b/>
          <w:bCs/>
          <w:sz w:val="20"/>
          <w:szCs w:val="20"/>
        </w:rPr>
      </w:pPr>
      <w:r w:rsidRPr="00FA6F72">
        <w:rPr>
          <w:b/>
          <w:bCs/>
          <w:sz w:val="20"/>
          <w:szCs w:val="20"/>
        </w:rPr>
        <w:t>2.1 Log Transformation</w:t>
      </w:r>
    </w:p>
    <w:p w14:paraId="37BC53CA" w14:textId="77777777" w:rsidR="00FA6F72" w:rsidRPr="00FA6F72" w:rsidRDefault="00FA6F72" w:rsidP="002F799E">
      <w:pPr>
        <w:spacing w:line="276" w:lineRule="auto"/>
        <w:jc w:val="both"/>
        <w:rPr>
          <w:sz w:val="20"/>
          <w:szCs w:val="20"/>
        </w:rPr>
      </w:pPr>
      <w:r w:rsidRPr="00FA6F72">
        <w:rPr>
          <w:sz w:val="20"/>
          <w:szCs w:val="20"/>
        </w:rPr>
        <w:t>The “Amount” feature is heavily skewed; we apply:</w:t>
      </w:r>
    </w:p>
    <w:p w14:paraId="4EE749F8" w14:textId="203A24C5" w:rsidR="00FA6F72" w:rsidRPr="00FA6F72" w:rsidRDefault="00FA6F72" w:rsidP="002F799E">
      <w:pPr>
        <w:spacing w:line="276" w:lineRule="auto"/>
        <w:jc w:val="both"/>
        <w:rPr>
          <w:sz w:val="20"/>
          <w:szCs w:val="20"/>
        </w:rPr>
      </w:pPr>
      <m:oMathPara>
        <m:oMath>
          <m:sSub>
            <m:sSubPr>
              <m:ctrlPr>
                <w:rPr>
                  <w:rFonts w:ascii="Cambria Math" w:hAnsi="Cambria Math"/>
                  <w:sz w:val="20"/>
                  <w:szCs w:val="20"/>
                </w:rPr>
              </m:ctrlPr>
            </m:sSubPr>
            <m:e>
              <m:r>
                <m:rPr>
                  <m:nor/>
                </m:rPr>
                <w:rPr>
                  <w:sz w:val="20"/>
                  <w:szCs w:val="20"/>
                </w:rPr>
                <m:t>Amount</m:t>
              </m:r>
            </m:e>
            <m:sub>
              <m:r>
                <m:rPr>
                  <m:nor/>
                </m:rPr>
                <w:rPr>
                  <w:sz w:val="20"/>
                  <w:szCs w:val="20"/>
                </w:rPr>
                <m:t>log</m:t>
              </m:r>
            </m:sub>
          </m:sSub>
          <m:r>
            <w:rPr>
              <w:rFonts w:ascii="Cambria Math" w:hAnsi="Cambria Math"/>
              <w:sz w:val="20"/>
              <w:szCs w:val="20"/>
            </w:rPr>
            <m:t>=</m:t>
          </m:r>
          <m:r>
            <m:rPr>
              <m:sty m:val="p"/>
            </m:rPr>
            <w:rPr>
              <w:rFonts w:ascii="Cambria Math" w:hAnsi="Cambria Math"/>
              <w:sz w:val="20"/>
              <w:szCs w:val="20"/>
            </w:rPr>
            <m:t>log</m:t>
          </m:r>
          <m:r>
            <w:rPr>
              <w:rFonts w:ascii="Cambria Math" w:hAnsi="Cambria Math"/>
              <w:sz w:val="20"/>
              <w:szCs w:val="20"/>
            </w:rPr>
            <m:t>⁡(1+</m:t>
          </m:r>
          <m:r>
            <m:rPr>
              <m:nor/>
            </m:rPr>
            <w:rPr>
              <w:sz w:val="20"/>
              <w:szCs w:val="20"/>
            </w:rPr>
            <m:t>Amount</m:t>
          </m:r>
          <m:r>
            <w:rPr>
              <w:rFonts w:ascii="Cambria Math" w:hAnsi="Cambria Math"/>
              <w:sz w:val="20"/>
              <w:szCs w:val="20"/>
            </w:rPr>
            <m:t>)</m:t>
          </m:r>
          <m:r>
            <w:rPr>
              <w:i/>
              <w:sz w:val="20"/>
              <w:szCs w:val="20"/>
            </w:rPr>
            <w:br/>
          </m:r>
        </m:oMath>
      </m:oMathPara>
    </w:p>
    <w:p w14:paraId="1A0D83EA" w14:textId="77777777" w:rsidR="00FA6F72" w:rsidRPr="00FA6F72" w:rsidRDefault="00FA6F72" w:rsidP="002F799E">
      <w:pPr>
        <w:spacing w:line="276" w:lineRule="auto"/>
        <w:jc w:val="both"/>
        <w:rPr>
          <w:b/>
          <w:bCs/>
          <w:sz w:val="20"/>
          <w:szCs w:val="20"/>
        </w:rPr>
      </w:pPr>
      <w:r w:rsidRPr="00FA6F72">
        <w:rPr>
          <w:b/>
          <w:bCs/>
          <w:sz w:val="20"/>
          <w:szCs w:val="20"/>
        </w:rPr>
        <w:t>2.2 PCA Reduction to 2D</w:t>
      </w:r>
    </w:p>
    <w:p w14:paraId="138A732A" w14:textId="77777777" w:rsidR="00FA6F72" w:rsidRPr="00FA6F72" w:rsidRDefault="00FA6F72" w:rsidP="002F799E">
      <w:pPr>
        <w:spacing w:line="276" w:lineRule="auto"/>
        <w:jc w:val="both"/>
        <w:rPr>
          <w:sz w:val="20"/>
          <w:szCs w:val="20"/>
        </w:rPr>
      </w:pPr>
      <w:r w:rsidRPr="00FA6F72">
        <w:rPr>
          <w:sz w:val="20"/>
          <w:szCs w:val="20"/>
        </w:rPr>
        <w:t>We reduce the 29 numerical features to:</w:t>
      </w:r>
    </w:p>
    <w:p w14:paraId="4170CCDA" w14:textId="77777777" w:rsidR="00FA6F72" w:rsidRPr="00FA6F72" w:rsidRDefault="00FA6F72" w:rsidP="002F799E">
      <w:pPr>
        <w:numPr>
          <w:ilvl w:val="0"/>
          <w:numId w:val="1"/>
        </w:numPr>
        <w:spacing w:line="276" w:lineRule="auto"/>
        <w:jc w:val="both"/>
        <w:rPr>
          <w:sz w:val="20"/>
          <w:szCs w:val="20"/>
        </w:rPr>
      </w:pPr>
      <w:r w:rsidRPr="00FA6F72">
        <w:rPr>
          <w:b/>
          <w:bCs/>
          <w:sz w:val="20"/>
          <w:szCs w:val="20"/>
        </w:rPr>
        <w:t>PCA Component 1</w:t>
      </w:r>
    </w:p>
    <w:p w14:paraId="1F6FA2AF" w14:textId="77777777" w:rsidR="00FA6F72" w:rsidRPr="00FA6F72" w:rsidRDefault="00FA6F72" w:rsidP="002F799E">
      <w:pPr>
        <w:numPr>
          <w:ilvl w:val="0"/>
          <w:numId w:val="1"/>
        </w:numPr>
        <w:spacing w:line="276" w:lineRule="auto"/>
        <w:jc w:val="both"/>
        <w:rPr>
          <w:sz w:val="20"/>
          <w:szCs w:val="20"/>
        </w:rPr>
      </w:pPr>
      <w:r w:rsidRPr="00FA6F72">
        <w:rPr>
          <w:b/>
          <w:bCs/>
          <w:sz w:val="20"/>
          <w:szCs w:val="20"/>
        </w:rPr>
        <w:t>PCA Component 2</w:t>
      </w:r>
    </w:p>
    <w:p w14:paraId="18C0E519" w14:textId="77777777" w:rsidR="00FA6F72" w:rsidRPr="00FA6F72" w:rsidRDefault="00FA6F72" w:rsidP="002F799E">
      <w:pPr>
        <w:spacing w:line="276" w:lineRule="auto"/>
        <w:jc w:val="both"/>
        <w:rPr>
          <w:sz w:val="20"/>
          <w:szCs w:val="20"/>
        </w:rPr>
      </w:pPr>
      <w:r w:rsidRPr="00FA6F72">
        <w:rPr>
          <w:sz w:val="20"/>
          <w:szCs w:val="20"/>
        </w:rPr>
        <w:t xml:space="preserve">This allows the QCBM to learn a </w:t>
      </w:r>
      <w:r w:rsidRPr="00FA6F72">
        <w:rPr>
          <w:b/>
          <w:bCs/>
          <w:sz w:val="20"/>
          <w:szCs w:val="20"/>
        </w:rPr>
        <w:t>2D probability map</w:t>
      </w:r>
      <w:r w:rsidRPr="00FA6F72">
        <w:rPr>
          <w:sz w:val="20"/>
          <w:szCs w:val="20"/>
        </w:rPr>
        <w:t>, later discretized into a 16×16 grid.</w:t>
      </w:r>
    </w:p>
    <w:p w14:paraId="3B21BB89" w14:textId="77777777" w:rsidR="00FA6F72" w:rsidRPr="00FA6F72" w:rsidRDefault="00FA6F72" w:rsidP="002F799E">
      <w:pPr>
        <w:spacing w:line="276" w:lineRule="auto"/>
        <w:jc w:val="both"/>
        <w:rPr>
          <w:b/>
          <w:bCs/>
          <w:sz w:val="20"/>
          <w:szCs w:val="20"/>
        </w:rPr>
      </w:pPr>
      <w:r w:rsidRPr="00FA6F72">
        <w:rPr>
          <w:b/>
          <w:bCs/>
          <w:sz w:val="20"/>
          <w:szCs w:val="20"/>
        </w:rPr>
        <w:t>2.3 Normalization</w:t>
      </w:r>
    </w:p>
    <w:p w14:paraId="18244D3D" w14:textId="54A4D080" w:rsidR="00FA6F72" w:rsidRPr="00FA6F72" w:rsidRDefault="00FA6F72" w:rsidP="002F799E">
      <w:pPr>
        <w:spacing w:line="276" w:lineRule="auto"/>
        <w:jc w:val="both"/>
        <w:rPr>
          <w:sz w:val="20"/>
          <w:szCs w:val="20"/>
        </w:rPr>
      </w:pPr>
      <w:r w:rsidRPr="00FA6F72">
        <w:rPr>
          <w:sz w:val="20"/>
          <w:szCs w:val="20"/>
        </w:rPr>
        <w:t xml:space="preserve">Each component is scaled to </w:t>
      </w:r>
      <m:oMath>
        <m:d>
          <m:dPr>
            <m:begChr m:val="["/>
            <m:sepChr m:val=","/>
            <m:endChr m:val="]"/>
            <m:ctrlPr>
              <w:rPr>
                <w:rFonts w:ascii="Cambria Math" w:hAnsi="Cambria Math"/>
                <w:sz w:val="20"/>
                <w:szCs w:val="20"/>
              </w:rPr>
            </m:ctrlPr>
          </m:dPr>
          <m:e>
            <m:r>
              <w:rPr>
                <w:rFonts w:ascii="Cambria Math" w:hAnsi="Cambria Math"/>
                <w:sz w:val="20"/>
                <w:szCs w:val="20"/>
              </w:rPr>
              <m:t>0</m:t>
            </m:r>
          </m:e>
          <m:e>
            <m:r>
              <w:rPr>
                <w:rFonts w:ascii="Cambria Math" w:hAnsi="Cambria Math"/>
                <w:sz w:val="20"/>
                <w:szCs w:val="20"/>
              </w:rPr>
              <m:t>1</m:t>
            </m:r>
          </m:e>
        </m:d>
      </m:oMath>
      <w:r w:rsidRPr="00FA6F72">
        <w:rPr>
          <w:sz w:val="20"/>
          <w:szCs w:val="20"/>
        </w:rPr>
        <w:t>using min–max normalization.</w:t>
      </w:r>
    </w:p>
    <w:p w14:paraId="43B3E82A" w14:textId="77777777" w:rsidR="00FA6F72" w:rsidRPr="00FA6F72" w:rsidRDefault="00FA6F72" w:rsidP="002F799E">
      <w:pPr>
        <w:spacing w:line="276" w:lineRule="auto"/>
        <w:jc w:val="both"/>
        <w:rPr>
          <w:b/>
          <w:bCs/>
          <w:sz w:val="20"/>
          <w:szCs w:val="20"/>
        </w:rPr>
      </w:pPr>
      <w:r w:rsidRPr="00FA6F72">
        <w:rPr>
          <w:b/>
          <w:bCs/>
          <w:sz w:val="20"/>
          <w:szCs w:val="20"/>
        </w:rPr>
        <w:t>2.4 2D Binning</w:t>
      </w:r>
    </w:p>
    <w:p w14:paraId="296D8FF4" w14:textId="77777777" w:rsidR="00FA6F72" w:rsidRPr="00C133CD" w:rsidRDefault="00FA6F72" w:rsidP="002F799E">
      <w:pPr>
        <w:spacing w:line="276" w:lineRule="auto"/>
        <w:jc w:val="both"/>
        <w:rPr>
          <w:sz w:val="20"/>
          <w:szCs w:val="20"/>
        </w:rPr>
      </w:pPr>
      <w:r w:rsidRPr="00FA6F72">
        <w:rPr>
          <w:sz w:val="20"/>
          <w:szCs w:val="20"/>
        </w:rPr>
        <w:lastRenderedPageBreak/>
        <w:t xml:space="preserve">We divide the normalized PCA space into </w:t>
      </w:r>
      <w:r w:rsidRPr="00FA6F72">
        <w:rPr>
          <w:b/>
          <w:bCs/>
          <w:sz w:val="20"/>
          <w:szCs w:val="20"/>
        </w:rPr>
        <w:t>16×16 bins</w:t>
      </w:r>
      <w:r w:rsidRPr="00FA6F72">
        <w:rPr>
          <w:sz w:val="20"/>
          <w:szCs w:val="20"/>
        </w:rPr>
        <w:t xml:space="preserve">, producing </w:t>
      </w:r>
      <w:r w:rsidRPr="00FA6F72">
        <w:rPr>
          <w:b/>
          <w:bCs/>
          <w:sz w:val="20"/>
          <w:szCs w:val="20"/>
        </w:rPr>
        <w:t>256 discrete states</w:t>
      </w:r>
      <w:r w:rsidRPr="00FA6F72">
        <w:rPr>
          <w:sz w:val="20"/>
          <w:szCs w:val="20"/>
        </w:rPr>
        <w:t>, matching the QCBM’s 8-qubit output space.</w:t>
      </w:r>
    </w:p>
    <w:p w14:paraId="0E3B62A4" w14:textId="0327DD16" w:rsidR="00FA6F72" w:rsidRPr="00FA6F72" w:rsidRDefault="00FA6F72" w:rsidP="002F799E">
      <w:pPr>
        <w:spacing w:line="276" w:lineRule="auto"/>
        <w:jc w:val="both"/>
        <w:rPr>
          <w:sz w:val="20"/>
          <w:szCs w:val="20"/>
        </w:rPr>
      </w:pPr>
      <w:r w:rsidRPr="00C133CD">
        <w:rPr>
          <w:b/>
          <w:bCs/>
          <w:noProof/>
          <w:sz w:val="20"/>
          <w:szCs w:val="20"/>
        </w:rPr>
        <w:drawing>
          <wp:inline distT="0" distB="0" distL="0" distR="0" wp14:anchorId="6E44FB11" wp14:editId="741C0920">
            <wp:extent cx="2656114" cy="2089988"/>
            <wp:effectExtent l="0" t="0" r="0" b="5715"/>
            <wp:docPr id="466326806" name="Picture 6" descr="A blue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6806" name="Picture 6" descr="A blue and red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4180" cy="2096335"/>
                    </a:xfrm>
                    <a:prstGeom prst="rect">
                      <a:avLst/>
                    </a:prstGeom>
                  </pic:spPr>
                </pic:pic>
              </a:graphicData>
            </a:graphic>
          </wp:inline>
        </w:drawing>
      </w:r>
    </w:p>
    <w:p w14:paraId="220988AA" w14:textId="712DFA51" w:rsidR="00FA6F72" w:rsidRPr="00FA6F72" w:rsidRDefault="00FA6F72" w:rsidP="002F799E">
      <w:pPr>
        <w:spacing w:line="276" w:lineRule="auto"/>
        <w:jc w:val="both"/>
        <w:rPr>
          <w:i/>
          <w:iCs/>
          <w:sz w:val="20"/>
          <w:szCs w:val="20"/>
        </w:rPr>
      </w:pPr>
      <w:r w:rsidRPr="00FA6F72">
        <w:rPr>
          <w:i/>
          <w:iCs/>
          <w:sz w:val="20"/>
          <w:szCs w:val="20"/>
        </w:rPr>
        <w:t xml:space="preserve">Figure </w:t>
      </w:r>
      <w:r w:rsidR="000B4CB8" w:rsidRPr="00C133CD">
        <w:rPr>
          <w:i/>
          <w:iCs/>
          <w:sz w:val="20"/>
          <w:szCs w:val="20"/>
        </w:rPr>
        <w:t>1</w:t>
      </w:r>
      <w:r w:rsidRPr="00FA6F72">
        <w:rPr>
          <w:i/>
          <w:iCs/>
          <w:sz w:val="20"/>
          <w:szCs w:val="20"/>
        </w:rPr>
        <w:t>. PCA Sample Comparison</w:t>
      </w:r>
      <w:r w:rsidRPr="00FA6F72">
        <w:rPr>
          <w:i/>
          <w:iCs/>
          <w:sz w:val="20"/>
          <w:szCs w:val="20"/>
        </w:rPr>
        <w:br/>
      </w:r>
    </w:p>
    <w:p w14:paraId="62CCB1A1" w14:textId="749C691C" w:rsidR="00FA6F72" w:rsidRPr="00FA6F72" w:rsidRDefault="00FA6F72" w:rsidP="002F799E">
      <w:pPr>
        <w:spacing w:line="276" w:lineRule="auto"/>
        <w:jc w:val="both"/>
        <w:rPr>
          <w:sz w:val="20"/>
          <w:szCs w:val="20"/>
        </w:rPr>
      </w:pPr>
    </w:p>
    <w:p w14:paraId="61C75F74" w14:textId="77777777" w:rsidR="00FA6F72" w:rsidRPr="00FA6F72" w:rsidRDefault="00FA6F72" w:rsidP="002F799E">
      <w:pPr>
        <w:spacing w:line="276" w:lineRule="auto"/>
        <w:jc w:val="both"/>
        <w:rPr>
          <w:b/>
          <w:bCs/>
          <w:sz w:val="20"/>
          <w:szCs w:val="20"/>
        </w:rPr>
      </w:pPr>
      <w:r w:rsidRPr="00FA6F72">
        <w:rPr>
          <w:b/>
          <w:bCs/>
          <w:sz w:val="20"/>
          <w:szCs w:val="20"/>
        </w:rPr>
        <w:t>3. QCBM Architecture</w:t>
      </w:r>
    </w:p>
    <w:p w14:paraId="38A5C98C" w14:textId="77777777" w:rsidR="00FA6F72" w:rsidRPr="00FA6F72" w:rsidRDefault="00FA6F72" w:rsidP="002F799E">
      <w:pPr>
        <w:spacing w:line="276" w:lineRule="auto"/>
        <w:jc w:val="both"/>
        <w:rPr>
          <w:sz w:val="20"/>
          <w:szCs w:val="20"/>
        </w:rPr>
      </w:pPr>
      <w:r w:rsidRPr="00FA6F72">
        <w:rPr>
          <w:sz w:val="20"/>
          <w:szCs w:val="20"/>
        </w:rPr>
        <w:t>The QCBM used in this study consists of:</w:t>
      </w:r>
    </w:p>
    <w:p w14:paraId="4B31C29F" w14:textId="77777777" w:rsidR="00FA6F72" w:rsidRPr="00FA6F72" w:rsidRDefault="00FA6F72" w:rsidP="002F799E">
      <w:pPr>
        <w:numPr>
          <w:ilvl w:val="0"/>
          <w:numId w:val="2"/>
        </w:numPr>
        <w:spacing w:line="276" w:lineRule="auto"/>
        <w:jc w:val="both"/>
        <w:rPr>
          <w:sz w:val="20"/>
          <w:szCs w:val="20"/>
        </w:rPr>
      </w:pPr>
      <w:r w:rsidRPr="00FA6F72">
        <w:rPr>
          <w:b/>
          <w:bCs/>
          <w:sz w:val="20"/>
          <w:szCs w:val="20"/>
        </w:rPr>
        <w:t>8 qubits</w:t>
      </w:r>
    </w:p>
    <w:p w14:paraId="4F042188" w14:textId="77777777" w:rsidR="00FA6F72" w:rsidRPr="00FA6F72" w:rsidRDefault="00FA6F72" w:rsidP="002F799E">
      <w:pPr>
        <w:numPr>
          <w:ilvl w:val="0"/>
          <w:numId w:val="2"/>
        </w:numPr>
        <w:spacing w:line="276" w:lineRule="auto"/>
        <w:jc w:val="both"/>
        <w:rPr>
          <w:sz w:val="20"/>
          <w:szCs w:val="20"/>
        </w:rPr>
      </w:pPr>
      <w:r w:rsidRPr="00FA6F72">
        <w:rPr>
          <w:b/>
          <w:bCs/>
          <w:sz w:val="20"/>
          <w:szCs w:val="20"/>
        </w:rPr>
        <w:t>8 repeated layers (ansatz depth)</w:t>
      </w:r>
    </w:p>
    <w:p w14:paraId="6C873B17" w14:textId="77777777" w:rsidR="00FA6F72" w:rsidRPr="00FA6F72" w:rsidRDefault="00FA6F72" w:rsidP="002F799E">
      <w:pPr>
        <w:numPr>
          <w:ilvl w:val="0"/>
          <w:numId w:val="2"/>
        </w:numPr>
        <w:spacing w:line="276" w:lineRule="auto"/>
        <w:jc w:val="both"/>
        <w:rPr>
          <w:sz w:val="20"/>
          <w:szCs w:val="20"/>
        </w:rPr>
      </w:pPr>
      <w:r w:rsidRPr="00FA6F72">
        <w:rPr>
          <w:b/>
          <w:bCs/>
          <w:sz w:val="20"/>
          <w:szCs w:val="20"/>
        </w:rPr>
        <w:t>Ry rotation gates</w:t>
      </w:r>
      <w:r w:rsidRPr="00FA6F72">
        <w:rPr>
          <w:sz w:val="20"/>
          <w:szCs w:val="20"/>
        </w:rPr>
        <w:t xml:space="preserve"> on each qubit</w:t>
      </w:r>
    </w:p>
    <w:p w14:paraId="1AF2D5A6" w14:textId="77777777" w:rsidR="00FA6F72" w:rsidRPr="00FA6F72" w:rsidRDefault="00FA6F72" w:rsidP="002F799E">
      <w:pPr>
        <w:numPr>
          <w:ilvl w:val="0"/>
          <w:numId w:val="2"/>
        </w:numPr>
        <w:spacing w:line="276" w:lineRule="auto"/>
        <w:jc w:val="both"/>
        <w:rPr>
          <w:sz w:val="20"/>
          <w:szCs w:val="20"/>
        </w:rPr>
      </w:pPr>
      <w:r w:rsidRPr="00FA6F72">
        <w:rPr>
          <w:b/>
          <w:bCs/>
          <w:sz w:val="20"/>
          <w:szCs w:val="20"/>
        </w:rPr>
        <w:t>Circular CNOT entanglement</w:t>
      </w:r>
      <w:r w:rsidRPr="00FA6F72">
        <w:rPr>
          <w:sz w:val="20"/>
          <w:szCs w:val="20"/>
        </w:rPr>
        <w:t>, connecting q0→q1→…→q7→q0</w:t>
      </w:r>
    </w:p>
    <w:p w14:paraId="70FAF12E" w14:textId="77777777" w:rsidR="00FA6F72" w:rsidRPr="00FA6F72" w:rsidRDefault="00FA6F72" w:rsidP="002F799E">
      <w:pPr>
        <w:numPr>
          <w:ilvl w:val="0"/>
          <w:numId w:val="2"/>
        </w:numPr>
        <w:spacing w:line="276" w:lineRule="auto"/>
        <w:jc w:val="both"/>
        <w:rPr>
          <w:sz w:val="20"/>
          <w:szCs w:val="20"/>
        </w:rPr>
      </w:pPr>
      <w:r w:rsidRPr="00FA6F72">
        <w:rPr>
          <w:b/>
          <w:bCs/>
          <w:sz w:val="20"/>
          <w:szCs w:val="20"/>
        </w:rPr>
        <w:t>64 trainable parameters</w:t>
      </w:r>
      <w:r w:rsidRPr="00FA6F72">
        <w:rPr>
          <w:sz w:val="20"/>
          <w:szCs w:val="20"/>
        </w:rPr>
        <w:t xml:space="preserve"> (8 per layer × 8 layers)</w:t>
      </w:r>
    </w:p>
    <w:p w14:paraId="66037489" w14:textId="434BDB76" w:rsidR="00FA6F72" w:rsidRPr="00FA6F72" w:rsidRDefault="00FA6F72" w:rsidP="002F799E">
      <w:pPr>
        <w:spacing w:line="276" w:lineRule="auto"/>
        <w:jc w:val="both"/>
        <w:rPr>
          <w:sz w:val="20"/>
          <w:szCs w:val="20"/>
        </w:rPr>
      </w:pPr>
      <w:r w:rsidRPr="00FA6F72">
        <w:rPr>
          <w:sz w:val="20"/>
          <w:szCs w:val="20"/>
        </w:rPr>
        <w:t xml:space="preserve">The measurement outputs a distribution over the </w:t>
      </w:r>
      <m:oMath>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8</m:t>
            </m:r>
          </m:sup>
        </m:sSup>
        <m:r>
          <w:rPr>
            <w:rFonts w:ascii="Cambria Math" w:hAnsi="Cambria Math"/>
            <w:sz w:val="20"/>
            <w:szCs w:val="20"/>
          </w:rPr>
          <m:t>=256</m:t>
        </m:r>
      </m:oMath>
      <w:r w:rsidRPr="00FA6F72">
        <w:rPr>
          <w:sz w:val="20"/>
          <w:szCs w:val="20"/>
        </w:rPr>
        <w:t>computational basis states, corresponding to the 16×16 bin representation.</w:t>
      </w:r>
    </w:p>
    <w:p w14:paraId="2D9A8B4E" w14:textId="0B772393" w:rsidR="00FA6F72" w:rsidRPr="00FA6F72" w:rsidRDefault="00FA6F72" w:rsidP="002F799E">
      <w:pPr>
        <w:spacing w:line="276" w:lineRule="auto"/>
        <w:jc w:val="both"/>
        <w:rPr>
          <w:sz w:val="20"/>
          <w:szCs w:val="20"/>
        </w:rPr>
      </w:pPr>
    </w:p>
    <w:p w14:paraId="3117100D" w14:textId="0089113E" w:rsidR="00FA6F72" w:rsidRPr="00FA6F72" w:rsidRDefault="00FA6F72" w:rsidP="002F799E">
      <w:pPr>
        <w:spacing w:line="276" w:lineRule="auto"/>
        <w:jc w:val="both"/>
        <w:rPr>
          <w:i/>
          <w:iCs/>
          <w:sz w:val="20"/>
          <w:szCs w:val="20"/>
        </w:rPr>
      </w:pPr>
      <w:r w:rsidRPr="00C133CD">
        <w:rPr>
          <w:noProof/>
          <w:sz w:val="20"/>
          <w:szCs w:val="20"/>
        </w:rPr>
        <w:drawing>
          <wp:inline distT="0" distB="0" distL="0" distR="0" wp14:anchorId="7B1748D3" wp14:editId="277950C3">
            <wp:extent cx="3258350" cy="1160961"/>
            <wp:effectExtent l="0" t="0" r="0" b="1270"/>
            <wp:docPr id="1697102071"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02071" name="Picture 8"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3459" cy="1177034"/>
                    </a:xfrm>
                    <a:prstGeom prst="rect">
                      <a:avLst/>
                    </a:prstGeom>
                  </pic:spPr>
                </pic:pic>
              </a:graphicData>
            </a:graphic>
          </wp:inline>
        </w:drawing>
      </w:r>
      <w:r w:rsidRPr="00FA6F72">
        <w:rPr>
          <w:i/>
          <w:iCs/>
          <w:sz w:val="20"/>
          <w:szCs w:val="20"/>
        </w:rPr>
        <w:t xml:space="preserve">Figure </w:t>
      </w:r>
      <w:r w:rsidR="000B4CB8" w:rsidRPr="00C133CD">
        <w:rPr>
          <w:i/>
          <w:iCs/>
          <w:sz w:val="20"/>
          <w:szCs w:val="20"/>
        </w:rPr>
        <w:t>2</w:t>
      </w:r>
      <w:r w:rsidRPr="00FA6F72">
        <w:rPr>
          <w:i/>
          <w:iCs/>
          <w:sz w:val="20"/>
          <w:szCs w:val="20"/>
        </w:rPr>
        <w:t>. QCBM Circuit Diagram</w:t>
      </w:r>
      <w:r w:rsidRPr="00FA6F72">
        <w:rPr>
          <w:i/>
          <w:iCs/>
          <w:sz w:val="20"/>
          <w:szCs w:val="20"/>
        </w:rPr>
        <w:br/>
      </w:r>
    </w:p>
    <w:p w14:paraId="5CCF870E" w14:textId="2C6A7780" w:rsidR="00FA6F72" w:rsidRPr="00FA6F72" w:rsidRDefault="00FA6F72" w:rsidP="002F799E">
      <w:pPr>
        <w:spacing w:line="276" w:lineRule="auto"/>
        <w:jc w:val="both"/>
        <w:rPr>
          <w:sz w:val="20"/>
          <w:szCs w:val="20"/>
        </w:rPr>
      </w:pPr>
    </w:p>
    <w:p w14:paraId="207D171A" w14:textId="77777777" w:rsidR="00FA6F72" w:rsidRPr="00FA6F72" w:rsidRDefault="00FA6F72" w:rsidP="002F799E">
      <w:pPr>
        <w:spacing w:line="276" w:lineRule="auto"/>
        <w:jc w:val="both"/>
        <w:rPr>
          <w:b/>
          <w:bCs/>
          <w:sz w:val="20"/>
          <w:szCs w:val="20"/>
        </w:rPr>
      </w:pPr>
      <w:r w:rsidRPr="00FA6F72">
        <w:rPr>
          <w:b/>
          <w:bCs/>
          <w:sz w:val="20"/>
          <w:szCs w:val="20"/>
        </w:rPr>
        <w:t>4. Mathematical Model</w:t>
      </w:r>
    </w:p>
    <w:p w14:paraId="79EC1350" w14:textId="77777777" w:rsidR="00FA6F72" w:rsidRPr="00FA6F72" w:rsidRDefault="00FA6F72" w:rsidP="002F799E">
      <w:pPr>
        <w:spacing w:line="276" w:lineRule="auto"/>
        <w:jc w:val="both"/>
        <w:rPr>
          <w:sz w:val="20"/>
          <w:szCs w:val="20"/>
        </w:rPr>
      </w:pPr>
      <w:r w:rsidRPr="00FA6F72">
        <w:rPr>
          <w:sz w:val="20"/>
          <w:szCs w:val="20"/>
        </w:rPr>
        <w:t>The QCBM defines a probability amplitude through a parametrized quantum circuit.</w:t>
      </w:r>
    </w:p>
    <w:p w14:paraId="70ADE037" w14:textId="77777777" w:rsidR="00FA6F72" w:rsidRPr="00FA6F72" w:rsidRDefault="00FA6F72" w:rsidP="002F799E">
      <w:pPr>
        <w:spacing w:line="276" w:lineRule="auto"/>
        <w:jc w:val="both"/>
        <w:rPr>
          <w:b/>
          <w:bCs/>
          <w:sz w:val="20"/>
          <w:szCs w:val="20"/>
        </w:rPr>
      </w:pPr>
      <w:r w:rsidRPr="00FA6F72">
        <w:rPr>
          <w:b/>
          <w:bCs/>
          <w:sz w:val="20"/>
          <w:szCs w:val="20"/>
        </w:rPr>
        <w:t>4.1 Initial State</w:t>
      </w:r>
    </w:p>
    <w:p w14:paraId="597F9D6F" w14:textId="331AEF56" w:rsidR="00FA6F72" w:rsidRPr="00FA6F72" w:rsidRDefault="00FA6F72" w:rsidP="002F799E">
      <w:pPr>
        <w:spacing w:line="276" w:lineRule="auto"/>
        <w:jc w:val="both"/>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ψ</m:t>
              </m:r>
            </m:e>
            <m:sub>
              <m:r>
                <w:rPr>
                  <w:rFonts w:ascii="Cambria Math" w:hAnsi="Cambria Math"/>
                  <w:sz w:val="20"/>
                  <w:szCs w:val="20"/>
                </w:rPr>
                <m:t>0</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⊗8</m:t>
              </m:r>
            </m:sup>
          </m:sSup>
          <m:r>
            <w:rPr>
              <w:sz w:val="20"/>
              <w:szCs w:val="20"/>
            </w:rPr>
            <w:br/>
          </m:r>
        </m:oMath>
      </m:oMathPara>
    </w:p>
    <w:p w14:paraId="0FC7841E" w14:textId="77777777" w:rsidR="00FA6F72" w:rsidRPr="00FA6F72" w:rsidRDefault="00FA6F72" w:rsidP="002F799E">
      <w:pPr>
        <w:spacing w:line="276" w:lineRule="auto"/>
        <w:jc w:val="both"/>
        <w:rPr>
          <w:b/>
          <w:bCs/>
          <w:sz w:val="20"/>
          <w:szCs w:val="20"/>
        </w:rPr>
      </w:pPr>
      <w:r w:rsidRPr="00FA6F72">
        <w:rPr>
          <w:b/>
          <w:bCs/>
          <w:sz w:val="20"/>
          <w:szCs w:val="20"/>
        </w:rPr>
        <w:t>4.2 Rotation Layer</w:t>
      </w:r>
    </w:p>
    <w:p w14:paraId="74242FBD" w14:textId="475D6864" w:rsidR="00FA6F72" w:rsidRPr="00FA6F72" w:rsidRDefault="00FA6F72" w:rsidP="002F799E">
      <w:pPr>
        <w:spacing w:line="276" w:lineRule="auto"/>
        <w:jc w:val="both"/>
        <w:rPr>
          <w:sz w:val="20"/>
          <w:szCs w:val="20"/>
        </w:rPr>
      </w:pPr>
      <m:oMathPara>
        <m:oMath>
          <m:sSub>
            <m:sSubPr>
              <m:ctrlPr>
                <w:rPr>
                  <w:rFonts w:ascii="Cambria Math" w:hAnsi="Cambria Math"/>
                  <w:sz w:val="20"/>
                  <w:szCs w:val="20"/>
                </w:rPr>
              </m:ctrlPr>
            </m:sSubPr>
            <m:e>
              <m:r>
                <w:rPr>
                  <w:rFonts w:ascii="Cambria Math" w:hAnsi="Cambria Math"/>
                  <w:sz w:val="20"/>
                  <w:szCs w:val="20"/>
                </w:rPr>
                <m:t>U</m:t>
              </m:r>
            </m:e>
            <m:sub>
              <m:r>
                <m:rPr>
                  <m:nor/>
                </m:rPr>
                <w:rPr>
                  <w:sz w:val="20"/>
                  <w:szCs w:val="20"/>
                </w:rPr>
                <m:t>rot</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θ</m:t>
              </m:r>
            </m:e>
            <m:sup>
              <m:d>
                <m:dPr>
                  <m:ctrlPr>
                    <w:rPr>
                      <w:rFonts w:ascii="Cambria Math" w:hAnsi="Cambria Math"/>
                      <w:sz w:val="20"/>
                      <w:szCs w:val="20"/>
                    </w:rPr>
                  </m:ctrlPr>
                </m:dPr>
                <m:e>
                  <m:r>
                    <w:rPr>
                      <w:rFonts w:ascii="Cambria Math" w:hAnsi="Cambria Math"/>
                      <w:sz w:val="20"/>
                      <w:szCs w:val="20"/>
                    </w:rPr>
                    <m:t>l</m:t>
                  </m:r>
                </m:e>
              </m:d>
            </m:sup>
          </m:sSup>
          <m:r>
            <w:rPr>
              <w:rFonts w:ascii="Cambria Math" w:hAnsi="Cambria Math"/>
              <w:sz w:val="20"/>
              <w:szCs w:val="20"/>
            </w:rPr>
            <m:t>)=</m:t>
          </m:r>
          <m:limUpp>
            <m:limUppPr>
              <m:ctrlPr>
                <w:rPr>
                  <w:rFonts w:ascii="Cambria Math" w:hAnsi="Cambria Math"/>
                  <w:sz w:val="20"/>
                  <w:szCs w:val="20"/>
                </w:rPr>
              </m:ctrlPr>
            </m:limUppPr>
            <m:e>
              <m:limLow>
                <m:limLowPr>
                  <m:ctrlPr>
                    <w:rPr>
                      <w:rFonts w:ascii="Cambria Math" w:hAnsi="Cambria Math"/>
                      <w:sz w:val="20"/>
                      <w:szCs w:val="20"/>
                    </w:rPr>
                  </m:ctrlPr>
                </m:limLowPr>
                <m:e>
                  <m:r>
                    <w:rPr>
                      <w:rFonts w:ascii="Cambria Math" w:hAnsi="Cambria Math"/>
                      <w:sz w:val="20"/>
                      <w:szCs w:val="20"/>
                    </w:rPr>
                    <m:t>⨂</m:t>
                  </m:r>
                </m:e>
                <m:lim>
                  <m:r>
                    <w:rPr>
                      <w:rFonts w:ascii="Cambria Math" w:hAnsi="Cambria Math"/>
                      <w:sz w:val="20"/>
                      <w:szCs w:val="20"/>
                    </w:rPr>
                    <m:t>i=0</m:t>
                  </m:r>
                </m:lim>
              </m:limLow>
            </m:e>
            <m:lim>
              <m:r>
                <w:rPr>
                  <w:rFonts w:ascii="Cambria Math" w:hAnsi="Cambria Math"/>
                  <w:sz w:val="20"/>
                  <w:szCs w:val="20"/>
                </w:rPr>
                <m:t>7</m:t>
              </m:r>
            </m:lim>
          </m:limUpp>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Y</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l</m:t>
                  </m:r>
                </m:e>
              </m:d>
            </m:sup>
          </m:sSubSup>
          <m:r>
            <w:rPr>
              <w:rFonts w:ascii="Cambria Math" w:hAnsi="Cambria Math"/>
              <w:sz w:val="20"/>
              <w:szCs w:val="20"/>
            </w:rPr>
            <m:t>)</m:t>
          </m:r>
          <m:r>
            <w:rPr>
              <w:i/>
              <w:sz w:val="20"/>
              <w:szCs w:val="20"/>
            </w:rPr>
            <w:br/>
          </m:r>
        </m:oMath>
      </m:oMathPara>
    </w:p>
    <w:p w14:paraId="2B485262" w14:textId="77777777" w:rsidR="00FA6F72" w:rsidRPr="00FA6F72" w:rsidRDefault="00FA6F72" w:rsidP="002F799E">
      <w:pPr>
        <w:spacing w:line="276" w:lineRule="auto"/>
        <w:jc w:val="both"/>
        <w:rPr>
          <w:b/>
          <w:bCs/>
          <w:sz w:val="20"/>
          <w:szCs w:val="20"/>
        </w:rPr>
      </w:pPr>
      <w:r w:rsidRPr="00FA6F72">
        <w:rPr>
          <w:b/>
          <w:bCs/>
          <w:sz w:val="20"/>
          <w:szCs w:val="20"/>
        </w:rPr>
        <w:t>4.3 Entanglement Layer (Circular)</w:t>
      </w:r>
    </w:p>
    <w:p w14:paraId="108D42A9" w14:textId="4B6611D0" w:rsidR="00FA6F72" w:rsidRPr="00FA6F72" w:rsidRDefault="00FA6F72" w:rsidP="002F799E">
      <w:pPr>
        <w:spacing w:line="276" w:lineRule="auto"/>
        <w:jc w:val="both"/>
        <w:rPr>
          <w:sz w:val="20"/>
          <w:szCs w:val="20"/>
        </w:rPr>
      </w:pPr>
      <m:oMathPara>
        <m:oMath>
          <m:sSub>
            <m:sSubPr>
              <m:ctrlPr>
                <w:rPr>
                  <w:rFonts w:ascii="Cambria Math" w:hAnsi="Cambria Math"/>
                  <w:sz w:val="20"/>
                  <w:szCs w:val="20"/>
                </w:rPr>
              </m:ctrlPr>
            </m:sSubPr>
            <m:e>
              <m:r>
                <w:rPr>
                  <w:rFonts w:ascii="Cambria Math" w:hAnsi="Cambria Math"/>
                  <w:sz w:val="20"/>
                  <w:szCs w:val="20"/>
                </w:rPr>
                <m:t>U</m:t>
              </m:r>
            </m:e>
            <m:sub>
              <m:r>
                <m:rPr>
                  <m:nor/>
                </m:rPr>
                <w:rPr>
                  <w:sz w:val="20"/>
                  <w:szCs w:val="20"/>
                </w:rPr>
                <m:t>ent</m:t>
              </m:r>
            </m:sub>
          </m:sSub>
          <m: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i=0</m:t>
              </m:r>
            </m:sub>
            <m:sup>
              <m:r>
                <w:rPr>
                  <w:rFonts w:ascii="Cambria Math" w:hAnsi="Cambria Math"/>
                  <w:sz w:val="20"/>
                  <w:szCs w:val="20"/>
                </w:rPr>
                <m:t>7</m:t>
              </m:r>
            </m:sup>
            <m:e>
              <m:r>
                <m:rPr>
                  <m:sty m:val="p"/>
                </m:rPr>
                <w:rPr>
                  <w:rFonts w:ascii="Cambria Math" w:hAnsi="Cambria Math"/>
                  <w:sz w:val="20"/>
                  <w:szCs w:val="20"/>
                </w:rPr>
                <m:t>CNOT</m:t>
              </m:r>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(i+1)</m:t>
              </m:r>
              <m:r>
                <m:rPr>
                  <m:nor/>
                </m:rPr>
                <w:rPr>
                  <w:rFonts w:ascii="Arial" w:hAnsi="Arial" w:cs="Arial"/>
                  <w:sz w:val="20"/>
                  <w:szCs w:val="20"/>
                </w:rPr>
                <m:t> </m:t>
              </m:r>
              <m:r>
                <w:rPr>
                  <w:rFonts w:ascii="Cambria Math" w:hAnsi="Cambria Math"/>
                  <w:sz w:val="20"/>
                  <w:szCs w:val="20"/>
                </w:rPr>
                <m:t>mod</m:t>
              </m:r>
              <m:r>
                <m:rPr>
                  <m:nor/>
                </m:rPr>
                <w:rPr>
                  <w:rFonts w:ascii="Arial" w:hAnsi="Arial" w:cs="Arial"/>
                  <w:sz w:val="20"/>
                  <w:szCs w:val="20"/>
                </w:rPr>
                <m:t> </m:t>
              </m:r>
              <m:r>
                <w:rPr>
                  <w:rFonts w:ascii="Cambria Math" w:hAnsi="Cambria Math"/>
                  <w:sz w:val="20"/>
                  <w:szCs w:val="20"/>
                </w:rPr>
                <m:t>8</m:t>
              </m:r>
            </m:sub>
          </m:sSub>
          <m:r>
            <w:rPr>
              <w:rFonts w:ascii="Cambria Math" w:hAnsi="Cambria Math"/>
              <w:sz w:val="20"/>
              <w:szCs w:val="20"/>
            </w:rPr>
            <m:t>)</m:t>
          </m:r>
          <m:r>
            <w:rPr>
              <w:i/>
              <w:sz w:val="20"/>
              <w:szCs w:val="20"/>
            </w:rPr>
            <w:br/>
          </m:r>
        </m:oMath>
      </m:oMathPara>
    </w:p>
    <w:p w14:paraId="164304B2" w14:textId="77777777" w:rsidR="00FA6F72" w:rsidRPr="00FA6F72" w:rsidRDefault="00FA6F72" w:rsidP="002F799E">
      <w:pPr>
        <w:spacing w:line="276" w:lineRule="auto"/>
        <w:jc w:val="both"/>
        <w:rPr>
          <w:b/>
          <w:bCs/>
          <w:sz w:val="20"/>
          <w:szCs w:val="20"/>
        </w:rPr>
      </w:pPr>
      <w:r w:rsidRPr="00FA6F72">
        <w:rPr>
          <w:b/>
          <w:bCs/>
          <w:sz w:val="20"/>
          <w:szCs w:val="20"/>
        </w:rPr>
        <w:t>4.4 Layer Composition</w:t>
      </w:r>
    </w:p>
    <w:p w14:paraId="2417D617" w14:textId="5CD427F5" w:rsidR="00FA6F72" w:rsidRPr="00FA6F72" w:rsidRDefault="00FA6F72" w:rsidP="002F799E">
      <w:pPr>
        <w:spacing w:line="276" w:lineRule="auto"/>
        <w:jc w:val="both"/>
        <w:rPr>
          <w:sz w:val="20"/>
          <w:szCs w:val="20"/>
        </w:rPr>
      </w:pPr>
      <m:oMathPara>
        <m:oMath>
          <m:sSub>
            <m:sSubPr>
              <m:ctrlPr>
                <w:rPr>
                  <w:rFonts w:ascii="Cambria Math" w:hAnsi="Cambria Math"/>
                  <w:sz w:val="20"/>
                  <w:szCs w:val="20"/>
                </w:rPr>
              </m:ctrlPr>
            </m:sSubPr>
            <m:e>
              <m:r>
                <w:rPr>
                  <w:rFonts w:ascii="Cambria Math" w:hAnsi="Cambria Math"/>
                  <w:sz w:val="20"/>
                  <w:szCs w:val="20"/>
                </w:rPr>
                <m:t>U</m:t>
              </m:r>
            </m:e>
            <m:sub>
              <m:r>
                <m:rPr>
                  <m:nor/>
                </m:rPr>
                <w:rPr>
                  <w:sz w:val="20"/>
                  <w:szCs w:val="20"/>
                </w:rPr>
                <m:t>layer</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θ</m:t>
              </m:r>
            </m:e>
            <m:sup>
              <m:d>
                <m:dPr>
                  <m:ctrlPr>
                    <w:rPr>
                      <w:rFonts w:ascii="Cambria Math" w:hAnsi="Cambria Math"/>
                      <w:sz w:val="20"/>
                      <w:szCs w:val="20"/>
                    </w:rPr>
                  </m:ctrlPr>
                </m:dPr>
                <m:e>
                  <m:r>
                    <w:rPr>
                      <w:rFonts w:ascii="Cambria Math" w:hAnsi="Cambria Math"/>
                      <w:sz w:val="20"/>
                      <w:szCs w:val="20"/>
                    </w:rPr>
                    <m:t>l</m:t>
                  </m:r>
                </m:e>
              </m:d>
            </m:sup>
          </m:s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m:rPr>
                  <m:nor/>
                </m:rPr>
                <w:rPr>
                  <w:sz w:val="20"/>
                  <w:szCs w:val="20"/>
                </w:rPr>
                <m:t>ent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m:rPr>
                  <m:nor/>
                </m:rPr>
                <w:rPr>
                  <w:sz w:val="20"/>
                  <w:szCs w:val="20"/>
                </w:rPr>
                <m:t>rot</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θ</m:t>
              </m:r>
            </m:e>
            <m:sup>
              <m:d>
                <m:dPr>
                  <m:ctrlPr>
                    <w:rPr>
                      <w:rFonts w:ascii="Cambria Math" w:hAnsi="Cambria Math"/>
                      <w:sz w:val="20"/>
                      <w:szCs w:val="20"/>
                    </w:rPr>
                  </m:ctrlPr>
                </m:dPr>
                <m:e>
                  <m:r>
                    <w:rPr>
                      <w:rFonts w:ascii="Cambria Math" w:hAnsi="Cambria Math"/>
                      <w:sz w:val="20"/>
                      <w:szCs w:val="20"/>
                    </w:rPr>
                    <m:t>l</m:t>
                  </m:r>
                </m:e>
              </m:d>
            </m:sup>
          </m:sSup>
          <m:r>
            <w:rPr>
              <w:rFonts w:ascii="Cambria Math" w:hAnsi="Cambria Math"/>
              <w:sz w:val="20"/>
              <w:szCs w:val="20"/>
            </w:rPr>
            <m:t>)</m:t>
          </m:r>
          <m:r>
            <w:rPr>
              <w:i/>
              <w:sz w:val="20"/>
              <w:szCs w:val="20"/>
            </w:rPr>
            <w:br/>
          </m:r>
        </m:oMath>
      </m:oMathPara>
    </w:p>
    <w:p w14:paraId="417CF763" w14:textId="77777777" w:rsidR="00FA6F72" w:rsidRPr="00FA6F72" w:rsidRDefault="00FA6F72" w:rsidP="002F799E">
      <w:pPr>
        <w:spacing w:line="276" w:lineRule="auto"/>
        <w:jc w:val="both"/>
        <w:rPr>
          <w:b/>
          <w:bCs/>
          <w:sz w:val="20"/>
          <w:szCs w:val="20"/>
        </w:rPr>
      </w:pPr>
      <w:r w:rsidRPr="00FA6F72">
        <w:rPr>
          <w:b/>
          <w:bCs/>
          <w:sz w:val="20"/>
          <w:szCs w:val="20"/>
        </w:rPr>
        <w:t>4.5 Full Circuit</w:t>
      </w:r>
    </w:p>
    <w:p w14:paraId="722B724B" w14:textId="0B183436" w:rsidR="00FA6F72" w:rsidRPr="00FA6F72" w:rsidRDefault="00FA6F72" w:rsidP="002F799E">
      <w:pPr>
        <w:spacing w:line="276" w:lineRule="auto"/>
        <w:jc w:val="both"/>
        <w:rPr>
          <w:sz w:val="20"/>
          <w:szCs w:val="20"/>
        </w:rPr>
      </w:pPr>
      <m:oMathPara>
        <m:oMath>
          <m:r>
            <w:rPr>
              <w:rFonts w:ascii="Cambria Math" w:hAnsi="Cambria Math"/>
              <w:sz w:val="20"/>
              <w:szCs w:val="20"/>
            </w:rPr>
            <m:t>U(θ)=</m:t>
          </m:r>
          <m:nary>
            <m:naryPr>
              <m:chr m:val="∏"/>
              <m:limLoc m:val="undOvr"/>
              <m:grow m:val="1"/>
              <m:ctrlPr>
                <w:rPr>
                  <w:rFonts w:ascii="Cambria Math" w:hAnsi="Cambria Math"/>
                  <w:sz w:val="20"/>
                  <w:szCs w:val="20"/>
                </w:rPr>
              </m:ctrlPr>
            </m:naryPr>
            <m:sub>
              <m:r>
                <w:rPr>
                  <w:rFonts w:ascii="Cambria Math" w:hAnsi="Cambria Math"/>
                  <w:sz w:val="20"/>
                  <w:szCs w:val="20"/>
                </w:rPr>
                <m:t>l=1</m:t>
              </m:r>
            </m:sub>
            <m:sup>
              <m:r>
                <w:rPr>
                  <w:rFonts w:ascii="Cambria Math" w:hAnsi="Cambria Math"/>
                  <w:sz w:val="20"/>
                  <w:szCs w:val="20"/>
                </w:rPr>
                <m:t>8</m:t>
              </m:r>
            </m:sup>
            <m:e>
              <m:sSub>
                <m:sSubPr>
                  <m:ctrlPr>
                    <w:rPr>
                      <w:rFonts w:ascii="Cambria Math" w:hAnsi="Cambria Math"/>
                      <w:sz w:val="20"/>
                      <w:szCs w:val="20"/>
                    </w:rPr>
                  </m:ctrlPr>
                </m:sSubPr>
                <m:e>
                  <m:r>
                    <w:rPr>
                      <w:rFonts w:ascii="Cambria Math" w:hAnsi="Cambria Math"/>
                      <w:sz w:val="20"/>
                      <w:szCs w:val="20"/>
                    </w:rPr>
                    <m:t>U</m:t>
                  </m:r>
                </m:e>
                <m:sub>
                  <m:r>
                    <m:rPr>
                      <m:nor/>
                    </m:rPr>
                    <w:rPr>
                      <w:sz w:val="20"/>
                      <w:szCs w:val="20"/>
                    </w:rPr>
                    <m:t>layer</m:t>
                  </m:r>
                </m:sub>
              </m:sSub>
            </m:e>
          </m:nary>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θ</m:t>
              </m:r>
            </m:e>
            <m:sup>
              <m:d>
                <m:dPr>
                  <m:ctrlPr>
                    <w:rPr>
                      <w:rFonts w:ascii="Cambria Math" w:hAnsi="Cambria Math"/>
                      <w:sz w:val="20"/>
                      <w:szCs w:val="20"/>
                    </w:rPr>
                  </m:ctrlPr>
                </m:dPr>
                <m:e>
                  <m:r>
                    <w:rPr>
                      <w:rFonts w:ascii="Cambria Math" w:hAnsi="Cambria Math"/>
                      <w:sz w:val="20"/>
                      <w:szCs w:val="20"/>
                    </w:rPr>
                    <m:t>l</m:t>
                  </m:r>
                </m:e>
              </m:d>
            </m:sup>
          </m:sSup>
          <m:r>
            <w:rPr>
              <w:rFonts w:ascii="Cambria Math" w:hAnsi="Cambria Math"/>
              <w:sz w:val="20"/>
              <w:szCs w:val="20"/>
            </w:rPr>
            <m:t>)</m:t>
          </m:r>
          <m:r>
            <w:rPr>
              <w:i/>
              <w:sz w:val="20"/>
              <w:szCs w:val="20"/>
            </w:rPr>
            <w:br/>
          </m:r>
        </m:oMath>
      </m:oMathPara>
    </w:p>
    <w:p w14:paraId="07CCA594" w14:textId="77777777" w:rsidR="00FA6F72" w:rsidRPr="00FA6F72" w:rsidRDefault="00FA6F72" w:rsidP="002F799E">
      <w:pPr>
        <w:spacing w:line="276" w:lineRule="auto"/>
        <w:jc w:val="both"/>
        <w:rPr>
          <w:b/>
          <w:bCs/>
          <w:sz w:val="20"/>
          <w:szCs w:val="20"/>
        </w:rPr>
      </w:pPr>
      <w:r w:rsidRPr="00FA6F72">
        <w:rPr>
          <w:b/>
          <w:bCs/>
          <w:sz w:val="20"/>
          <w:szCs w:val="20"/>
        </w:rPr>
        <w:t>4.6 Output Distribution</w:t>
      </w:r>
    </w:p>
    <w:p w14:paraId="50F8DBD5" w14:textId="25C8CDDE" w:rsidR="00FA6F72" w:rsidRPr="00FA6F72" w:rsidRDefault="00FA6F72" w:rsidP="002F799E">
      <w:pPr>
        <w:spacing w:line="276" w:lineRule="auto"/>
        <w:jc w:val="both"/>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θ</m:t>
              </m:r>
            </m:sub>
          </m:s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U(θ)</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ψ</m:t>
              </m:r>
            </m:e>
            <m:sub>
              <m:r>
                <w:rPr>
                  <w:rFonts w:ascii="Cambria Math" w:hAnsi="Cambria Math"/>
                  <w:sz w:val="20"/>
                  <w:szCs w:val="20"/>
                </w:rPr>
                <m:t>0</m:t>
              </m:r>
            </m:sub>
          </m:sSub>
          <m: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2</m:t>
              </m:r>
            </m:sup>
          </m:sSup>
          <m:r>
            <w:rPr>
              <w:sz w:val="20"/>
              <w:szCs w:val="20"/>
            </w:rPr>
            <w:br/>
          </m:r>
        </m:oMath>
      </m:oMathPara>
    </w:p>
    <w:p w14:paraId="761655A3" w14:textId="07A051B0" w:rsidR="00FA6F72" w:rsidRPr="00FA6F72" w:rsidRDefault="00FA6F72" w:rsidP="002F799E">
      <w:pPr>
        <w:spacing w:line="276" w:lineRule="auto"/>
        <w:jc w:val="both"/>
        <w:rPr>
          <w:sz w:val="20"/>
          <w:szCs w:val="20"/>
        </w:rPr>
      </w:pPr>
    </w:p>
    <w:p w14:paraId="51E0578F" w14:textId="77777777" w:rsidR="00FA6F72" w:rsidRPr="00FA6F72" w:rsidRDefault="00FA6F72" w:rsidP="002F799E">
      <w:pPr>
        <w:spacing w:line="276" w:lineRule="auto"/>
        <w:jc w:val="both"/>
        <w:rPr>
          <w:b/>
          <w:bCs/>
          <w:sz w:val="20"/>
          <w:szCs w:val="20"/>
        </w:rPr>
      </w:pPr>
      <w:r w:rsidRPr="00FA6F72">
        <w:rPr>
          <w:b/>
          <w:bCs/>
          <w:sz w:val="20"/>
          <w:szCs w:val="20"/>
        </w:rPr>
        <w:t>5. Cost Function and Optimization</w:t>
      </w:r>
    </w:p>
    <w:p w14:paraId="268BE0D8" w14:textId="75961421" w:rsidR="00FA6F72" w:rsidRPr="00FA6F72" w:rsidRDefault="00FA6F72" w:rsidP="002F799E">
      <w:pPr>
        <w:spacing w:line="276" w:lineRule="auto"/>
        <w:jc w:val="both"/>
        <w:rPr>
          <w:sz w:val="20"/>
          <w:szCs w:val="20"/>
        </w:rPr>
      </w:pPr>
      <w:r w:rsidRPr="00FA6F72">
        <w:rPr>
          <w:sz w:val="20"/>
          <w:szCs w:val="20"/>
        </w:rPr>
        <w:lastRenderedPageBreak/>
        <w:t xml:space="preserve">To train the QCBM, we minimize a hybrid divergence between target distribution </w:t>
      </w:r>
      <m:oMath>
        <m:sSub>
          <m:sSubPr>
            <m:ctrlPr>
              <w:rPr>
                <w:rFonts w:ascii="Cambria Math" w:hAnsi="Cambria Math"/>
                <w:sz w:val="20"/>
                <w:szCs w:val="20"/>
              </w:rPr>
            </m:ctrlPr>
          </m:sSubPr>
          <m:e>
            <m:r>
              <w:rPr>
                <w:rFonts w:ascii="Cambria Math" w:hAnsi="Cambria Math"/>
                <w:sz w:val="20"/>
                <w:szCs w:val="20"/>
              </w:rPr>
              <m:t>p</m:t>
            </m:r>
          </m:e>
          <m:sub>
            <m:r>
              <m:rPr>
                <m:nor/>
              </m:rPr>
              <w:rPr>
                <w:sz w:val="20"/>
                <w:szCs w:val="20"/>
              </w:rPr>
              <m:t>data</m:t>
            </m:r>
          </m:sub>
        </m:sSub>
      </m:oMath>
      <w:r w:rsidRPr="00FA6F72">
        <w:rPr>
          <w:sz w:val="20"/>
          <w:szCs w:val="20"/>
        </w:rPr>
        <w:t xml:space="preserve">and QCBM output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θ</m:t>
            </m:r>
          </m:sub>
        </m:sSub>
      </m:oMath>
      <w:r w:rsidRPr="00FA6F72">
        <w:rPr>
          <w:sz w:val="20"/>
          <w:szCs w:val="20"/>
        </w:rPr>
        <w:t>:</w:t>
      </w:r>
    </w:p>
    <w:p w14:paraId="5F3D746A" w14:textId="2B02DDE0" w:rsidR="00FA6F72" w:rsidRPr="00FA6F72" w:rsidRDefault="00FA6F72" w:rsidP="002F799E">
      <w:pPr>
        <w:spacing w:line="276" w:lineRule="auto"/>
        <w:jc w:val="both"/>
        <w:rPr>
          <w:sz w:val="20"/>
          <w:szCs w:val="20"/>
        </w:rPr>
      </w:pPr>
      <m:oMathPara>
        <m:oMath>
          <m:r>
            <w:rPr>
              <w:rFonts w:ascii="Cambria Math" w:hAnsi="Cambria Math"/>
              <w:sz w:val="20"/>
              <w:szCs w:val="20"/>
            </w:rPr>
            <m:t>C(θ)=</m:t>
          </m:r>
          <m:r>
            <m:rPr>
              <m:nor/>
            </m:rPr>
            <w:rPr>
              <w:sz w:val="20"/>
              <w:szCs w:val="20"/>
            </w:rPr>
            <m:t>JSD</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θ</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nor/>
                </m:rPr>
                <w:rPr>
                  <w:sz w:val="20"/>
                  <w:szCs w:val="20"/>
                </w:rPr>
                <m:t>data</m:t>
              </m:r>
            </m:sub>
          </m:sSub>
          <m:r>
            <w:rPr>
              <w:rFonts w:ascii="Cambria Math" w:hAnsi="Cambria Math"/>
              <w:sz w:val="20"/>
              <w:szCs w:val="20"/>
            </w:rPr>
            <m:t>)+</m:t>
          </m:r>
          <m:r>
            <m:rPr>
              <m:nor/>
            </m:rPr>
            <w:rPr>
              <w:sz w:val="20"/>
              <w:szCs w:val="20"/>
            </w:rPr>
            <m:t>KL</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nor/>
                </m:rPr>
                <w:rPr>
                  <w:sz w:val="20"/>
                  <w:szCs w:val="20"/>
                </w:rPr>
                <m:t>data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θ</m:t>
              </m:r>
            </m:sub>
          </m:sSub>
          <m:r>
            <w:rPr>
              <w:rFonts w:ascii="Cambria Math" w:hAnsi="Cambria Math"/>
              <w:sz w:val="20"/>
              <w:szCs w:val="20"/>
            </w:rPr>
            <m:t>)</m:t>
          </m:r>
          <m:r>
            <w:rPr>
              <w:i/>
              <w:sz w:val="20"/>
              <w:szCs w:val="20"/>
            </w:rPr>
            <w:br/>
          </m:r>
        </m:oMath>
      </m:oMathPara>
    </w:p>
    <w:p w14:paraId="53A7FE51" w14:textId="77777777" w:rsidR="00FA6F72" w:rsidRPr="00FA6F72" w:rsidRDefault="00FA6F72" w:rsidP="002F799E">
      <w:pPr>
        <w:numPr>
          <w:ilvl w:val="0"/>
          <w:numId w:val="3"/>
        </w:numPr>
        <w:spacing w:line="276" w:lineRule="auto"/>
        <w:jc w:val="both"/>
        <w:rPr>
          <w:sz w:val="20"/>
          <w:szCs w:val="20"/>
        </w:rPr>
      </w:pPr>
      <w:r w:rsidRPr="00FA6F72">
        <w:rPr>
          <w:b/>
          <w:bCs/>
          <w:sz w:val="20"/>
          <w:szCs w:val="20"/>
        </w:rPr>
        <w:t>Jensen–Shannon Divergence</w:t>
      </w:r>
      <w:r w:rsidRPr="00FA6F72">
        <w:rPr>
          <w:sz w:val="20"/>
          <w:szCs w:val="20"/>
        </w:rPr>
        <w:t xml:space="preserve"> stabilizes training.</w:t>
      </w:r>
    </w:p>
    <w:p w14:paraId="6ED45445" w14:textId="77777777" w:rsidR="00FA6F72" w:rsidRPr="00FA6F72" w:rsidRDefault="00FA6F72" w:rsidP="002F799E">
      <w:pPr>
        <w:numPr>
          <w:ilvl w:val="0"/>
          <w:numId w:val="3"/>
        </w:numPr>
        <w:spacing w:line="276" w:lineRule="auto"/>
        <w:jc w:val="both"/>
        <w:rPr>
          <w:sz w:val="20"/>
          <w:szCs w:val="20"/>
        </w:rPr>
      </w:pPr>
      <w:r w:rsidRPr="00FA6F72">
        <w:rPr>
          <w:b/>
          <w:bCs/>
          <w:sz w:val="20"/>
          <w:szCs w:val="20"/>
        </w:rPr>
        <w:t>KL Divergence</w:t>
      </w:r>
      <w:r w:rsidRPr="00FA6F72">
        <w:rPr>
          <w:sz w:val="20"/>
          <w:szCs w:val="20"/>
        </w:rPr>
        <w:t xml:space="preserve"> penalizes missing probability mass.</w:t>
      </w:r>
    </w:p>
    <w:p w14:paraId="62B1DC04" w14:textId="77777777" w:rsidR="00FA6F72" w:rsidRPr="00FA6F72" w:rsidRDefault="00FA6F72" w:rsidP="002F799E">
      <w:pPr>
        <w:spacing w:line="276" w:lineRule="auto"/>
        <w:jc w:val="both"/>
        <w:rPr>
          <w:sz w:val="20"/>
          <w:szCs w:val="20"/>
        </w:rPr>
      </w:pPr>
      <w:r w:rsidRPr="00FA6F72">
        <w:rPr>
          <w:sz w:val="20"/>
          <w:szCs w:val="20"/>
        </w:rPr>
        <w:t>Optimizers used:</w:t>
      </w:r>
    </w:p>
    <w:p w14:paraId="5C527685" w14:textId="77777777" w:rsidR="00FA6F72" w:rsidRPr="00FA6F72" w:rsidRDefault="00FA6F72" w:rsidP="002F799E">
      <w:pPr>
        <w:numPr>
          <w:ilvl w:val="0"/>
          <w:numId w:val="4"/>
        </w:numPr>
        <w:spacing w:line="276" w:lineRule="auto"/>
        <w:jc w:val="both"/>
        <w:rPr>
          <w:sz w:val="20"/>
          <w:szCs w:val="20"/>
        </w:rPr>
      </w:pPr>
      <w:r w:rsidRPr="00FA6F72">
        <w:rPr>
          <w:b/>
          <w:bCs/>
          <w:sz w:val="20"/>
          <w:szCs w:val="20"/>
        </w:rPr>
        <w:t>COBYLA</w:t>
      </w:r>
      <w:r w:rsidRPr="00FA6F72">
        <w:rPr>
          <w:sz w:val="20"/>
          <w:szCs w:val="20"/>
        </w:rPr>
        <w:t xml:space="preserve"> (for 1D experiments)</w:t>
      </w:r>
    </w:p>
    <w:p w14:paraId="6299A9D3" w14:textId="77777777" w:rsidR="00FA6F72" w:rsidRPr="00FA6F72" w:rsidRDefault="00FA6F72" w:rsidP="002F799E">
      <w:pPr>
        <w:numPr>
          <w:ilvl w:val="0"/>
          <w:numId w:val="4"/>
        </w:numPr>
        <w:spacing w:line="276" w:lineRule="auto"/>
        <w:jc w:val="both"/>
        <w:rPr>
          <w:sz w:val="20"/>
          <w:szCs w:val="20"/>
        </w:rPr>
      </w:pPr>
      <w:r w:rsidRPr="00FA6F72">
        <w:rPr>
          <w:b/>
          <w:bCs/>
          <w:sz w:val="20"/>
          <w:szCs w:val="20"/>
        </w:rPr>
        <w:t>SPSA</w:t>
      </w:r>
      <w:r w:rsidRPr="00FA6F72">
        <w:rPr>
          <w:sz w:val="20"/>
          <w:szCs w:val="20"/>
        </w:rPr>
        <w:t xml:space="preserve"> (for 2D experiments due to noise robustness)</w:t>
      </w:r>
    </w:p>
    <w:p w14:paraId="3C14F7DE" w14:textId="34CBC062" w:rsidR="00FA6F72" w:rsidRPr="00FA6F72" w:rsidRDefault="00FA6F72" w:rsidP="002F799E">
      <w:pPr>
        <w:spacing w:line="276" w:lineRule="auto"/>
        <w:jc w:val="both"/>
        <w:rPr>
          <w:sz w:val="20"/>
          <w:szCs w:val="20"/>
        </w:rPr>
      </w:pPr>
    </w:p>
    <w:p w14:paraId="0B75CEED" w14:textId="77777777" w:rsidR="00FA6F72" w:rsidRPr="00FA6F72" w:rsidRDefault="00FA6F72" w:rsidP="002F799E">
      <w:pPr>
        <w:spacing w:line="276" w:lineRule="auto"/>
        <w:jc w:val="both"/>
        <w:rPr>
          <w:b/>
          <w:bCs/>
          <w:sz w:val="20"/>
          <w:szCs w:val="20"/>
        </w:rPr>
      </w:pPr>
      <w:r w:rsidRPr="00FA6F72">
        <w:rPr>
          <w:b/>
          <w:bCs/>
          <w:sz w:val="20"/>
          <w:szCs w:val="20"/>
        </w:rPr>
        <w:t>6. PCA–QCBM Experiments</w:t>
      </w:r>
    </w:p>
    <w:p w14:paraId="41901451" w14:textId="77777777" w:rsidR="00FA6F72" w:rsidRPr="00FA6F72" w:rsidRDefault="00FA6F72" w:rsidP="002F799E">
      <w:pPr>
        <w:spacing w:line="276" w:lineRule="auto"/>
        <w:jc w:val="both"/>
        <w:rPr>
          <w:b/>
          <w:bCs/>
          <w:sz w:val="20"/>
          <w:szCs w:val="20"/>
        </w:rPr>
      </w:pPr>
      <w:r w:rsidRPr="00FA6F72">
        <w:rPr>
          <w:b/>
          <w:bCs/>
          <w:sz w:val="20"/>
          <w:szCs w:val="20"/>
        </w:rPr>
        <w:t>6.1 PCA Full Dataset Behavior</w:t>
      </w:r>
    </w:p>
    <w:p w14:paraId="4F68466F" w14:textId="77777777" w:rsidR="00FA6F72" w:rsidRPr="00C133CD" w:rsidRDefault="00FA6F72" w:rsidP="002F799E">
      <w:pPr>
        <w:spacing w:line="276" w:lineRule="auto"/>
        <w:jc w:val="both"/>
        <w:rPr>
          <w:sz w:val="20"/>
          <w:szCs w:val="20"/>
        </w:rPr>
      </w:pPr>
      <w:r w:rsidRPr="00FA6F72">
        <w:rPr>
          <w:sz w:val="20"/>
          <w:szCs w:val="20"/>
        </w:rPr>
        <w:t xml:space="preserve">Fraud points lie inside the normal cluster, producing heavy </w:t>
      </w:r>
      <w:proofErr w:type="gramStart"/>
      <w:r w:rsidRPr="00FA6F72">
        <w:rPr>
          <w:sz w:val="20"/>
          <w:szCs w:val="20"/>
        </w:rPr>
        <w:t>overlap</w:t>
      </w:r>
      <w:proofErr w:type="gramEnd"/>
      <w:r w:rsidRPr="00FA6F72">
        <w:rPr>
          <w:sz w:val="20"/>
          <w:szCs w:val="20"/>
        </w:rPr>
        <w:t xml:space="preserve">. QCBM struggles to classify anomalies because fraud is not separated </w:t>
      </w:r>
      <w:proofErr w:type="gramStart"/>
      <w:r w:rsidRPr="00FA6F72">
        <w:rPr>
          <w:sz w:val="20"/>
          <w:szCs w:val="20"/>
        </w:rPr>
        <w:t>in</w:t>
      </w:r>
      <w:proofErr w:type="gramEnd"/>
      <w:r w:rsidRPr="00FA6F72">
        <w:rPr>
          <w:sz w:val="20"/>
          <w:szCs w:val="20"/>
        </w:rPr>
        <w:t xml:space="preserve"> the feature space.</w:t>
      </w:r>
    </w:p>
    <w:p w14:paraId="5F3E9777" w14:textId="77777777" w:rsidR="000B4CB8" w:rsidRPr="00C133CD" w:rsidRDefault="000B4CB8" w:rsidP="002F799E">
      <w:pPr>
        <w:spacing w:line="276" w:lineRule="auto"/>
        <w:jc w:val="both"/>
        <w:rPr>
          <w:sz w:val="20"/>
          <w:szCs w:val="20"/>
        </w:rPr>
      </w:pPr>
      <w:r w:rsidRPr="00C133CD">
        <w:rPr>
          <w:b/>
          <w:bCs/>
          <w:noProof/>
          <w:sz w:val="20"/>
          <w:szCs w:val="20"/>
        </w:rPr>
        <w:drawing>
          <wp:inline distT="0" distB="0" distL="0" distR="0" wp14:anchorId="2E01B5D8" wp14:editId="31E13349">
            <wp:extent cx="2783452" cy="2203269"/>
            <wp:effectExtent l="0" t="0" r="0" b="6985"/>
            <wp:docPr id="984700535" name="Picture 7" descr="A diagram of a graph showing a schematic representation of a fra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00535" name="Picture 7" descr="A diagram of a graph showing a schematic representation of a frau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3856" cy="2219420"/>
                    </a:xfrm>
                    <a:prstGeom prst="rect">
                      <a:avLst/>
                    </a:prstGeom>
                  </pic:spPr>
                </pic:pic>
              </a:graphicData>
            </a:graphic>
          </wp:inline>
        </w:drawing>
      </w:r>
    </w:p>
    <w:p w14:paraId="7F45A617" w14:textId="38850848" w:rsidR="000B4CB8" w:rsidRPr="00FA6F72" w:rsidRDefault="000B4CB8" w:rsidP="002F799E">
      <w:pPr>
        <w:spacing w:line="276" w:lineRule="auto"/>
        <w:jc w:val="both"/>
        <w:rPr>
          <w:i/>
          <w:iCs/>
          <w:sz w:val="20"/>
          <w:szCs w:val="20"/>
        </w:rPr>
      </w:pPr>
      <w:r w:rsidRPr="00FA6F72">
        <w:rPr>
          <w:i/>
          <w:iCs/>
          <w:sz w:val="20"/>
          <w:szCs w:val="20"/>
        </w:rPr>
        <w:t xml:space="preserve">Figure </w:t>
      </w:r>
      <w:r w:rsidRPr="00C133CD">
        <w:rPr>
          <w:i/>
          <w:iCs/>
          <w:sz w:val="20"/>
          <w:szCs w:val="20"/>
        </w:rPr>
        <w:t>3</w:t>
      </w:r>
      <w:r w:rsidRPr="00FA6F72">
        <w:rPr>
          <w:i/>
          <w:iCs/>
          <w:sz w:val="20"/>
          <w:szCs w:val="20"/>
        </w:rPr>
        <w:t>. PCA Full Dataset</w:t>
      </w:r>
    </w:p>
    <w:p w14:paraId="160F2D03" w14:textId="77777777" w:rsidR="000B4CB8" w:rsidRPr="00FA6F72" w:rsidRDefault="000B4CB8" w:rsidP="002F799E">
      <w:pPr>
        <w:spacing w:line="276" w:lineRule="auto"/>
        <w:jc w:val="both"/>
        <w:rPr>
          <w:sz w:val="20"/>
          <w:szCs w:val="20"/>
        </w:rPr>
      </w:pPr>
    </w:p>
    <w:p w14:paraId="6E62F673" w14:textId="77777777" w:rsidR="00FA6F72" w:rsidRPr="00FA6F72" w:rsidRDefault="00FA6F72" w:rsidP="002F799E">
      <w:pPr>
        <w:spacing w:line="276" w:lineRule="auto"/>
        <w:jc w:val="both"/>
        <w:rPr>
          <w:b/>
          <w:bCs/>
          <w:sz w:val="20"/>
          <w:szCs w:val="20"/>
        </w:rPr>
      </w:pPr>
      <w:r w:rsidRPr="00FA6F72">
        <w:rPr>
          <w:b/>
          <w:bCs/>
          <w:sz w:val="20"/>
          <w:szCs w:val="20"/>
        </w:rPr>
        <w:t>6.2 PCA Small Dataset Behavior</w:t>
      </w:r>
    </w:p>
    <w:p w14:paraId="659589B8" w14:textId="77777777" w:rsidR="00FA6F72" w:rsidRPr="00C133CD" w:rsidRDefault="00FA6F72" w:rsidP="002F799E">
      <w:pPr>
        <w:spacing w:line="276" w:lineRule="auto"/>
        <w:jc w:val="both"/>
        <w:rPr>
          <w:sz w:val="20"/>
          <w:szCs w:val="20"/>
        </w:rPr>
      </w:pPr>
      <w:r w:rsidRPr="00FA6F72">
        <w:rPr>
          <w:sz w:val="20"/>
          <w:szCs w:val="20"/>
        </w:rPr>
        <w:t xml:space="preserve">On small subsamples (≈1000 points), PCA reveals clear separation between fraud and normal, </w:t>
      </w:r>
      <w:r w:rsidRPr="00FA6F72">
        <w:rPr>
          <w:sz w:val="20"/>
          <w:szCs w:val="20"/>
        </w:rPr>
        <w:t>resulting in excellent QCBM detection performance.</w:t>
      </w:r>
    </w:p>
    <w:p w14:paraId="66AD1216" w14:textId="77777777" w:rsidR="000B4CB8" w:rsidRPr="00C133CD" w:rsidRDefault="000B4CB8" w:rsidP="002F799E">
      <w:pPr>
        <w:spacing w:line="276" w:lineRule="auto"/>
        <w:jc w:val="both"/>
        <w:rPr>
          <w:sz w:val="20"/>
          <w:szCs w:val="20"/>
        </w:rPr>
      </w:pPr>
      <w:r w:rsidRPr="00C133CD">
        <w:rPr>
          <w:b/>
          <w:bCs/>
          <w:noProof/>
          <w:sz w:val="20"/>
          <w:szCs w:val="20"/>
        </w:rPr>
        <w:drawing>
          <wp:inline distT="0" distB="0" distL="0" distR="0" wp14:anchorId="2D864D10" wp14:editId="759804E4">
            <wp:extent cx="3094291" cy="2434771"/>
            <wp:effectExtent l="0" t="0" r="0" b="3810"/>
            <wp:docPr id="749935247" name="Picture 5" descr="A diagram of a graph showing a blue and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35247" name="Picture 5" descr="A diagram of a graph showing a blue and red dotted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17015" cy="2452652"/>
                    </a:xfrm>
                    <a:prstGeom prst="rect">
                      <a:avLst/>
                    </a:prstGeom>
                  </pic:spPr>
                </pic:pic>
              </a:graphicData>
            </a:graphic>
          </wp:inline>
        </w:drawing>
      </w:r>
    </w:p>
    <w:p w14:paraId="189BD6A6" w14:textId="1E84F521" w:rsidR="000B4CB8" w:rsidRPr="00C133CD" w:rsidRDefault="000B4CB8" w:rsidP="002F799E">
      <w:pPr>
        <w:spacing w:line="276" w:lineRule="auto"/>
        <w:jc w:val="both"/>
        <w:rPr>
          <w:i/>
          <w:iCs/>
          <w:sz w:val="20"/>
          <w:szCs w:val="20"/>
        </w:rPr>
      </w:pPr>
      <w:r w:rsidRPr="00FA6F72">
        <w:rPr>
          <w:i/>
          <w:iCs/>
          <w:sz w:val="20"/>
          <w:szCs w:val="20"/>
        </w:rPr>
        <w:t>Figure</w:t>
      </w:r>
      <w:r w:rsidRPr="00C133CD">
        <w:rPr>
          <w:i/>
          <w:iCs/>
          <w:sz w:val="20"/>
          <w:szCs w:val="20"/>
        </w:rPr>
        <w:t xml:space="preserve"> 4</w:t>
      </w:r>
      <w:r w:rsidRPr="00FA6F72">
        <w:rPr>
          <w:i/>
          <w:iCs/>
          <w:sz w:val="20"/>
          <w:szCs w:val="20"/>
        </w:rPr>
        <w:t>. PCA Small Dataset</w:t>
      </w:r>
    </w:p>
    <w:p w14:paraId="2CFC509B" w14:textId="77777777" w:rsidR="000B4CB8" w:rsidRPr="00FA6F72" w:rsidRDefault="000B4CB8" w:rsidP="002F799E">
      <w:pPr>
        <w:spacing w:line="276" w:lineRule="auto"/>
        <w:jc w:val="both"/>
        <w:rPr>
          <w:sz w:val="20"/>
          <w:szCs w:val="20"/>
        </w:rPr>
      </w:pPr>
    </w:p>
    <w:p w14:paraId="34D14012" w14:textId="77777777" w:rsidR="00FA6F72" w:rsidRPr="00FA6F72" w:rsidRDefault="00FA6F72" w:rsidP="002F799E">
      <w:pPr>
        <w:spacing w:line="276" w:lineRule="auto"/>
        <w:jc w:val="both"/>
        <w:rPr>
          <w:b/>
          <w:bCs/>
          <w:sz w:val="20"/>
          <w:szCs w:val="20"/>
        </w:rPr>
      </w:pPr>
      <w:r w:rsidRPr="00FA6F72">
        <w:rPr>
          <w:b/>
          <w:bCs/>
          <w:sz w:val="20"/>
          <w:szCs w:val="20"/>
        </w:rPr>
        <w:t>6.3 Target Distribution</w:t>
      </w:r>
    </w:p>
    <w:p w14:paraId="5A93BF6A" w14:textId="77777777" w:rsidR="00FA6F72" w:rsidRPr="00FA6F72" w:rsidRDefault="00FA6F72" w:rsidP="002F799E">
      <w:pPr>
        <w:spacing w:line="276" w:lineRule="auto"/>
        <w:jc w:val="both"/>
        <w:rPr>
          <w:sz w:val="20"/>
          <w:szCs w:val="20"/>
        </w:rPr>
      </w:pPr>
      <w:r w:rsidRPr="00FA6F72">
        <w:rPr>
          <w:sz w:val="20"/>
          <w:szCs w:val="20"/>
        </w:rPr>
        <w:t xml:space="preserve">Normal transactions binned into a 16×16 heatmap </w:t>
      </w:r>
      <w:proofErr w:type="gramStart"/>
      <w:r w:rsidRPr="00FA6F72">
        <w:rPr>
          <w:sz w:val="20"/>
          <w:szCs w:val="20"/>
        </w:rPr>
        <w:t>form</w:t>
      </w:r>
      <w:proofErr w:type="gramEnd"/>
      <w:r w:rsidRPr="00FA6F72">
        <w:rPr>
          <w:sz w:val="20"/>
          <w:szCs w:val="20"/>
        </w:rPr>
        <w:t xml:space="preserve"> the target training distribution.</w:t>
      </w:r>
    </w:p>
    <w:p w14:paraId="71232D48" w14:textId="36C4BE78" w:rsidR="00FA6F72" w:rsidRPr="00FA6F72" w:rsidRDefault="00FA6F72" w:rsidP="002F799E">
      <w:pPr>
        <w:spacing w:line="276" w:lineRule="auto"/>
        <w:jc w:val="both"/>
        <w:rPr>
          <w:sz w:val="20"/>
          <w:szCs w:val="20"/>
        </w:rPr>
      </w:pPr>
    </w:p>
    <w:p w14:paraId="463ED353" w14:textId="77777777" w:rsidR="000B4CB8" w:rsidRPr="00C133CD" w:rsidRDefault="000B4CB8" w:rsidP="002F799E">
      <w:pPr>
        <w:spacing w:line="276" w:lineRule="auto"/>
        <w:jc w:val="both"/>
        <w:rPr>
          <w:b/>
          <w:bCs/>
          <w:sz w:val="20"/>
          <w:szCs w:val="20"/>
        </w:rPr>
      </w:pPr>
      <w:r w:rsidRPr="00C133CD">
        <w:rPr>
          <w:b/>
          <w:bCs/>
          <w:noProof/>
          <w:sz w:val="20"/>
          <w:szCs w:val="20"/>
        </w:rPr>
        <w:drawing>
          <wp:inline distT="0" distB="0" distL="0" distR="0" wp14:anchorId="216FB6F2" wp14:editId="2D1707A3">
            <wp:extent cx="2623910" cy="2376272"/>
            <wp:effectExtent l="0" t="0" r="5080" b="5080"/>
            <wp:docPr id="1370305597" name="Picture 1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05597" name="Picture 11" descr="A graph of a normal distribu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34014" cy="2385422"/>
                    </a:xfrm>
                    <a:prstGeom prst="rect">
                      <a:avLst/>
                    </a:prstGeom>
                  </pic:spPr>
                </pic:pic>
              </a:graphicData>
            </a:graphic>
          </wp:inline>
        </w:drawing>
      </w:r>
    </w:p>
    <w:p w14:paraId="29C91828" w14:textId="7939B5AD" w:rsidR="000B4CB8" w:rsidRPr="00C133CD" w:rsidRDefault="00FA6F72" w:rsidP="002F799E">
      <w:pPr>
        <w:spacing w:line="276" w:lineRule="auto"/>
        <w:jc w:val="both"/>
        <w:rPr>
          <w:i/>
          <w:iCs/>
          <w:sz w:val="20"/>
          <w:szCs w:val="20"/>
        </w:rPr>
      </w:pPr>
      <w:r w:rsidRPr="00FA6F72">
        <w:rPr>
          <w:i/>
          <w:iCs/>
          <w:sz w:val="20"/>
          <w:szCs w:val="20"/>
        </w:rPr>
        <w:t xml:space="preserve">Figure </w:t>
      </w:r>
      <w:r w:rsidR="000B4CB8" w:rsidRPr="00C133CD">
        <w:rPr>
          <w:i/>
          <w:iCs/>
          <w:sz w:val="20"/>
          <w:szCs w:val="20"/>
        </w:rPr>
        <w:t>5</w:t>
      </w:r>
      <w:r w:rsidRPr="00FA6F72">
        <w:rPr>
          <w:i/>
          <w:iCs/>
          <w:sz w:val="20"/>
          <w:szCs w:val="20"/>
        </w:rPr>
        <w:t>. Target Normal Distribution Heatmap</w:t>
      </w:r>
    </w:p>
    <w:p w14:paraId="1F6A8B47" w14:textId="113492C9" w:rsidR="000B4CB8" w:rsidRPr="00C133CD" w:rsidRDefault="00FA6F72" w:rsidP="002F799E">
      <w:pPr>
        <w:spacing w:line="276" w:lineRule="auto"/>
        <w:jc w:val="both"/>
        <w:rPr>
          <w:i/>
          <w:iCs/>
          <w:sz w:val="20"/>
          <w:szCs w:val="20"/>
        </w:rPr>
      </w:pPr>
      <w:r w:rsidRPr="00FA6F72">
        <w:rPr>
          <w:sz w:val="20"/>
          <w:szCs w:val="20"/>
        </w:rPr>
        <w:lastRenderedPageBreak/>
        <w:br/>
      </w:r>
      <w:r w:rsidR="000B4CB8" w:rsidRPr="00C133CD">
        <w:rPr>
          <w:noProof/>
          <w:sz w:val="20"/>
          <w:szCs w:val="20"/>
        </w:rPr>
        <w:drawing>
          <wp:inline distT="0" distB="0" distL="0" distR="0" wp14:anchorId="0409FBCA" wp14:editId="25FF0C91">
            <wp:extent cx="2783966" cy="2286470"/>
            <wp:effectExtent l="0" t="0" r="0" b="0"/>
            <wp:docPr id="1360407854" name="Picture 12"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7854" name="Picture 12" descr="A graph showing a line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10638" cy="2308376"/>
                    </a:xfrm>
                    <a:prstGeom prst="rect">
                      <a:avLst/>
                    </a:prstGeom>
                  </pic:spPr>
                </pic:pic>
              </a:graphicData>
            </a:graphic>
          </wp:inline>
        </w:drawing>
      </w:r>
      <w:r w:rsidRPr="00FA6F72">
        <w:rPr>
          <w:sz w:val="20"/>
          <w:szCs w:val="20"/>
        </w:rPr>
        <w:br/>
      </w:r>
      <w:r w:rsidRPr="00FA6F72">
        <w:rPr>
          <w:i/>
          <w:iCs/>
          <w:sz w:val="20"/>
          <w:szCs w:val="20"/>
        </w:rPr>
        <w:t xml:space="preserve">Figure </w:t>
      </w:r>
      <w:r w:rsidR="000B4CB8" w:rsidRPr="00C133CD">
        <w:rPr>
          <w:i/>
          <w:iCs/>
          <w:sz w:val="20"/>
          <w:szCs w:val="20"/>
        </w:rPr>
        <w:t>6</w:t>
      </w:r>
      <w:r w:rsidRPr="00FA6F72">
        <w:rPr>
          <w:i/>
          <w:iCs/>
          <w:sz w:val="20"/>
          <w:szCs w:val="20"/>
        </w:rPr>
        <w:t>. QCBM Training Cost Curve</w:t>
      </w:r>
    </w:p>
    <w:p w14:paraId="581CCE6A" w14:textId="17044DA1" w:rsidR="00FA6F72" w:rsidRPr="00FA6F72" w:rsidRDefault="000B4CB8" w:rsidP="002F799E">
      <w:pPr>
        <w:spacing w:line="276" w:lineRule="auto"/>
        <w:jc w:val="both"/>
        <w:rPr>
          <w:sz w:val="20"/>
          <w:szCs w:val="20"/>
        </w:rPr>
      </w:pPr>
      <w:r w:rsidRPr="00C133CD">
        <w:rPr>
          <w:i/>
          <w:iCs/>
          <w:noProof/>
          <w:sz w:val="20"/>
          <w:szCs w:val="20"/>
        </w:rPr>
        <w:drawing>
          <wp:inline distT="0" distB="0" distL="0" distR="0" wp14:anchorId="4613F7AB" wp14:editId="7F974D26">
            <wp:extent cx="2685072" cy="2229394"/>
            <wp:effectExtent l="0" t="0" r="1270" b="0"/>
            <wp:docPr id="972618730"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18730" name="Picture 13"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695572" cy="2238112"/>
                    </a:xfrm>
                    <a:prstGeom prst="rect">
                      <a:avLst/>
                    </a:prstGeom>
                  </pic:spPr>
                </pic:pic>
              </a:graphicData>
            </a:graphic>
          </wp:inline>
        </w:drawing>
      </w:r>
      <w:r w:rsidR="00FA6F72" w:rsidRPr="00FA6F72">
        <w:rPr>
          <w:i/>
          <w:iCs/>
          <w:sz w:val="20"/>
          <w:szCs w:val="20"/>
        </w:rPr>
        <w:br/>
        <w:t xml:space="preserve"> Figure </w:t>
      </w:r>
      <w:r w:rsidRPr="00C133CD">
        <w:rPr>
          <w:i/>
          <w:iCs/>
          <w:sz w:val="20"/>
          <w:szCs w:val="20"/>
        </w:rPr>
        <w:t>7</w:t>
      </w:r>
      <w:r w:rsidR="00FA6F72" w:rsidRPr="00FA6F72">
        <w:rPr>
          <w:i/>
          <w:iCs/>
          <w:sz w:val="20"/>
          <w:szCs w:val="20"/>
        </w:rPr>
        <w:t>. QCBM Confusion Matrix (Small Dataset)</w:t>
      </w:r>
    </w:p>
    <w:p w14:paraId="6427A620" w14:textId="4E949FD6" w:rsidR="00FA6F72" w:rsidRPr="00FA6F72" w:rsidRDefault="00FA6F72" w:rsidP="002F799E">
      <w:pPr>
        <w:spacing w:line="276" w:lineRule="auto"/>
        <w:jc w:val="both"/>
        <w:rPr>
          <w:sz w:val="20"/>
          <w:szCs w:val="20"/>
        </w:rPr>
      </w:pPr>
    </w:p>
    <w:p w14:paraId="601D0FDC" w14:textId="77777777" w:rsidR="00FA6F72" w:rsidRPr="00FA6F72" w:rsidRDefault="00FA6F72" w:rsidP="002F799E">
      <w:pPr>
        <w:spacing w:line="276" w:lineRule="auto"/>
        <w:jc w:val="both"/>
        <w:rPr>
          <w:b/>
          <w:bCs/>
          <w:sz w:val="20"/>
          <w:szCs w:val="20"/>
        </w:rPr>
      </w:pPr>
      <w:r w:rsidRPr="00FA6F72">
        <w:rPr>
          <w:b/>
          <w:bCs/>
          <w:sz w:val="20"/>
          <w:szCs w:val="20"/>
        </w:rPr>
        <w:t>7. VAE–QCBM Hybrid Experiments</w:t>
      </w:r>
    </w:p>
    <w:p w14:paraId="55F65CE3" w14:textId="77777777" w:rsidR="00FA6F72" w:rsidRPr="00FA6F72" w:rsidRDefault="00FA6F72" w:rsidP="002F799E">
      <w:pPr>
        <w:spacing w:line="276" w:lineRule="auto"/>
        <w:jc w:val="both"/>
        <w:rPr>
          <w:b/>
          <w:bCs/>
          <w:sz w:val="20"/>
          <w:szCs w:val="20"/>
        </w:rPr>
      </w:pPr>
      <w:r w:rsidRPr="00FA6F72">
        <w:rPr>
          <w:b/>
          <w:bCs/>
          <w:sz w:val="20"/>
          <w:szCs w:val="20"/>
        </w:rPr>
        <w:t>7.1 VAE Training</w:t>
      </w:r>
    </w:p>
    <w:p w14:paraId="675654DE" w14:textId="77777777" w:rsidR="00FA6F72" w:rsidRPr="00FA6F72" w:rsidRDefault="00FA6F72" w:rsidP="002F799E">
      <w:pPr>
        <w:spacing w:line="276" w:lineRule="auto"/>
        <w:jc w:val="both"/>
        <w:rPr>
          <w:sz w:val="20"/>
          <w:szCs w:val="20"/>
        </w:rPr>
      </w:pPr>
      <w:r w:rsidRPr="00FA6F72">
        <w:rPr>
          <w:sz w:val="20"/>
          <w:szCs w:val="20"/>
        </w:rPr>
        <w:t xml:space="preserve">The VAE is trained only </w:t>
      </w:r>
      <w:proofErr w:type="gramStart"/>
      <w:r w:rsidRPr="00FA6F72">
        <w:rPr>
          <w:sz w:val="20"/>
          <w:szCs w:val="20"/>
        </w:rPr>
        <w:t>on</w:t>
      </w:r>
      <w:proofErr w:type="gramEnd"/>
      <w:r w:rsidRPr="00FA6F72">
        <w:rPr>
          <w:sz w:val="20"/>
          <w:szCs w:val="20"/>
        </w:rPr>
        <w:t xml:space="preserve"> normal transactions. The reconstruction loss decreases steadily, showing that the model captures the distribution well.</w:t>
      </w:r>
    </w:p>
    <w:p w14:paraId="7602B1C5" w14:textId="77777777" w:rsidR="00FA6F72" w:rsidRPr="00FA6F72" w:rsidRDefault="00FA6F72" w:rsidP="002F799E">
      <w:pPr>
        <w:spacing w:line="276" w:lineRule="auto"/>
        <w:jc w:val="both"/>
        <w:rPr>
          <w:b/>
          <w:bCs/>
          <w:sz w:val="20"/>
          <w:szCs w:val="20"/>
        </w:rPr>
      </w:pPr>
      <w:r w:rsidRPr="00FA6F72">
        <w:rPr>
          <w:b/>
          <w:bCs/>
          <w:sz w:val="20"/>
          <w:szCs w:val="20"/>
        </w:rPr>
        <w:t>7.2 Latent Space Analysis</w:t>
      </w:r>
    </w:p>
    <w:p w14:paraId="606ACCB3" w14:textId="77777777" w:rsidR="00FA6F72" w:rsidRPr="00FA6F72" w:rsidRDefault="00FA6F72" w:rsidP="002F799E">
      <w:pPr>
        <w:spacing w:line="276" w:lineRule="auto"/>
        <w:jc w:val="both"/>
        <w:rPr>
          <w:sz w:val="20"/>
          <w:szCs w:val="20"/>
        </w:rPr>
      </w:pPr>
      <w:r w:rsidRPr="00FA6F72">
        <w:rPr>
          <w:sz w:val="20"/>
          <w:szCs w:val="20"/>
        </w:rPr>
        <w:t xml:space="preserve">Although the VAE compresses normal points into a tight region, many fraud points still fall inside this region. This means </w:t>
      </w:r>
      <w:proofErr w:type="gramStart"/>
      <w:r w:rsidRPr="00FA6F72">
        <w:rPr>
          <w:sz w:val="20"/>
          <w:szCs w:val="20"/>
        </w:rPr>
        <w:t>that even</w:t>
      </w:r>
      <w:proofErr w:type="gramEnd"/>
      <w:r w:rsidRPr="00FA6F72">
        <w:rPr>
          <w:sz w:val="20"/>
          <w:szCs w:val="20"/>
        </w:rPr>
        <w:t xml:space="preserve"> non-linear compression does not fully separate fraud.</w:t>
      </w:r>
    </w:p>
    <w:p w14:paraId="7C3BCBDC" w14:textId="77777777" w:rsidR="00FA6F72" w:rsidRPr="00FA6F72" w:rsidRDefault="00FA6F72" w:rsidP="002F799E">
      <w:pPr>
        <w:spacing w:line="276" w:lineRule="auto"/>
        <w:jc w:val="both"/>
        <w:rPr>
          <w:b/>
          <w:bCs/>
          <w:sz w:val="20"/>
          <w:szCs w:val="20"/>
        </w:rPr>
      </w:pPr>
      <w:r w:rsidRPr="00FA6F72">
        <w:rPr>
          <w:b/>
          <w:bCs/>
          <w:sz w:val="20"/>
          <w:szCs w:val="20"/>
        </w:rPr>
        <w:t>7.3 QCBM on VAE Latent Space</w:t>
      </w:r>
    </w:p>
    <w:p w14:paraId="1D08B926" w14:textId="77777777" w:rsidR="00FA6F72" w:rsidRPr="00FA6F72" w:rsidRDefault="00FA6F72" w:rsidP="002F799E">
      <w:pPr>
        <w:spacing w:line="276" w:lineRule="auto"/>
        <w:jc w:val="both"/>
        <w:rPr>
          <w:sz w:val="20"/>
          <w:szCs w:val="20"/>
        </w:rPr>
      </w:pPr>
      <w:proofErr w:type="gramStart"/>
      <w:r w:rsidRPr="00FA6F72">
        <w:rPr>
          <w:sz w:val="20"/>
          <w:szCs w:val="20"/>
        </w:rPr>
        <w:t>The QCBM</w:t>
      </w:r>
      <w:proofErr w:type="gramEnd"/>
      <w:r w:rsidRPr="00FA6F72">
        <w:rPr>
          <w:sz w:val="20"/>
          <w:szCs w:val="20"/>
        </w:rPr>
        <w:t xml:space="preserve"> learns the latent distribution but fails to isolate fraud due to the same overlap problem inherited from the VAE.</w:t>
      </w:r>
    </w:p>
    <w:p w14:paraId="72B3B4F4" w14:textId="41F78AC7" w:rsidR="00FA6F72" w:rsidRPr="00FA6F72" w:rsidRDefault="00FA6F72" w:rsidP="002F799E">
      <w:pPr>
        <w:spacing w:line="276" w:lineRule="auto"/>
        <w:jc w:val="both"/>
        <w:rPr>
          <w:sz w:val="20"/>
          <w:szCs w:val="20"/>
        </w:rPr>
      </w:pPr>
    </w:p>
    <w:p w14:paraId="25F6B034" w14:textId="1CBBBD63" w:rsidR="000B4CB8" w:rsidRPr="00C133CD" w:rsidRDefault="00FA6F72" w:rsidP="002F799E">
      <w:pPr>
        <w:spacing w:line="276" w:lineRule="auto"/>
        <w:jc w:val="both"/>
        <w:rPr>
          <w:i/>
          <w:iCs/>
          <w:sz w:val="20"/>
          <w:szCs w:val="20"/>
          <w:lang w:val="fr-FR"/>
        </w:rPr>
      </w:pPr>
      <w:r w:rsidRPr="00FA6F72">
        <w:rPr>
          <w:sz w:val="20"/>
          <w:szCs w:val="20"/>
        </w:rPr>
        <w:br/>
      </w:r>
      <w:r w:rsidR="000B4CB8" w:rsidRPr="00C133CD">
        <w:rPr>
          <w:i/>
          <w:iCs/>
          <w:noProof/>
          <w:sz w:val="20"/>
          <w:szCs w:val="20"/>
        </w:rPr>
        <w:drawing>
          <wp:inline distT="0" distB="0" distL="0" distR="0" wp14:anchorId="36B5565A" wp14:editId="1D2F1263">
            <wp:extent cx="2750491" cy="2795451"/>
            <wp:effectExtent l="0" t="0" r="0" b="5080"/>
            <wp:docPr id="1924353206" name="Picture 14" descr="A red and blue blo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3206" name="Picture 14" descr="A red and blue blob&#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7303" cy="2802374"/>
                    </a:xfrm>
                    <a:prstGeom prst="rect">
                      <a:avLst/>
                    </a:prstGeom>
                  </pic:spPr>
                </pic:pic>
              </a:graphicData>
            </a:graphic>
          </wp:inline>
        </w:drawing>
      </w:r>
      <w:r w:rsidRPr="00FA6F72">
        <w:rPr>
          <w:i/>
          <w:iCs/>
          <w:sz w:val="20"/>
          <w:szCs w:val="20"/>
        </w:rPr>
        <w:t xml:space="preserve">Figure </w:t>
      </w:r>
      <w:r w:rsidR="000B4CB8" w:rsidRPr="00C133CD">
        <w:rPr>
          <w:i/>
          <w:iCs/>
          <w:sz w:val="20"/>
          <w:szCs w:val="20"/>
        </w:rPr>
        <w:t>8</w:t>
      </w:r>
      <w:r w:rsidRPr="00FA6F72">
        <w:rPr>
          <w:i/>
          <w:iCs/>
          <w:sz w:val="20"/>
          <w:szCs w:val="20"/>
        </w:rPr>
        <w:t xml:space="preserve">. </w:t>
      </w:r>
      <w:r w:rsidRPr="00FA6F72">
        <w:rPr>
          <w:i/>
          <w:iCs/>
          <w:sz w:val="20"/>
          <w:szCs w:val="20"/>
          <w:lang w:val="fr-FR"/>
        </w:rPr>
        <w:t xml:space="preserve">VAE Latent </w:t>
      </w:r>
      <w:proofErr w:type="spellStart"/>
      <w:r w:rsidRPr="00FA6F72">
        <w:rPr>
          <w:i/>
          <w:iCs/>
          <w:sz w:val="20"/>
          <w:szCs w:val="20"/>
          <w:lang w:val="fr-FR"/>
        </w:rPr>
        <w:t>Space</w:t>
      </w:r>
      <w:proofErr w:type="spellEnd"/>
      <w:r w:rsidRPr="00FA6F72">
        <w:rPr>
          <w:i/>
          <w:iCs/>
          <w:sz w:val="20"/>
          <w:szCs w:val="20"/>
          <w:lang w:val="fr-FR"/>
        </w:rPr>
        <w:t xml:space="preserve"> Plot</w:t>
      </w:r>
    </w:p>
    <w:p w14:paraId="5B6318A1" w14:textId="259BC572" w:rsidR="00FA6F72" w:rsidRPr="00FA6F72" w:rsidRDefault="000B4CB8" w:rsidP="002F799E">
      <w:pPr>
        <w:spacing w:line="276" w:lineRule="auto"/>
        <w:jc w:val="both"/>
        <w:rPr>
          <w:i/>
          <w:iCs/>
          <w:sz w:val="20"/>
          <w:szCs w:val="20"/>
          <w:lang w:val="fr-FR"/>
        </w:rPr>
      </w:pPr>
      <w:r w:rsidRPr="00C133CD">
        <w:rPr>
          <w:i/>
          <w:iCs/>
          <w:noProof/>
          <w:sz w:val="20"/>
          <w:szCs w:val="20"/>
          <w:lang w:val="fr-FR"/>
        </w:rPr>
        <w:drawing>
          <wp:inline distT="0" distB="0" distL="0" distR="0" wp14:anchorId="19F077AB" wp14:editId="173A5ED8">
            <wp:extent cx="2597576" cy="2121898"/>
            <wp:effectExtent l="0" t="0" r="0" b="0"/>
            <wp:docPr id="932891797" name="Picture 15" descr="A graph showing a comparison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1797" name="Picture 15" descr="A graph showing a comparison of a number of peopl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07943" cy="2130366"/>
                    </a:xfrm>
                    <a:prstGeom prst="rect">
                      <a:avLst/>
                    </a:prstGeom>
                  </pic:spPr>
                </pic:pic>
              </a:graphicData>
            </a:graphic>
          </wp:inline>
        </w:drawing>
      </w:r>
      <w:r w:rsidR="00FA6F72" w:rsidRPr="00FA6F72">
        <w:rPr>
          <w:i/>
          <w:iCs/>
          <w:sz w:val="20"/>
          <w:szCs w:val="20"/>
          <w:lang w:val="fr-FR"/>
        </w:rPr>
        <w:br/>
        <w:t xml:space="preserve">Figure </w:t>
      </w:r>
      <w:r w:rsidRPr="00C133CD">
        <w:rPr>
          <w:i/>
          <w:iCs/>
          <w:sz w:val="20"/>
          <w:szCs w:val="20"/>
          <w:lang w:val="fr-FR"/>
        </w:rPr>
        <w:t>9</w:t>
      </w:r>
      <w:r w:rsidR="00FA6F72" w:rsidRPr="00FA6F72">
        <w:rPr>
          <w:i/>
          <w:iCs/>
          <w:sz w:val="20"/>
          <w:szCs w:val="20"/>
          <w:lang w:val="fr-FR"/>
        </w:rPr>
        <w:t>. VAE–QCBM Confusion Matrix</w:t>
      </w:r>
    </w:p>
    <w:p w14:paraId="03B4C703" w14:textId="5093BBB3" w:rsidR="00FA6F72" w:rsidRPr="00FA6F72" w:rsidRDefault="00FA6F72" w:rsidP="002F799E">
      <w:pPr>
        <w:spacing w:line="276" w:lineRule="auto"/>
        <w:jc w:val="both"/>
        <w:rPr>
          <w:sz w:val="20"/>
          <w:szCs w:val="20"/>
        </w:rPr>
      </w:pPr>
    </w:p>
    <w:p w14:paraId="49436E7E" w14:textId="77777777" w:rsidR="00FA6F72" w:rsidRPr="00FA6F72" w:rsidRDefault="00FA6F72" w:rsidP="002F799E">
      <w:pPr>
        <w:spacing w:line="276" w:lineRule="auto"/>
        <w:jc w:val="both"/>
        <w:rPr>
          <w:b/>
          <w:bCs/>
          <w:sz w:val="20"/>
          <w:szCs w:val="20"/>
        </w:rPr>
      </w:pPr>
      <w:r w:rsidRPr="00FA6F72">
        <w:rPr>
          <w:b/>
          <w:bCs/>
          <w:sz w:val="20"/>
          <w:szCs w:val="20"/>
        </w:rPr>
        <w:t>8. Discussion</w:t>
      </w:r>
    </w:p>
    <w:p w14:paraId="3AF2BEA7" w14:textId="77777777" w:rsidR="00FA6F72" w:rsidRPr="00FA6F72" w:rsidRDefault="00FA6F72" w:rsidP="002F799E">
      <w:pPr>
        <w:spacing w:line="276" w:lineRule="auto"/>
        <w:jc w:val="both"/>
        <w:rPr>
          <w:sz w:val="20"/>
          <w:szCs w:val="20"/>
        </w:rPr>
      </w:pPr>
      <w:r w:rsidRPr="00FA6F72">
        <w:rPr>
          <w:sz w:val="20"/>
          <w:szCs w:val="20"/>
        </w:rPr>
        <w:t>Our results show:</w:t>
      </w:r>
    </w:p>
    <w:p w14:paraId="0D88CF35" w14:textId="77777777" w:rsidR="00FA6F72" w:rsidRPr="00FA6F72" w:rsidRDefault="00FA6F72" w:rsidP="002F799E">
      <w:pPr>
        <w:numPr>
          <w:ilvl w:val="0"/>
          <w:numId w:val="5"/>
        </w:numPr>
        <w:spacing w:line="276" w:lineRule="auto"/>
        <w:jc w:val="both"/>
        <w:rPr>
          <w:sz w:val="20"/>
          <w:szCs w:val="20"/>
        </w:rPr>
      </w:pPr>
      <w:r w:rsidRPr="00FA6F72">
        <w:rPr>
          <w:sz w:val="20"/>
          <w:szCs w:val="20"/>
        </w:rPr>
        <w:t xml:space="preserve">QCBM performance </w:t>
      </w:r>
      <w:r w:rsidRPr="00FA6F72">
        <w:rPr>
          <w:b/>
          <w:bCs/>
          <w:sz w:val="20"/>
          <w:szCs w:val="20"/>
        </w:rPr>
        <w:t>directly depends on the quality of the data representation</w:t>
      </w:r>
      <w:r w:rsidRPr="00FA6F72">
        <w:rPr>
          <w:sz w:val="20"/>
          <w:szCs w:val="20"/>
        </w:rPr>
        <w:t>.</w:t>
      </w:r>
    </w:p>
    <w:p w14:paraId="5481E31E" w14:textId="77777777" w:rsidR="00FA6F72" w:rsidRPr="00FA6F72" w:rsidRDefault="00FA6F72" w:rsidP="002F799E">
      <w:pPr>
        <w:numPr>
          <w:ilvl w:val="0"/>
          <w:numId w:val="5"/>
        </w:numPr>
        <w:spacing w:line="276" w:lineRule="auto"/>
        <w:jc w:val="both"/>
        <w:rPr>
          <w:sz w:val="20"/>
          <w:szCs w:val="20"/>
        </w:rPr>
      </w:pPr>
      <w:r w:rsidRPr="00FA6F72">
        <w:rPr>
          <w:sz w:val="20"/>
          <w:szCs w:val="20"/>
        </w:rPr>
        <w:lastRenderedPageBreak/>
        <w:t>When PCA or VAE produces clearer separation, QCBM performs extremely well.</w:t>
      </w:r>
    </w:p>
    <w:p w14:paraId="15F2DEF3" w14:textId="77777777" w:rsidR="00FA6F72" w:rsidRPr="00FA6F72" w:rsidRDefault="00FA6F72" w:rsidP="002F799E">
      <w:pPr>
        <w:numPr>
          <w:ilvl w:val="0"/>
          <w:numId w:val="5"/>
        </w:numPr>
        <w:spacing w:line="276" w:lineRule="auto"/>
        <w:jc w:val="both"/>
        <w:rPr>
          <w:sz w:val="20"/>
          <w:szCs w:val="20"/>
        </w:rPr>
      </w:pPr>
      <w:r w:rsidRPr="00FA6F72">
        <w:rPr>
          <w:sz w:val="20"/>
          <w:szCs w:val="20"/>
        </w:rPr>
        <w:t xml:space="preserve">When fraud overlaps </w:t>
      </w:r>
      <w:proofErr w:type="gramStart"/>
      <w:r w:rsidRPr="00FA6F72">
        <w:rPr>
          <w:sz w:val="20"/>
          <w:szCs w:val="20"/>
        </w:rPr>
        <w:t>normal</w:t>
      </w:r>
      <w:proofErr w:type="gramEnd"/>
      <w:r w:rsidRPr="00FA6F72">
        <w:rPr>
          <w:sz w:val="20"/>
          <w:szCs w:val="20"/>
        </w:rPr>
        <w:t xml:space="preserve"> in PCA or VAE space, the QCBM is unable to detect anomalies effectively.</w:t>
      </w:r>
    </w:p>
    <w:p w14:paraId="215FDD15" w14:textId="77777777" w:rsidR="00FA6F72" w:rsidRPr="00FA6F72" w:rsidRDefault="00FA6F72" w:rsidP="002F799E">
      <w:pPr>
        <w:numPr>
          <w:ilvl w:val="0"/>
          <w:numId w:val="5"/>
        </w:numPr>
        <w:spacing w:line="276" w:lineRule="auto"/>
        <w:jc w:val="both"/>
        <w:rPr>
          <w:sz w:val="20"/>
          <w:szCs w:val="20"/>
        </w:rPr>
      </w:pPr>
      <w:r w:rsidRPr="00FA6F72">
        <w:rPr>
          <w:sz w:val="20"/>
          <w:szCs w:val="20"/>
        </w:rPr>
        <w:t xml:space="preserve">This limitation comes </w:t>
      </w:r>
      <w:r w:rsidRPr="00FA6F72">
        <w:rPr>
          <w:b/>
          <w:bCs/>
          <w:sz w:val="20"/>
          <w:szCs w:val="20"/>
        </w:rPr>
        <w:t>not from the quantum model</w:t>
      </w:r>
      <w:r w:rsidRPr="00FA6F72">
        <w:rPr>
          <w:sz w:val="20"/>
          <w:szCs w:val="20"/>
        </w:rPr>
        <w:t xml:space="preserve">, but from the </w:t>
      </w:r>
      <w:r w:rsidRPr="00FA6F72">
        <w:rPr>
          <w:b/>
          <w:bCs/>
          <w:sz w:val="20"/>
          <w:szCs w:val="20"/>
        </w:rPr>
        <w:t>data itself</w:t>
      </w:r>
      <w:r w:rsidRPr="00FA6F72">
        <w:rPr>
          <w:sz w:val="20"/>
          <w:szCs w:val="20"/>
        </w:rPr>
        <w:t>.</w:t>
      </w:r>
    </w:p>
    <w:p w14:paraId="75B12912" w14:textId="77777777" w:rsidR="00FA6F72" w:rsidRPr="00FA6F72" w:rsidRDefault="00FA6F72" w:rsidP="002F799E">
      <w:pPr>
        <w:numPr>
          <w:ilvl w:val="0"/>
          <w:numId w:val="5"/>
        </w:numPr>
        <w:spacing w:line="276" w:lineRule="auto"/>
        <w:jc w:val="both"/>
        <w:rPr>
          <w:sz w:val="20"/>
          <w:szCs w:val="20"/>
        </w:rPr>
      </w:pPr>
      <w:r w:rsidRPr="00FA6F72">
        <w:rPr>
          <w:sz w:val="20"/>
          <w:szCs w:val="20"/>
        </w:rPr>
        <w:t>The hybrid VAE approach improves representation slightly but does not fully solve the overlap problem.</w:t>
      </w:r>
    </w:p>
    <w:p w14:paraId="28818B74" w14:textId="5AD895CC" w:rsidR="00FA6F72" w:rsidRPr="00FA6F72" w:rsidRDefault="00FA6F72" w:rsidP="002F799E">
      <w:pPr>
        <w:spacing w:line="276" w:lineRule="auto"/>
        <w:jc w:val="both"/>
        <w:rPr>
          <w:sz w:val="20"/>
          <w:szCs w:val="20"/>
        </w:rPr>
      </w:pPr>
    </w:p>
    <w:p w14:paraId="0CCFBAFC" w14:textId="77777777" w:rsidR="00FA6F72" w:rsidRPr="00FA6F72" w:rsidRDefault="00FA6F72" w:rsidP="002F799E">
      <w:pPr>
        <w:spacing w:line="276" w:lineRule="auto"/>
        <w:jc w:val="both"/>
        <w:rPr>
          <w:b/>
          <w:bCs/>
          <w:sz w:val="20"/>
          <w:szCs w:val="20"/>
        </w:rPr>
      </w:pPr>
      <w:r w:rsidRPr="00FA6F72">
        <w:rPr>
          <w:b/>
          <w:bCs/>
          <w:sz w:val="20"/>
          <w:szCs w:val="20"/>
        </w:rPr>
        <w:t>9. Conclusion and Future Work</w:t>
      </w:r>
    </w:p>
    <w:p w14:paraId="184500DC" w14:textId="77777777" w:rsidR="00FA6F72" w:rsidRPr="00FA6F72" w:rsidRDefault="00FA6F72" w:rsidP="002F799E">
      <w:pPr>
        <w:spacing w:line="276" w:lineRule="auto"/>
        <w:jc w:val="both"/>
        <w:rPr>
          <w:sz w:val="20"/>
          <w:szCs w:val="20"/>
        </w:rPr>
      </w:pPr>
      <w:r w:rsidRPr="00FA6F72">
        <w:rPr>
          <w:sz w:val="20"/>
          <w:szCs w:val="20"/>
        </w:rPr>
        <w:t>Quantum Circuit Born Machines show strong potential for unsupervised anomaly detection when the underlying data representation exhibits separability. However, the full dataset shows heavy overlap between fraud and normal transactions, making anomaly detection difficult for both classical and quantum approaches.</w:t>
      </w:r>
    </w:p>
    <w:p w14:paraId="2A3EAAF3" w14:textId="77777777" w:rsidR="00FA6F72" w:rsidRPr="00FA6F72" w:rsidRDefault="00FA6F72" w:rsidP="002F799E">
      <w:pPr>
        <w:spacing w:line="276" w:lineRule="auto"/>
        <w:jc w:val="both"/>
        <w:rPr>
          <w:sz w:val="20"/>
          <w:szCs w:val="20"/>
        </w:rPr>
      </w:pPr>
      <w:r w:rsidRPr="00FA6F72">
        <w:rPr>
          <w:sz w:val="20"/>
          <w:szCs w:val="20"/>
        </w:rPr>
        <w:t>Future work may include:</w:t>
      </w:r>
    </w:p>
    <w:p w14:paraId="4130FA81" w14:textId="77777777" w:rsidR="00FA6F72" w:rsidRPr="00FA6F72" w:rsidRDefault="00FA6F72" w:rsidP="002F799E">
      <w:pPr>
        <w:numPr>
          <w:ilvl w:val="0"/>
          <w:numId w:val="6"/>
        </w:numPr>
        <w:spacing w:line="276" w:lineRule="auto"/>
        <w:jc w:val="both"/>
        <w:rPr>
          <w:sz w:val="20"/>
          <w:szCs w:val="20"/>
        </w:rPr>
      </w:pPr>
      <w:r w:rsidRPr="00FA6F72">
        <w:rPr>
          <w:sz w:val="20"/>
          <w:szCs w:val="20"/>
        </w:rPr>
        <w:t>Alternative feature extraction methods</w:t>
      </w:r>
    </w:p>
    <w:p w14:paraId="0F06F29E" w14:textId="77777777" w:rsidR="00FA6F72" w:rsidRPr="00FA6F72" w:rsidRDefault="00FA6F72" w:rsidP="002F799E">
      <w:pPr>
        <w:numPr>
          <w:ilvl w:val="0"/>
          <w:numId w:val="6"/>
        </w:numPr>
        <w:spacing w:line="276" w:lineRule="auto"/>
        <w:jc w:val="both"/>
        <w:rPr>
          <w:sz w:val="20"/>
          <w:szCs w:val="20"/>
        </w:rPr>
      </w:pPr>
      <w:r w:rsidRPr="00FA6F72">
        <w:rPr>
          <w:sz w:val="20"/>
          <w:szCs w:val="20"/>
        </w:rPr>
        <w:t>Different quantum encodings (amplitude, angle, high-dimensional embeddings)</w:t>
      </w:r>
    </w:p>
    <w:p w14:paraId="18966361" w14:textId="77777777" w:rsidR="00FA6F72" w:rsidRPr="00FA6F72" w:rsidRDefault="00FA6F72" w:rsidP="002F799E">
      <w:pPr>
        <w:numPr>
          <w:ilvl w:val="0"/>
          <w:numId w:val="6"/>
        </w:numPr>
        <w:spacing w:line="276" w:lineRule="auto"/>
        <w:jc w:val="both"/>
        <w:rPr>
          <w:sz w:val="20"/>
          <w:szCs w:val="20"/>
        </w:rPr>
      </w:pPr>
      <w:r w:rsidRPr="00FA6F72">
        <w:rPr>
          <w:sz w:val="20"/>
          <w:szCs w:val="20"/>
        </w:rPr>
        <w:t>Deeper or more expressive circuits</w:t>
      </w:r>
    </w:p>
    <w:p w14:paraId="5C6F3AC2" w14:textId="506498DE" w:rsidR="00FA6F72" w:rsidRPr="00FA6F72" w:rsidRDefault="00FA6F72" w:rsidP="002F799E">
      <w:pPr>
        <w:numPr>
          <w:ilvl w:val="0"/>
          <w:numId w:val="6"/>
        </w:numPr>
        <w:spacing w:line="276" w:lineRule="auto"/>
        <w:jc w:val="both"/>
        <w:rPr>
          <w:sz w:val="20"/>
          <w:szCs w:val="20"/>
        </w:rPr>
      </w:pPr>
      <w:r w:rsidRPr="00FA6F72">
        <w:rPr>
          <w:sz w:val="20"/>
          <w:szCs w:val="20"/>
        </w:rPr>
        <w:t>Hybrid classical</w:t>
      </w:r>
      <w:r w:rsidR="002335DF">
        <w:rPr>
          <w:sz w:val="20"/>
          <w:szCs w:val="20"/>
        </w:rPr>
        <w:t xml:space="preserve"> </w:t>
      </w:r>
      <w:r w:rsidRPr="00FA6F72">
        <w:rPr>
          <w:sz w:val="20"/>
          <w:szCs w:val="20"/>
        </w:rPr>
        <w:t>quantum systems</w:t>
      </w:r>
    </w:p>
    <w:p w14:paraId="322DF8FF" w14:textId="77777777" w:rsidR="00FA6F72" w:rsidRPr="00C133CD" w:rsidRDefault="00FA6F72" w:rsidP="002F799E">
      <w:pPr>
        <w:numPr>
          <w:ilvl w:val="0"/>
          <w:numId w:val="6"/>
        </w:numPr>
        <w:spacing w:line="276" w:lineRule="auto"/>
        <w:jc w:val="both"/>
        <w:rPr>
          <w:sz w:val="20"/>
          <w:szCs w:val="20"/>
        </w:rPr>
      </w:pPr>
      <w:r w:rsidRPr="00FA6F72">
        <w:rPr>
          <w:sz w:val="20"/>
          <w:szCs w:val="20"/>
        </w:rPr>
        <w:t>Testing models on real quantum hardware</w:t>
      </w:r>
    </w:p>
    <w:p w14:paraId="5727EC48" w14:textId="77777777" w:rsidR="00C133CD" w:rsidRPr="00C133CD" w:rsidRDefault="00C133CD" w:rsidP="002F799E">
      <w:pPr>
        <w:spacing w:line="276" w:lineRule="auto"/>
        <w:jc w:val="both"/>
        <w:rPr>
          <w:sz w:val="20"/>
          <w:szCs w:val="20"/>
        </w:rPr>
      </w:pPr>
    </w:p>
    <w:p w14:paraId="59F230F7" w14:textId="77777777" w:rsidR="00C133CD" w:rsidRDefault="00C133CD" w:rsidP="002F799E">
      <w:pPr>
        <w:spacing w:line="276" w:lineRule="auto"/>
        <w:jc w:val="both"/>
        <w:rPr>
          <w:b/>
          <w:bCs/>
          <w:sz w:val="20"/>
          <w:szCs w:val="20"/>
        </w:rPr>
      </w:pPr>
    </w:p>
    <w:p w14:paraId="20E4BD5C" w14:textId="77777777" w:rsidR="00C133CD" w:rsidRDefault="00C133CD" w:rsidP="002F799E">
      <w:pPr>
        <w:spacing w:line="276" w:lineRule="auto"/>
        <w:jc w:val="both"/>
        <w:rPr>
          <w:b/>
          <w:bCs/>
          <w:sz w:val="20"/>
          <w:szCs w:val="20"/>
        </w:rPr>
      </w:pPr>
    </w:p>
    <w:p w14:paraId="18B695F6" w14:textId="77777777" w:rsidR="00C133CD" w:rsidRDefault="00C133CD" w:rsidP="002F799E">
      <w:pPr>
        <w:spacing w:line="276" w:lineRule="auto"/>
        <w:jc w:val="both"/>
        <w:rPr>
          <w:b/>
          <w:bCs/>
          <w:sz w:val="20"/>
          <w:szCs w:val="20"/>
        </w:rPr>
      </w:pPr>
    </w:p>
    <w:p w14:paraId="387716CA" w14:textId="77777777" w:rsidR="00C133CD" w:rsidRDefault="00C133CD" w:rsidP="002F799E">
      <w:pPr>
        <w:spacing w:line="276" w:lineRule="auto"/>
        <w:jc w:val="both"/>
        <w:rPr>
          <w:b/>
          <w:bCs/>
          <w:sz w:val="20"/>
          <w:szCs w:val="20"/>
        </w:rPr>
      </w:pPr>
    </w:p>
    <w:p w14:paraId="07748F49" w14:textId="77777777" w:rsidR="00C133CD" w:rsidRDefault="00C133CD" w:rsidP="002F799E">
      <w:pPr>
        <w:spacing w:line="276" w:lineRule="auto"/>
        <w:jc w:val="both"/>
        <w:rPr>
          <w:b/>
          <w:bCs/>
          <w:sz w:val="20"/>
          <w:szCs w:val="20"/>
        </w:rPr>
      </w:pPr>
    </w:p>
    <w:p w14:paraId="0CE1D405" w14:textId="77777777" w:rsidR="00C133CD" w:rsidRDefault="00C133CD" w:rsidP="002F799E">
      <w:pPr>
        <w:spacing w:line="276" w:lineRule="auto"/>
        <w:jc w:val="both"/>
        <w:rPr>
          <w:b/>
          <w:bCs/>
          <w:sz w:val="20"/>
          <w:szCs w:val="20"/>
        </w:rPr>
      </w:pPr>
    </w:p>
    <w:p w14:paraId="74CE1A6C" w14:textId="1DA98F0E" w:rsidR="00C133CD" w:rsidRPr="00C133CD" w:rsidRDefault="00C133CD" w:rsidP="002F799E">
      <w:pPr>
        <w:spacing w:line="276" w:lineRule="auto"/>
        <w:jc w:val="both"/>
        <w:rPr>
          <w:b/>
          <w:bCs/>
          <w:sz w:val="20"/>
          <w:szCs w:val="20"/>
        </w:rPr>
      </w:pPr>
      <w:r w:rsidRPr="00C133CD">
        <w:rPr>
          <w:b/>
          <w:bCs/>
          <w:sz w:val="20"/>
          <w:szCs w:val="20"/>
        </w:rPr>
        <w:t>References</w:t>
      </w:r>
    </w:p>
    <w:p w14:paraId="0A451351" w14:textId="77777777" w:rsidR="00C133CD" w:rsidRPr="00C133CD" w:rsidRDefault="00C133CD" w:rsidP="002F799E">
      <w:pPr>
        <w:spacing w:line="276" w:lineRule="auto"/>
        <w:ind w:left="720" w:hanging="720"/>
        <w:jc w:val="both"/>
        <w:rPr>
          <w:sz w:val="20"/>
          <w:szCs w:val="20"/>
        </w:rPr>
      </w:pPr>
      <w:r w:rsidRPr="00C133CD">
        <w:rPr>
          <w:sz w:val="20"/>
          <w:szCs w:val="20"/>
        </w:rPr>
        <w:t xml:space="preserve">[1] C. </w:t>
      </w:r>
      <w:proofErr w:type="spellStart"/>
      <w:r w:rsidRPr="00C133CD">
        <w:rPr>
          <w:sz w:val="20"/>
          <w:szCs w:val="20"/>
        </w:rPr>
        <w:t>Zoufal</w:t>
      </w:r>
      <w:proofErr w:type="spellEnd"/>
      <w:r w:rsidRPr="00C133CD">
        <w:rPr>
          <w:sz w:val="20"/>
          <w:szCs w:val="20"/>
        </w:rPr>
        <w:t xml:space="preserve">, A. Lucchi, and S. Woerner, “Quantum generative models for learning probability distributions,” </w:t>
      </w:r>
      <w:proofErr w:type="spellStart"/>
      <w:r w:rsidRPr="00C133CD">
        <w:rPr>
          <w:i/>
          <w:iCs/>
          <w:sz w:val="20"/>
          <w:szCs w:val="20"/>
        </w:rPr>
        <w:t>npj</w:t>
      </w:r>
      <w:proofErr w:type="spellEnd"/>
      <w:r w:rsidRPr="00C133CD">
        <w:rPr>
          <w:i/>
          <w:iCs/>
          <w:sz w:val="20"/>
          <w:szCs w:val="20"/>
        </w:rPr>
        <w:t xml:space="preserve"> Quantum Information</w:t>
      </w:r>
      <w:r w:rsidRPr="00C133CD">
        <w:rPr>
          <w:sz w:val="20"/>
          <w:szCs w:val="20"/>
        </w:rPr>
        <w:t>, vol. 5, 2019.</w:t>
      </w:r>
    </w:p>
    <w:p w14:paraId="1702C6D2" w14:textId="77777777" w:rsidR="00C133CD" w:rsidRPr="00C133CD" w:rsidRDefault="00C133CD" w:rsidP="002F799E">
      <w:pPr>
        <w:spacing w:line="276" w:lineRule="auto"/>
        <w:ind w:left="720" w:hanging="720"/>
        <w:jc w:val="both"/>
        <w:rPr>
          <w:sz w:val="20"/>
          <w:szCs w:val="20"/>
        </w:rPr>
      </w:pPr>
      <w:r w:rsidRPr="00C133CD">
        <w:rPr>
          <w:sz w:val="20"/>
          <w:szCs w:val="20"/>
        </w:rPr>
        <w:t xml:space="preserve">[2] R. </w:t>
      </w:r>
      <w:proofErr w:type="spellStart"/>
      <w:r w:rsidRPr="00C133CD">
        <w:rPr>
          <w:sz w:val="20"/>
          <w:szCs w:val="20"/>
        </w:rPr>
        <w:t>Orús</w:t>
      </w:r>
      <w:proofErr w:type="spellEnd"/>
      <w:r w:rsidRPr="00C133CD">
        <w:rPr>
          <w:sz w:val="20"/>
          <w:szCs w:val="20"/>
        </w:rPr>
        <w:t xml:space="preserve">, S. Mugel, and E. Lizaso, “Applications of quantum computing in finance,” </w:t>
      </w:r>
      <w:r w:rsidRPr="00C133CD">
        <w:rPr>
          <w:i/>
          <w:iCs/>
          <w:sz w:val="20"/>
          <w:szCs w:val="20"/>
        </w:rPr>
        <w:t>Reviews in Physics</w:t>
      </w:r>
      <w:r w:rsidRPr="00C133CD">
        <w:rPr>
          <w:sz w:val="20"/>
          <w:szCs w:val="20"/>
        </w:rPr>
        <w:t>, vol. 4, 2019.</w:t>
      </w:r>
    </w:p>
    <w:p w14:paraId="60922933" w14:textId="77777777" w:rsidR="00C133CD" w:rsidRPr="00C133CD" w:rsidRDefault="00C133CD" w:rsidP="002F799E">
      <w:pPr>
        <w:spacing w:line="276" w:lineRule="auto"/>
        <w:ind w:left="720" w:hanging="720"/>
        <w:jc w:val="both"/>
        <w:rPr>
          <w:sz w:val="20"/>
          <w:szCs w:val="20"/>
        </w:rPr>
      </w:pPr>
      <w:r w:rsidRPr="00C133CD">
        <w:rPr>
          <w:sz w:val="20"/>
          <w:szCs w:val="20"/>
        </w:rPr>
        <w:t xml:space="preserve">[3] O. </w:t>
      </w:r>
      <w:proofErr w:type="spellStart"/>
      <w:r w:rsidRPr="00C133CD">
        <w:rPr>
          <w:sz w:val="20"/>
          <w:szCs w:val="20"/>
        </w:rPr>
        <w:t>Kyriienko</w:t>
      </w:r>
      <w:proofErr w:type="spellEnd"/>
      <w:r w:rsidRPr="00C133CD">
        <w:rPr>
          <w:sz w:val="20"/>
          <w:szCs w:val="20"/>
        </w:rPr>
        <w:t xml:space="preserve"> and E. B. Magnusson, “Unsupervised quantum machine learning for anomaly and fraud detection,” </w:t>
      </w:r>
      <w:proofErr w:type="spellStart"/>
      <w:r w:rsidRPr="00C133CD">
        <w:rPr>
          <w:i/>
          <w:iCs/>
          <w:sz w:val="20"/>
          <w:szCs w:val="20"/>
        </w:rPr>
        <w:t>arXiv</w:t>
      </w:r>
      <w:proofErr w:type="spellEnd"/>
      <w:r w:rsidRPr="00C133CD">
        <w:rPr>
          <w:i/>
          <w:iCs/>
          <w:sz w:val="20"/>
          <w:szCs w:val="20"/>
        </w:rPr>
        <w:t xml:space="preserve"> preprint</w:t>
      </w:r>
      <w:r w:rsidRPr="00C133CD">
        <w:rPr>
          <w:sz w:val="20"/>
          <w:szCs w:val="20"/>
        </w:rPr>
        <w:t xml:space="preserve"> arXiv:2208.01203, 2022.</w:t>
      </w:r>
    </w:p>
    <w:p w14:paraId="62436B3B" w14:textId="77777777" w:rsidR="00C133CD" w:rsidRPr="00C133CD" w:rsidRDefault="00C133CD" w:rsidP="002F799E">
      <w:pPr>
        <w:spacing w:line="276" w:lineRule="auto"/>
        <w:ind w:left="720" w:hanging="720"/>
        <w:jc w:val="both"/>
        <w:rPr>
          <w:sz w:val="20"/>
          <w:szCs w:val="20"/>
        </w:rPr>
      </w:pPr>
      <w:r w:rsidRPr="00C133CD">
        <w:rPr>
          <w:sz w:val="20"/>
          <w:szCs w:val="20"/>
        </w:rPr>
        <w:t xml:space="preserve">[4] K. Mitarai, M. </w:t>
      </w:r>
      <w:proofErr w:type="spellStart"/>
      <w:r w:rsidRPr="00C133CD">
        <w:rPr>
          <w:sz w:val="20"/>
          <w:szCs w:val="20"/>
        </w:rPr>
        <w:t>Negoro</w:t>
      </w:r>
      <w:proofErr w:type="spellEnd"/>
      <w:r w:rsidRPr="00C133CD">
        <w:rPr>
          <w:sz w:val="20"/>
          <w:szCs w:val="20"/>
        </w:rPr>
        <w:t xml:space="preserve">, M. Kitagawa, and K. Fujii, “Quantum circuit learning: A framework for supervised and generative tasks,” </w:t>
      </w:r>
      <w:r w:rsidRPr="00C133CD">
        <w:rPr>
          <w:i/>
          <w:iCs/>
          <w:sz w:val="20"/>
          <w:szCs w:val="20"/>
        </w:rPr>
        <w:t>Physical Review A</w:t>
      </w:r>
      <w:r w:rsidRPr="00C133CD">
        <w:rPr>
          <w:sz w:val="20"/>
          <w:szCs w:val="20"/>
        </w:rPr>
        <w:t>, vol. 98, 2018.</w:t>
      </w:r>
    </w:p>
    <w:p w14:paraId="4F75B13E" w14:textId="77777777" w:rsidR="00C133CD" w:rsidRPr="00C133CD" w:rsidRDefault="00C133CD" w:rsidP="002F799E">
      <w:pPr>
        <w:spacing w:line="276" w:lineRule="auto"/>
        <w:ind w:left="720" w:hanging="720"/>
        <w:jc w:val="both"/>
        <w:rPr>
          <w:sz w:val="20"/>
          <w:szCs w:val="20"/>
        </w:rPr>
      </w:pPr>
      <w:r w:rsidRPr="00C133CD">
        <w:rPr>
          <w:sz w:val="20"/>
          <w:szCs w:val="20"/>
        </w:rPr>
        <w:t>[5] IBM Quantum, “</w:t>
      </w:r>
      <w:proofErr w:type="spellStart"/>
      <w:r w:rsidRPr="00C133CD">
        <w:rPr>
          <w:sz w:val="20"/>
          <w:szCs w:val="20"/>
        </w:rPr>
        <w:t>Qiskit</w:t>
      </w:r>
      <w:proofErr w:type="spellEnd"/>
      <w:r w:rsidRPr="00C133CD">
        <w:rPr>
          <w:sz w:val="20"/>
          <w:szCs w:val="20"/>
        </w:rPr>
        <w:t xml:space="preserve">: Open-source framework for quantum programming,” [Online]. Available: </w:t>
      </w:r>
      <w:hyperlink r:id="rId17" w:tgtFrame="_new" w:history="1">
        <w:r w:rsidRPr="00C133CD">
          <w:rPr>
            <w:rStyle w:val="Hyperlink"/>
            <w:sz w:val="20"/>
            <w:szCs w:val="20"/>
          </w:rPr>
          <w:t>https://qiskit.org/</w:t>
        </w:r>
      </w:hyperlink>
    </w:p>
    <w:p w14:paraId="711D6632" w14:textId="77777777" w:rsidR="00C133CD" w:rsidRPr="00C133CD" w:rsidRDefault="00C133CD" w:rsidP="002F799E">
      <w:pPr>
        <w:spacing w:line="276" w:lineRule="auto"/>
        <w:ind w:left="720" w:hanging="720"/>
        <w:jc w:val="both"/>
        <w:rPr>
          <w:sz w:val="20"/>
          <w:szCs w:val="20"/>
          <w:lang w:val="fr-FR"/>
        </w:rPr>
      </w:pPr>
      <w:r w:rsidRPr="00C133CD">
        <w:rPr>
          <w:sz w:val="20"/>
          <w:szCs w:val="20"/>
        </w:rPr>
        <w:t xml:space="preserve">[6] Kaggle, “Credit Card Fraud Detection Dataset,” [Online]. </w:t>
      </w:r>
      <w:proofErr w:type="spellStart"/>
      <w:proofErr w:type="gramStart"/>
      <w:r w:rsidRPr="00C133CD">
        <w:rPr>
          <w:sz w:val="20"/>
          <w:szCs w:val="20"/>
          <w:lang w:val="fr-FR"/>
        </w:rPr>
        <w:t>Available</w:t>
      </w:r>
      <w:proofErr w:type="spellEnd"/>
      <w:r w:rsidRPr="00C133CD">
        <w:rPr>
          <w:sz w:val="20"/>
          <w:szCs w:val="20"/>
          <w:lang w:val="fr-FR"/>
        </w:rPr>
        <w:t>:</w:t>
      </w:r>
      <w:proofErr w:type="gramEnd"/>
      <w:r w:rsidRPr="00C133CD">
        <w:rPr>
          <w:sz w:val="20"/>
          <w:szCs w:val="20"/>
          <w:lang w:val="fr-FR"/>
        </w:rPr>
        <w:t xml:space="preserve"> </w:t>
      </w:r>
      <w:hyperlink r:id="rId18" w:tgtFrame="_new" w:history="1">
        <w:r w:rsidRPr="00C133CD">
          <w:rPr>
            <w:rStyle w:val="Hyperlink"/>
            <w:sz w:val="20"/>
            <w:szCs w:val="20"/>
            <w:lang w:val="fr-FR"/>
          </w:rPr>
          <w:t>https://www.kaggle.com/datasets/mlg-ulb/creditcardfraud</w:t>
        </w:r>
      </w:hyperlink>
    </w:p>
    <w:p w14:paraId="0FE681BB" w14:textId="77777777" w:rsidR="00C133CD" w:rsidRPr="00C133CD" w:rsidRDefault="00C133CD" w:rsidP="002F799E">
      <w:pPr>
        <w:spacing w:line="276" w:lineRule="auto"/>
        <w:ind w:left="720" w:hanging="720"/>
        <w:jc w:val="both"/>
        <w:rPr>
          <w:sz w:val="20"/>
          <w:szCs w:val="20"/>
        </w:rPr>
      </w:pPr>
      <w:r w:rsidRPr="00C133CD">
        <w:rPr>
          <w:sz w:val="20"/>
          <w:szCs w:val="20"/>
        </w:rPr>
        <w:t xml:space="preserve">[7] J. </w:t>
      </w:r>
      <w:proofErr w:type="spellStart"/>
      <w:r w:rsidRPr="00C133CD">
        <w:rPr>
          <w:sz w:val="20"/>
          <w:szCs w:val="20"/>
        </w:rPr>
        <w:t>Jurgovsky</w:t>
      </w:r>
      <w:proofErr w:type="spellEnd"/>
      <w:r w:rsidRPr="00C133CD">
        <w:rPr>
          <w:sz w:val="20"/>
          <w:szCs w:val="20"/>
        </w:rPr>
        <w:t xml:space="preserve"> et al., “Credit-card fraud detection through sequence classification and representation learning,” </w:t>
      </w:r>
      <w:r w:rsidRPr="00C133CD">
        <w:rPr>
          <w:i/>
          <w:iCs/>
          <w:sz w:val="20"/>
          <w:szCs w:val="20"/>
        </w:rPr>
        <w:t>Expert Systems with Applications</w:t>
      </w:r>
      <w:r w:rsidRPr="00C133CD">
        <w:rPr>
          <w:sz w:val="20"/>
          <w:szCs w:val="20"/>
        </w:rPr>
        <w:t>, vol. 100, pp. 234–245, 2018.</w:t>
      </w:r>
    </w:p>
    <w:p w14:paraId="190B9643" w14:textId="77777777" w:rsidR="00C133CD" w:rsidRPr="00C133CD" w:rsidRDefault="00C133CD" w:rsidP="002F799E">
      <w:pPr>
        <w:spacing w:line="276" w:lineRule="auto"/>
        <w:ind w:left="720" w:hanging="720"/>
        <w:jc w:val="both"/>
        <w:rPr>
          <w:sz w:val="20"/>
          <w:szCs w:val="20"/>
        </w:rPr>
      </w:pPr>
      <w:r w:rsidRPr="00C133CD">
        <w:rPr>
          <w:sz w:val="20"/>
          <w:szCs w:val="20"/>
        </w:rPr>
        <w:t xml:space="preserve">[8] A. Ghahramani, “Probabilistic machine learning and anomaly detection,” </w:t>
      </w:r>
      <w:r w:rsidRPr="00C133CD">
        <w:rPr>
          <w:i/>
          <w:iCs/>
          <w:sz w:val="20"/>
          <w:szCs w:val="20"/>
        </w:rPr>
        <w:t>Nature</w:t>
      </w:r>
      <w:r w:rsidRPr="00C133CD">
        <w:rPr>
          <w:sz w:val="20"/>
          <w:szCs w:val="20"/>
        </w:rPr>
        <w:t>, vol. 521, pp. 452–459, 2015.</w:t>
      </w:r>
    </w:p>
    <w:p w14:paraId="6C904C13" w14:textId="77777777" w:rsidR="00C133CD" w:rsidRPr="00C133CD" w:rsidRDefault="00C133CD" w:rsidP="002F799E">
      <w:pPr>
        <w:spacing w:line="276" w:lineRule="auto"/>
        <w:ind w:left="720" w:hanging="720"/>
        <w:jc w:val="both"/>
        <w:rPr>
          <w:sz w:val="20"/>
          <w:szCs w:val="20"/>
        </w:rPr>
      </w:pPr>
      <w:r w:rsidRPr="00C133CD">
        <w:rPr>
          <w:sz w:val="20"/>
          <w:szCs w:val="20"/>
        </w:rPr>
        <w:t xml:space="preserve">[9] Kingma, D. and Welling, M., “Auto-Encoding Variational Bayes,” </w:t>
      </w:r>
      <w:proofErr w:type="spellStart"/>
      <w:r w:rsidRPr="00C133CD">
        <w:rPr>
          <w:i/>
          <w:iCs/>
          <w:sz w:val="20"/>
          <w:szCs w:val="20"/>
        </w:rPr>
        <w:t>arXiv</w:t>
      </w:r>
      <w:proofErr w:type="spellEnd"/>
      <w:r w:rsidRPr="00C133CD">
        <w:rPr>
          <w:i/>
          <w:iCs/>
          <w:sz w:val="20"/>
          <w:szCs w:val="20"/>
        </w:rPr>
        <w:t xml:space="preserve"> preprint</w:t>
      </w:r>
      <w:r w:rsidRPr="00C133CD">
        <w:rPr>
          <w:sz w:val="20"/>
          <w:szCs w:val="20"/>
        </w:rPr>
        <w:t>, arXiv:1312.6114, 2013.</w:t>
      </w:r>
    </w:p>
    <w:p w14:paraId="76C35688" w14:textId="77777777" w:rsidR="00C133CD" w:rsidRPr="00C133CD" w:rsidRDefault="00C133CD" w:rsidP="002F799E">
      <w:pPr>
        <w:spacing w:line="276" w:lineRule="auto"/>
        <w:ind w:left="720" w:hanging="720"/>
        <w:jc w:val="both"/>
        <w:rPr>
          <w:sz w:val="20"/>
          <w:szCs w:val="20"/>
        </w:rPr>
      </w:pPr>
      <w:r w:rsidRPr="00C133CD">
        <w:rPr>
          <w:sz w:val="20"/>
          <w:szCs w:val="20"/>
        </w:rPr>
        <w:t xml:space="preserve">[10] J. Amari, “Divergence measures and learning distributions,” </w:t>
      </w:r>
      <w:r w:rsidRPr="00C133CD">
        <w:rPr>
          <w:i/>
          <w:iCs/>
          <w:sz w:val="20"/>
          <w:szCs w:val="20"/>
        </w:rPr>
        <w:t>Information Geometry &amp; Machine Learning</w:t>
      </w:r>
      <w:r w:rsidRPr="00C133CD">
        <w:rPr>
          <w:sz w:val="20"/>
          <w:szCs w:val="20"/>
        </w:rPr>
        <w:t>, Springer, 2016.</w:t>
      </w:r>
    </w:p>
    <w:p w14:paraId="44D52B62" w14:textId="77777777" w:rsidR="00C133CD" w:rsidRPr="00FA6F72" w:rsidRDefault="00C133CD" w:rsidP="002F799E">
      <w:pPr>
        <w:spacing w:line="276" w:lineRule="auto"/>
        <w:jc w:val="both"/>
        <w:rPr>
          <w:b/>
          <w:bCs/>
          <w:sz w:val="20"/>
          <w:szCs w:val="20"/>
        </w:rPr>
      </w:pPr>
    </w:p>
    <w:p w14:paraId="3450245E" w14:textId="77777777" w:rsidR="00FA6F72" w:rsidRPr="00C133CD" w:rsidRDefault="00FA6F72" w:rsidP="002F799E">
      <w:pPr>
        <w:spacing w:line="276" w:lineRule="auto"/>
        <w:jc w:val="both"/>
        <w:rPr>
          <w:sz w:val="20"/>
          <w:szCs w:val="20"/>
        </w:rPr>
      </w:pPr>
    </w:p>
    <w:sectPr w:rsidR="00FA6F72" w:rsidRPr="00C133CD" w:rsidSect="00F95754">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A2FDD" w14:textId="77777777" w:rsidR="009707F9" w:rsidRDefault="009707F9" w:rsidP="00C133CD">
      <w:pPr>
        <w:spacing w:after="0" w:line="240" w:lineRule="auto"/>
      </w:pPr>
      <w:r>
        <w:separator/>
      </w:r>
    </w:p>
  </w:endnote>
  <w:endnote w:type="continuationSeparator" w:id="0">
    <w:p w14:paraId="6A9F6EAB" w14:textId="77777777" w:rsidR="009707F9" w:rsidRDefault="009707F9" w:rsidP="00C13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FB84" w14:textId="77777777" w:rsidR="009707F9" w:rsidRDefault="009707F9" w:rsidP="00C133CD">
      <w:pPr>
        <w:spacing w:after="0" w:line="240" w:lineRule="auto"/>
      </w:pPr>
      <w:r>
        <w:separator/>
      </w:r>
    </w:p>
  </w:footnote>
  <w:footnote w:type="continuationSeparator" w:id="0">
    <w:p w14:paraId="3AF91B12" w14:textId="77777777" w:rsidR="009707F9" w:rsidRDefault="009707F9" w:rsidP="00C13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931594"/>
      <w:docPartObj>
        <w:docPartGallery w:val="Page Numbers (Top of Page)"/>
        <w:docPartUnique/>
      </w:docPartObj>
    </w:sdtPr>
    <w:sdtEndPr>
      <w:rPr>
        <w:noProof/>
      </w:rPr>
    </w:sdtEndPr>
    <w:sdtContent>
      <w:p w14:paraId="53C3F9E5" w14:textId="4F7FB0AF" w:rsidR="00C133CD" w:rsidRDefault="00C133CD" w:rsidP="00F957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0E255E" w14:textId="70E31C5C" w:rsidR="00C133CD" w:rsidRPr="00C133CD" w:rsidRDefault="00C133CD" w:rsidP="00C133CD">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B79"/>
    <w:multiLevelType w:val="multilevel"/>
    <w:tmpl w:val="9E8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34223"/>
    <w:multiLevelType w:val="multilevel"/>
    <w:tmpl w:val="13C2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C1219"/>
    <w:multiLevelType w:val="multilevel"/>
    <w:tmpl w:val="F6F8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251AC"/>
    <w:multiLevelType w:val="multilevel"/>
    <w:tmpl w:val="0E2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61952"/>
    <w:multiLevelType w:val="multilevel"/>
    <w:tmpl w:val="1A20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B6BDE"/>
    <w:multiLevelType w:val="multilevel"/>
    <w:tmpl w:val="F1A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47414">
    <w:abstractNumId w:val="5"/>
  </w:num>
  <w:num w:numId="2" w16cid:durableId="247737682">
    <w:abstractNumId w:val="3"/>
  </w:num>
  <w:num w:numId="3" w16cid:durableId="1244024808">
    <w:abstractNumId w:val="2"/>
  </w:num>
  <w:num w:numId="4" w16cid:durableId="182256234">
    <w:abstractNumId w:val="1"/>
  </w:num>
  <w:num w:numId="5" w16cid:durableId="1778527294">
    <w:abstractNumId w:val="4"/>
  </w:num>
  <w:num w:numId="6" w16cid:durableId="198489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72"/>
    <w:rsid w:val="000B4CB8"/>
    <w:rsid w:val="002335DF"/>
    <w:rsid w:val="002F799E"/>
    <w:rsid w:val="0041164C"/>
    <w:rsid w:val="009707F9"/>
    <w:rsid w:val="00C133CD"/>
    <w:rsid w:val="00C57CF7"/>
    <w:rsid w:val="00F95754"/>
    <w:rsid w:val="00FA6F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3889"/>
  <w15:chartTrackingRefBased/>
  <w15:docId w15:val="{4658D525-6B43-49FC-B49B-F60D04885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F72"/>
    <w:rPr>
      <w:rFonts w:eastAsiaTheme="majorEastAsia" w:cstheme="majorBidi"/>
      <w:color w:val="272727" w:themeColor="text1" w:themeTint="D8"/>
    </w:rPr>
  </w:style>
  <w:style w:type="paragraph" w:styleId="Title">
    <w:name w:val="Title"/>
    <w:basedOn w:val="Normal"/>
    <w:next w:val="Normal"/>
    <w:link w:val="TitleChar"/>
    <w:uiPriority w:val="10"/>
    <w:qFormat/>
    <w:rsid w:val="00FA6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F72"/>
    <w:pPr>
      <w:spacing w:before="160"/>
      <w:jc w:val="center"/>
    </w:pPr>
    <w:rPr>
      <w:i/>
      <w:iCs/>
      <w:color w:val="404040" w:themeColor="text1" w:themeTint="BF"/>
    </w:rPr>
  </w:style>
  <w:style w:type="character" w:customStyle="1" w:styleId="QuoteChar">
    <w:name w:val="Quote Char"/>
    <w:basedOn w:val="DefaultParagraphFont"/>
    <w:link w:val="Quote"/>
    <w:uiPriority w:val="29"/>
    <w:rsid w:val="00FA6F72"/>
    <w:rPr>
      <w:i/>
      <w:iCs/>
      <w:color w:val="404040" w:themeColor="text1" w:themeTint="BF"/>
    </w:rPr>
  </w:style>
  <w:style w:type="paragraph" w:styleId="ListParagraph">
    <w:name w:val="List Paragraph"/>
    <w:basedOn w:val="Normal"/>
    <w:uiPriority w:val="34"/>
    <w:qFormat/>
    <w:rsid w:val="00FA6F72"/>
    <w:pPr>
      <w:ind w:left="720"/>
      <w:contextualSpacing/>
    </w:pPr>
  </w:style>
  <w:style w:type="character" w:styleId="IntenseEmphasis">
    <w:name w:val="Intense Emphasis"/>
    <w:basedOn w:val="DefaultParagraphFont"/>
    <w:uiPriority w:val="21"/>
    <w:qFormat/>
    <w:rsid w:val="00FA6F72"/>
    <w:rPr>
      <w:i/>
      <w:iCs/>
      <w:color w:val="0F4761" w:themeColor="accent1" w:themeShade="BF"/>
    </w:rPr>
  </w:style>
  <w:style w:type="paragraph" w:styleId="IntenseQuote">
    <w:name w:val="Intense Quote"/>
    <w:basedOn w:val="Normal"/>
    <w:next w:val="Normal"/>
    <w:link w:val="IntenseQuoteChar"/>
    <w:uiPriority w:val="30"/>
    <w:qFormat/>
    <w:rsid w:val="00FA6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F72"/>
    <w:rPr>
      <w:i/>
      <w:iCs/>
      <w:color w:val="0F4761" w:themeColor="accent1" w:themeShade="BF"/>
    </w:rPr>
  </w:style>
  <w:style w:type="character" w:styleId="IntenseReference">
    <w:name w:val="Intense Reference"/>
    <w:basedOn w:val="DefaultParagraphFont"/>
    <w:uiPriority w:val="32"/>
    <w:qFormat/>
    <w:rsid w:val="00FA6F72"/>
    <w:rPr>
      <w:b/>
      <w:bCs/>
      <w:smallCaps/>
      <w:color w:val="0F4761" w:themeColor="accent1" w:themeShade="BF"/>
      <w:spacing w:val="5"/>
    </w:rPr>
  </w:style>
  <w:style w:type="character" w:styleId="Hyperlink">
    <w:name w:val="Hyperlink"/>
    <w:basedOn w:val="DefaultParagraphFont"/>
    <w:uiPriority w:val="99"/>
    <w:unhideWhenUsed/>
    <w:rsid w:val="00FA6F72"/>
    <w:rPr>
      <w:color w:val="467886" w:themeColor="hyperlink"/>
      <w:u w:val="single"/>
    </w:rPr>
  </w:style>
  <w:style w:type="character" w:styleId="UnresolvedMention">
    <w:name w:val="Unresolved Mention"/>
    <w:basedOn w:val="DefaultParagraphFont"/>
    <w:uiPriority w:val="99"/>
    <w:semiHidden/>
    <w:unhideWhenUsed/>
    <w:rsid w:val="00FA6F72"/>
    <w:rPr>
      <w:color w:val="605E5C"/>
      <w:shd w:val="clear" w:color="auto" w:fill="E1DFDD"/>
    </w:rPr>
  </w:style>
  <w:style w:type="paragraph" w:styleId="Header">
    <w:name w:val="header"/>
    <w:basedOn w:val="Normal"/>
    <w:link w:val="HeaderChar"/>
    <w:uiPriority w:val="99"/>
    <w:unhideWhenUsed/>
    <w:rsid w:val="00C13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3CD"/>
  </w:style>
  <w:style w:type="paragraph" w:styleId="Footer">
    <w:name w:val="footer"/>
    <w:basedOn w:val="Normal"/>
    <w:link w:val="FooterChar"/>
    <w:uiPriority w:val="99"/>
    <w:unhideWhenUsed/>
    <w:rsid w:val="00C13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kaggle.com/datasets/mlg-ulb/creditcardfraud"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hyperlink" Target="https://qiskit.org/"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Taoumi &lt; 106781 &gt;</dc:creator>
  <cp:keywords/>
  <dc:description/>
  <cp:lastModifiedBy>Maryam Taoumi &lt; 106781 &gt;</cp:lastModifiedBy>
  <cp:revision>3</cp:revision>
  <dcterms:created xsi:type="dcterms:W3CDTF">2025-12-09T09:16:00Z</dcterms:created>
  <dcterms:modified xsi:type="dcterms:W3CDTF">2025-12-09T14:10:00Z</dcterms:modified>
</cp:coreProperties>
</file>