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2title"/>
        <w:widowControl/>
      </w:pPr>
      <w:r>
        <w:t>Supplementary Materials</w:t>
      </w:r>
      <w:bookmarkStart w:id="990" w:name="HBOC_FINAL_LAYOUT_20260906"/>
      <w:bookmarkEnd w:id="990"/>
    </w:p>
    <w:p>
      <w:pPr>
        <w:pStyle w:val="MDPI31text"/>
        <w:widowControl/>
      </w:pPr>
      <w:r>
        <w:rPr/>
        <w:t xml:space="preserve">HBOCpred: an ensemble framework for prioritisation of germline missense variants in hereditary breast and ovarian cancer</w:t>
      </w:r>
    </w:p>
    <w:p>
      <w:pPr>
        <w:pStyle w:val="MDPI31text"/>
        <w:widowControl/>
      </w:pPr>
      <w:r>
        <w:rPr/>
        <w:t xml:space="preserve">These Supplementary Materials accompany the R4 analysis. Numerical results derive from the archived fitted objects and out-of-fold predictions. The primary cohort contains 2,160 historical source-labelled anchors; 114 do not meet output completeness in each repeated cross-validation assessment. No external clinical validation is claimed.</w:t>
      </w:r>
    </w:p>
    <w:p>
      <w:pPr>
        <w:pStyle w:val="MDPI22heading2"/>
        <w:keepNext/>
        <w:widowControl/>
      </w:pPr>
      <w:r>
        <w:t>S1. Gene-held-out denominators and performance</w:t>
      </w:r>
    </w:p>
    <w:p>
      <w:pPr>
        <w:pStyle w:val="MDPI41tablecaption"/>
        <w:keepNext/>
        <w:widowControl/>
      </w:pPr>
      <w:r>
        <w:t>Table S1. Source and evaluable counts, with conditional class-specific results.</w:t>
      </w:r>
    </w:p>
    <w:tbl>
      <w:tblPr>
        <w:tblStyle w:val="MDPItable"/>
        <w:tblW w:w="10460" w:type="dxa"/>
        <w:tblInd w:w="0" w:type="dxa"/>
        <w:tblLayout w:type="fixed"/>
        <w:tblLook w:val="04A0" w:firstRow="1" w:lastRow="0" w:firstColumn="1" w:lastColumn="0" w:noHBand="0" w:noVBand="1"/>
      </w:tblPr>
      <w:tblGrid>
        <w:gridCol w:w="1100"/>
        <w:gridCol w:w="850"/>
        <w:gridCol w:w="850"/>
        <w:gridCol w:w="1700"/>
        <w:gridCol w:w="2130"/>
        <w:gridCol w:w="1700"/>
        <w:gridCol w:w="2130"/>
      </w:tblGrid>
      <w:tr w:rsidR="00083AA0" w:rsidRPr="006D6EC6" w14:paraId="28827222" w14:textId="77777777" w:rsidTr="00CD0244">
        <w:trPr>
          <w:cantSplit/>
          <w:tblHeader/>
        </w:trPr>
        <w:tc>
          <w:tcPr>
            <w:tcW w:w="110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left"/>
            </w:pPr>
            <w:r>
              <w:rPr>
                <w:rFonts w:ascii="Times New Roman" w:hAnsi="Times New Roman"/>
                <w:szCs w:val="18"/>
                <w:sz w:val="16"/>
                <w:b/>
              </w:rPr>
              <w:t xml:space="preserve">Gene</w:t>
            </w:r>
          </w:p>
        </w:tc>
        <w:tc>
          <w:tcPr>
            <w:tcW w:w="85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6"/>
                <w:b/>
              </w:rPr>
              <w:t xml:space="preserve">Source n</w:t>
            </w:r>
          </w:p>
        </w:tc>
        <w:tc>
          <w:tcPr>
            <w:tcW w:w="85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6"/>
                <w:b/>
              </w:rPr>
              <w:t xml:space="preserve">Scored n</w:t>
            </w:r>
          </w:p>
        </w:tc>
        <w:tc>
          <w:tcPr>
            <w:tcW w:w="170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6"/>
                <w:b/>
              </w:rPr>
              <w:t xml:space="preserve">LP/P: correct/scored</w:t>
            </w:r>
          </w:p>
        </w:tc>
        <w:tc>
          <w:tcPr>
            <w:tcW w:w="2130"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6"/>
                <w:b/>
              </w:rPr>
              <w:t xml:space="preserve">Sensitivity (95% interval)</w:t>
            </w:r>
          </w:p>
        </w:tc>
        <w:tc>
          <w:tcPr>
            <w:tcW w:w="1700"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6"/>
                <w:b/>
              </w:rPr>
              <w:t xml:space="preserve">B/LB: correct/scored</w:t>
            </w:r>
          </w:p>
        </w:tc>
        <w:tc>
          <w:tcPr>
            <w:tcW w:w="2130"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6"/>
                <w:b/>
              </w:rPr>
              <w:t xml:space="preserve">Specificity (95% interval)</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BRCA1</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564</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528</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193/207</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93.2% (89.0–95.9)</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306/321</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95.3% (92.4–97.1)</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BRCA2</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390</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383</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77/81</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95.1% (88.0–98.1)</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289/302</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95.7% (92.8–97.5)</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PALB2</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40</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39</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5/6</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83.3% (43.6–97.0)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33/33</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(89.6–100.0)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ATM</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142</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134</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63/69</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91.3% (82.3–96.0)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62/65</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95.4% (87.3–98.4)</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CHEK2</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17</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17</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7/9</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77.8% (45.3–93.7)</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8/8</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(67.6–100.0)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TP53</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330</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313</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192/203</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94.6% (90.6–96.9)</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109/110</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99.1% (95.0–99.8)</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PTEN</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233</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212</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207/207</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(98.2–100.0)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5/5</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(56.6–100.0)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CDH1</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109</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109</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18/20</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90.0% (69.9–97.2)</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80/89</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89.9% (81.9–94.6)</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STK11</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40</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39</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32/32</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(89.3–100.0)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7/7</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(64.6–100.0)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BARD1</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27</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25</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2/2</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(34.2–100.0)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23/23</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(85.7–100.0)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BRIP1</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32</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32</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7/7</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(64.6–100.0)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25/25</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(86.7–100.0)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RAD51C</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19</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18</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7/8</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87.5% (52.9–97.8)</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10/10</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(72.2–100.0)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RAD51D</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11</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11</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1/1</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(20.7–100.0)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10/10</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(72.2–100.0)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NBN</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20</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19</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0/2</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0.0% (0.0–65.8)</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17/17</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(81.6–100.0)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BLM</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27</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27</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6/6</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(61.0–100.0)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21/21</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(84.5–100.0)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FANCA</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140</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121</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50/75</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66.7% (55.4–76.3)</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46/46</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(92.3–100.0)</w:t>
            </w:r>
          </w:p>
        </w:tc>
      </w:tr>
      <w:tr w:rsidR="00083AA0" w:rsidRPr="006D6EC6" w14:paraId="6490ED98" w14:textId="77777777" w:rsidTr="00CD0244">
        <w:trPr>
          <w:cantSplit/>
        </w:trPr>
        <w:tc>
          <w:tcPr>
            <w:tcW w:w="11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6"/>
              </w:rPr>
              <w:t xml:space="preserve">FANCC</w:t>
            </w:r>
          </w:p>
        </w:tc>
        <w:tc>
          <w:tcPr>
            <w:tcW w:w="8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19</w:t>
            </w:r>
          </w:p>
        </w:tc>
        <w:tc>
          <w:tcPr>
            <w:tcW w:w="8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18</w:t>
            </w:r>
          </w:p>
        </w:tc>
        <w:tc>
          <w:tcPr>
            <w:tcW w:w="170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4/4</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(51.0–100.0)</w:t>
            </w:r>
          </w:p>
        </w:tc>
        <w:tc>
          <w:tcPr>
            <w:tcW w:w="170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14/14</w:t>
            </w:r>
          </w:p>
        </w:tc>
        <w:tc>
          <w:tcPr>
            <w:tcW w:w="213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6"/>
              </w:rPr>
              <w:t xml:space="preserve">100.0% (78.5–100.0)</w:t>
            </w:r>
          </w:p>
        </w:tc>
      </w:tr>
    </w:tbl>
    <w:p>
      <w:pPr>
        <w:pStyle w:val="MDPI31text"/>
        <w:widowControl/>
      </w:pPr>
      <w:r>
        <w:t>Intervals are Wilson intervals conditional on the evaluated source records. Incomplete counts equal source n minus scored n. These denominators reveal, for example, that PTEN specificity is based on five evaluable B/LB anchors, while 17 further B/LB anchors are incomplete. The full machine-readable table also includes per-gene AUROC, AUPRC, Brier score, confusion counts and V-state counts.</w:t>
      </w:r>
    </w:p>
    <w:p>
      <w:pPr>
        <w:pStyle w:val="MDPI22heading2"/>
        <w:keepNext/>
        <w:widowControl/>
      </w:pPr>
      <w:r>
        <w:t>S2. Conditional intervals for the fixed first repeat</w:t>
      </w:r>
    </w:p>
    <w:p>
      <w:pPr>
        <w:pStyle w:val="MDPI31text"/>
        <w:widowControl/>
      </w:pPr>
      <w:r>
        <w:t>A class-stratified bootstrap used one fixed out-of-fold prediction per evaluable variant, 2,000 resamples and seed 20260905. The intervals below condition on the fitted scores and the sampled source-label classes. Models were not refitted, gene clusters were not resampled, and the intervals do not represent historical model-selection uncertainty, source-label circularity or transport to unresolved variants. They supplement the five-repeat split-stability SDs rather than reinterpret them as confidence intervals.</w:t>
      </w:r>
    </w:p>
    <w:p>
      <w:pPr>
        <w:pStyle w:val="MDPI41tablecaption"/>
        <w:keepNext/>
        <w:widowControl/>
      </w:pPr>
      <w:r>
        <w:t>Table S2. Conditional first-repeat intervals on 2,046 evaluable anchors.</w:t>
      </w:r>
    </w:p>
    <w:tbl>
      <w:tblPr>
        <w:tblStyle w:val="MDPItable"/>
        <w:tblW w:w="10460" w:type="dxa"/>
        <w:tblInd w:w="0" w:type="dxa"/>
        <w:tblLayout w:type="fixed"/>
        <w:tblLook w:val="04A0" w:firstRow="1" w:lastRow="0" w:firstColumn="1" w:lastColumn="0" w:noHBand="0" w:noVBand="1"/>
      </w:tblPr>
      <w:tblGrid>
        <w:gridCol w:w="3400"/>
        <w:gridCol w:w="2700"/>
        <w:gridCol w:w="4360"/>
      </w:tblGrid>
      <w:tr w:rsidR="00083AA0" w:rsidRPr="006D6EC6" w14:paraId="28827222" w14:textId="77777777" w:rsidTr="00CD0244">
        <w:trPr>
          <w:cantSplit/>
          <w:tblHeader/>
        </w:trPr>
        <w:tc>
          <w:tcPr>
            <w:tcW w:w="340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left"/>
            </w:pPr>
            <w:r>
              <w:rPr>
                <w:rFonts w:ascii="Times New Roman" w:hAnsi="Times New Roman"/>
                <w:szCs w:val="18"/>
                <w:sz w:val="17"/>
                <w:b/>
              </w:rPr>
              <w:t xml:space="preserve">Metric</w:t>
            </w:r>
          </w:p>
        </w:tc>
        <w:tc>
          <w:tcPr>
            <w:tcW w:w="270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7"/>
                <w:b/>
              </w:rPr>
              <w:t xml:space="preserve">First-repeat estimate</w:t>
            </w:r>
          </w:p>
        </w:tc>
        <w:tc>
          <w:tcPr>
            <w:tcW w:w="436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pPr>
            <w:r>
              <w:rPr>
                <w:rFonts w:ascii="Times New Roman" w:hAnsi="Times New Roman"/>
                <w:szCs w:val="18"/>
                <w:sz w:val="17"/>
                <w:b/>
              </w:rPr>
              <w:t xml:space="preserve">Conditional 2.5th–97.5th percentiles</w:t>
            </w:r>
          </w:p>
        </w:tc>
      </w:tr>
      <w:tr w:rsidR="00083AA0" w:rsidRPr="006D6EC6" w14:paraId="6490ED98" w14:textId="77777777" w:rsidTr="00CD0244">
        <w:trPr>
          <w:cantSplit/>
        </w:trPr>
        <w:tc>
          <w:tcPr>
            <w:tcW w:w="34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sensitivity</w:t>
            </w:r>
          </w:p>
        </w:tc>
        <w:tc>
          <w:tcPr>
            <w:tcW w:w="27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0.9446</w:t>
            </w:r>
          </w:p>
        </w:tc>
        <w:tc>
          <w:tcPr>
            <w:tcW w:w="436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0.9297–0.9585</w:t>
            </w:r>
          </w:p>
        </w:tc>
      </w:tr>
      <w:tr w:rsidR="00083AA0" w:rsidRPr="006D6EC6" w14:paraId="6490ED98" w14:textId="77777777" w:rsidTr="00CD0244">
        <w:trPr>
          <w:cantSplit/>
        </w:trPr>
        <w:tc>
          <w:tcPr>
            <w:tcW w:w="34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specificity</w:t>
            </w:r>
          </w:p>
        </w:tc>
        <w:tc>
          <w:tcPr>
            <w:tcW w:w="27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0.9738</w:t>
            </w:r>
          </w:p>
        </w:tc>
        <w:tc>
          <w:tcPr>
            <w:tcW w:w="436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0.9639–0.9828</w:t>
            </w:r>
          </w:p>
        </w:tc>
      </w:tr>
      <w:tr w:rsidR="00083AA0" w:rsidRPr="006D6EC6" w14:paraId="6490ED98" w14:textId="77777777" w:rsidTr="00CD0244">
        <w:trPr>
          <w:cantSplit/>
        </w:trPr>
        <w:tc>
          <w:tcPr>
            <w:tcW w:w="34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balanced_accuracy</w:t>
            </w:r>
          </w:p>
        </w:tc>
        <w:tc>
          <w:tcPr>
            <w:tcW w:w="27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0.9592</w:t>
            </w:r>
          </w:p>
        </w:tc>
        <w:tc>
          <w:tcPr>
            <w:tcW w:w="436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0.9504–0.9675</w:t>
            </w:r>
          </w:p>
        </w:tc>
      </w:tr>
      <w:tr w:rsidR="00083AA0" w:rsidRPr="006D6EC6" w14:paraId="6490ED98" w14:textId="77777777" w:rsidTr="00CD0244">
        <w:trPr>
          <w:cantSplit/>
        </w:trPr>
        <w:tc>
          <w:tcPr>
            <w:tcW w:w="34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AUROC</w:t>
            </w:r>
          </w:p>
        </w:tc>
        <w:tc>
          <w:tcPr>
            <w:tcW w:w="27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0.9886</w:t>
            </w:r>
          </w:p>
        </w:tc>
        <w:tc>
          <w:tcPr>
            <w:tcW w:w="436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0.9838–0.9928</w:t>
            </w:r>
          </w:p>
        </w:tc>
      </w:tr>
      <w:tr w:rsidR="00083AA0" w:rsidRPr="006D6EC6" w14:paraId="6490ED98" w14:textId="77777777" w:rsidTr="00CD0244">
        <w:trPr>
          <w:cantSplit/>
        </w:trPr>
        <w:tc>
          <w:tcPr>
            <w:tcW w:w="34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AUPRC</w:t>
            </w:r>
          </w:p>
        </w:tc>
        <w:tc>
          <w:tcPr>
            <w:tcW w:w="27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0.9890</w:t>
            </w:r>
          </w:p>
        </w:tc>
        <w:tc>
          <w:tcPr>
            <w:tcW w:w="436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0.9849–0.9929</w:t>
            </w:r>
          </w:p>
        </w:tc>
      </w:tr>
      <w:tr w:rsidR="00083AA0" w:rsidRPr="006D6EC6" w14:paraId="6490ED98" w14:textId="77777777" w:rsidTr="00CD0244">
        <w:trPr>
          <w:cantSplit/>
        </w:trPr>
        <w:tc>
          <w:tcPr>
            <w:tcW w:w="34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Brier</w:t>
            </w:r>
          </w:p>
        </w:tc>
        <w:tc>
          <w:tcPr>
            <w:tcW w:w="27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0.0307</w:t>
            </w:r>
          </w:p>
        </w:tc>
        <w:tc>
          <w:tcPr>
            <w:tcW w:w="436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0.0253–0.0366</w:t>
            </w:r>
          </w:p>
        </w:tc>
      </w:tr>
    </w:tbl>
    <w:p>
      <w:pPr>
        <w:pStyle w:val="MDPI22heading2"/>
        <w:keepNext/>
        <w:widowControl/>
      </w:pPr>
      <w:r>
        <w:t>S3. gnomAD candidate eligibility</w:t>
      </w:r>
    </w:p>
    <w:p>
      <w:pPr>
        <w:pStyle w:val="MDPI31text"/>
        <w:widowControl/>
      </w:pPr>
      <w:r>
        <w:t>This is an eligibility audit of a selected common-variant stratum. All 50 screened candidates and their frequency, denominator, transcript and overlap records are provided in audit/gnomAD_candidates.csv. Forty-seven overlap the complete source training archive and one additional candidate overlaps the unresolved archive. Both remaining candidates are missense on alternative transcripts, but not on MANE Select. No model performance is calculated from this set.</w:t>
      </w:r>
    </w:p>
    <w:p>
      <w:pPr>
        <w:keepNext/>
      </w:pPr>
      <w:r>
        <w:drawing>
          <wp:inline xmlns:a="http://schemas.openxmlformats.org/drawingml/2006/main" xmlns:pic="http://schemas.openxmlformats.org/drawingml/2006/picture">
            <wp:extent cx="6400800" cy="4200799"/>
            <wp:docPr id="1" name="Picture 1"/>
            <wp:cNvGraphicFramePr>
              <a:graphicFrameLocks noChangeAspect="1"/>
            </wp:cNvGraphicFramePr>
            <a:graphic>
              <a:graphicData uri="http://schemas.openxmlformats.org/drawingml/2006/picture">
                <pic:pic>
                  <pic:nvPicPr>
                    <pic:cNvPr id="0" name="FigureS1_gnomAD_eligibility.png"/>
                    <pic:cNvPicPr/>
                  </pic:nvPicPr>
                  <pic:blipFill>
                    <a:blip r:embed="rId24"/>
                    <a:stretch>
                      <a:fillRect/>
                    </a:stretch>
                  </pic:blipFill>
                  <pic:spPr>
                    <a:xfrm>
                      <a:off x="0" y="0"/>
                      <a:ext cx="6400800" cy="4200799"/>
                    </a:xfrm>
                    <a:prstGeom prst="rect"/>
                  </pic:spPr>
                </pic:pic>
              </a:graphicData>
            </a:graphic>
          </wp:inline>
        </w:drawing>
      </w:r>
    </w:p>
    <w:p>
      <w:pPr>
        <w:pStyle w:val="MDPI51figurecaption"/>
        <w:keepLines/>
        <w:widowControl/>
      </w:pPr>
      <w:r>
        <w:t>Figure S1. (A) Candidates by gene and archive overlap. (B) Sequential retention under full-training exclusion, unresolved-archive exclusion and MANE missense restriction. These counts describe the specified gnomAD query and annotation audit; they do not prove that no other candidate could exist under a different release or transcript definition.</w:t>
      </w:r>
    </w:p>
    <w:p>
      <w:pPr>
        <w:pStyle w:val="MDPI41tablecaption"/>
        <w:keepNext/>
        <w:widowControl/>
      </w:pPr>
      <w:r>
        <w:t>Table S3. Two candidates outside both archives; no model predictions.</w:t>
      </w:r>
    </w:p>
    <w:tbl>
      <w:tblPr>
        <w:tblStyle w:val="MDPItable"/>
        <w:tblW w:w="10460" w:type="dxa"/>
        <w:tblInd w:w="0" w:type="dxa"/>
        <w:tblLayout w:type="fixed"/>
        <w:tblLook w:val="04A0" w:firstRow="1" w:lastRow="0" w:firstColumn="1" w:lastColumn="0" w:noHBand="0" w:noVBand="1"/>
      </w:tblPr>
      <w:tblGrid>
        <w:gridCol w:w="1000"/>
        <w:gridCol w:w="2350"/>
        <w:gridCol w:w="4100"/>
        <w:gridCol w:w="1650"/>
        <w:gridCol w:w="1360"/>
      </w:tblGrid>
      <w:tr w:rsidR="00083AA0" w:rsidRPr="006D6EC6" w14:paraId="28827222" w14:textId="77777777" w:rsidTr="00CD0244">
        <w:trPr>
          <w:cantSplit/>
          <w:tblHeader/>
        </w:trPr>
        <w:tc>
          <w:tcPr>
            <w:tcW w:w="100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left"/>
              <w:keepNext/>
            </w:pPr>
            <w:r>
              <w:rPr>
                <w:rFonts w:ascii="Times New Roman" w:hAnsi="Times New Roman"/>
                <w:szCs w:val="18"/>
                <w:sz w:val="17"/>
                <w:b/>
              </w:rPr>
              <w:t xml:space="preserve">Gene</w:t>
            </w:r>
          </w:p>
        </w:tc>
        <w:tc>
          <w:tcPr>
            <w:tcW w:w="235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left"/>
              <w:keepNext/>
            </w:pPr>
            <w:r>
              <w:rPr>
                <w:rFonts w:ascii="Times New Roman" w:hAnsi="Times New Roman"/>
                <w:szCs w:val="18"/>
                <w:sz w:val="17"/>
                <w:b/>
              </w:rPr>
              <w:t xml:space="preserve">GRCh38 variant</w:t>
            </w:r>
          </w:p>
        </w:tc>
        <w:tc>
          <w:tcPr>
            <w:tcW w:w="410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keepNext/>
            </w:pPr>
            <w:r>
              <w:rPr>
                <w:rFonts w:ascii="Times New Roman" w:hAnsi="Times New Roman"/>
                <w:szCs w:val="18"/>
                <w:sz w:val="17"/>
                <w:b/>
              </w:rPr>
              <w:t xml:space="preserve">Alternative-transcript missense</w:t>
            </w:r>
          </w:p>
        </w:tc>
        <w:tc>
          <w:tcPr>
            <w:tcW w:w="165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keepNext/>
            </w:pPr>
            <w:r>
              <w:rPr>
                <w:rFonts w:ascii="Times New Roman" w:hAnsi="Times New Roman"/>
                <w:szCs w:val="18"/>
                <w:sz w:val="17"/>
                <w:b/>
              </w:rPr>
              <w:t xml:space="preserve">MANE consequence</w:t>
            </w:r>
          </w:p>
        </w:tc>
        <w:tc>
          <w:tcPr>
            <w:tcW w:w="1360"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rPr>
                <w:rFonts w:ascii="Times New Roman" w:hAnsi="Times New Roman"/>
                <w:b/>
                <w:sz w:val="18"/>
                <w:szCs w:val="18"/>
              </w:rPr>
              <w:ind w:left="0" w:right="0" w:firstLine="0"/>
              <w:spacing w:before="20" w:after="20" w:line="200" w:lineRule="auto"/>
              <w:jc w:val="center"/>
              <w:keepNext/>
            </w:pPr>
            <w:r>
              <w:rPr>
                <w:rFonts w:ascii="Times New Roman" w:hAnsi="Times New Roman"/>
                <w:szCs w:val="18"/>
                <w:sz w:val="17"/>
                <w:b/>
              </w:rPr>
              <w:t xml:space="preserve">Scoring status</w:t>
            </w:r>
          </w:p>
        </w:tc>
      </w:tr>
      <w:tr w:rsidR="00083AA0" w:rsidRPr="006D6EC6" w14:paraId="6490ED98" w14:textId="77777777" w:rsidTr="00CD0244">
        <w:trPr>
          <w:cantSplit/>
        </w:trPr>
        <w:tc>
          <w:tcPr>
            <w:tcW w:w="10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keepNext/>
            </w:pPr>
            <w:r>
              <w:rPr>
                <w:rFonts w:ascii="Times New Roman" w:hAnsi="Times New Roman"/>
                <w:szCs w:val="18"/>
                <w:sz w:val="17"/>
              </w:rPr>
              <w:t xml:space="preserve">CHEK2</w:t>
            </w:r>
          </w:p>
        </w:tc>
        <w:tc>
          <w:tcPr>
            <w:tcW w:w="23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keepNext/>
            </w:pPr>
            <w:r>
              <w:rPr>
                <w:rFonts w:ascii="Times New Roman" w:hAnsi="Times New Roman"/>
                <w:szCs w:val="18"/>
                <w:sz w:val="17"/>
              </w:rPr>
              <w:t xml:space="preserve">22-28712124-A-C</w:t>
            </w:r>
          </w:p>
        </w:tc>
        <w:tc>
          <w:tcPr>
            <w:tcW w:w="410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keepNext/>
            </w:pPr>
            <w:r>
              <w:rPr>
                <w:rFonts w:ascii="Times New Roman" w:hAnsi="Times New Roman"/>
                <w:szCs w:val="18"/>
                <w:sz w:val="17"/>
              </w:rPr>
              <w:t xml:space="preserve">ENST00000464581.7:c.11T&gt;G; p.Leu4Arg</w:t>
            </w:r>
          </w:p>
        </w:tc>
        <w:tc>
          <w:tcPr>
            <w:tcW w:w="165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keepNext/>
            </w:pPr>
            <w:r>
              <w:rPr>
                <w:rFonts w:ascii="Times New Roman" w:hAnsi="Times New Roman"/>
                <w:szCs w:val="18"/>
                <w:sz w:val="17"/>
              </w:rPr>
              <w:t xml:space="preserve">Intronic</w:t>
            </w:r>
          </w:p>
        </w:tc>
        <w:tc>
          <w:tcPr>
            <w:tcW w:w="136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keepNext/>
            </w:pPr>
            <w:r>
              <w:rPr>
                <w:rFonts w:ascii="Times New Roman" w:hAnsi="Times New Roman"/>
                <w:szCs w:val="18"/>
                <w:sz w:val="17"/>
              </w:rPr>
              <w:t xml:space="preserve">Unscored</w:t>
            </w:r>
          </w:p>
        </w:tc>
      </w:tr>
      <w:tr w:rsidR="00083AA0" w:rsidRPr="006D6EC6" w14:paraId="6490ED98" w14:textId="77777777" w:rsidTr="00CD0244">
        <w:trPr>
          <w:cantSplit/>
        </w:trPr>
        <w:tc>
          <w:tcPr>
            <w:tcW w:w="10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PTEN</w:t>
            </w:r>
          </w:p>
        </w:tc>
        <w:tc>
          <w:tcPr>
            <w:tcW w:w="235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left"/>
            </w:pPr>
            <w:r>
              <w:rPr>
                <w:rFonts w:ascii="Times New Roman" w:hAnsi="Times New Roman"/>
                <w:szCs w:val="18"/>
                <w:sz w:val="17"/>
              </w:rPr>
              <w:t xml:space="preserve">10-87864144-G-C</w:t>
            </w:r>
          </w:p>
        </w:tc>
        <w:tc>
          <w:tcPr>
            <w:tcW w:w="410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ENST00000693560.1:c.194G&gt;C; p.Cys65Ser</w:t>
            </w:r>
          </w:p>
        </w:tc>
        <w:tc>
          <w:tcPr>
            <w:tcW w:w="165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5′ UTR</w:t>
            </w:r>
          </w:p>
        </w:tc>
        <w:tc>
          <w:tcPr>
            <w:tcW w:w="1360"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rPr>
                <w:rFonts w:ascii="Times New Roman" w:hAnsi="Times New Roman"/>
                <w:sz w:val="18"/>
                <w:szCs w:val="18"/>
              </w:rPr>
              <w:ind w:left="0" w:right="0" w:firstLine="0"/>
              <w:spacing w:before="20" w:after="20" w:line="200" w:lineRule="auto"/>
              <w:jc w:val="center"/>
            </w:pPr>
            <w:r>
              <w:rPr>
                <w:rFonts w:ascii="Times New Roman" w:hAnsi="Times New Roman"/>
                <w:szCs w:val="18"/>
                <w:sz w:val="17"/>
              </w:rPr>
              <w:t xml:space="preserve">Unscored</w:t>
            </w:r>
          </w:p>
        </w:tc>
      </w:tr>
    </w:tbl>
    <w:p>
      <w:pPr>
        <w:pStyle w:val="MDPI31text"/>
        <w:widowControl/>
      </w:pPr>
      <w:r>
        <w:t>An alternate-allele frequency screen does not by itself complete a BA1 assessment. Disease and gene specifications, exception handling, appropriate population denominators, transcript relevance and source quality require adjudication. Selection on frequency can also share information with model inputs. The presence of both reference classes in a single database is not a requirement for a descriptive challenge, but mixing class-specific sources does not create representative accuracy or predictive-value estimates.</w:t>
      </w:r>
    </w:p>
    <w:p>
      <w:pPr>
        <w:pStyle w:val="MDPI31text"/>
        <w:widowControl/>
      </w:pPr>
      <w:r>
        <w:t>Methodological source: Ghosh et al. Updated recommendation for the benign stand-alone ACMG/AMP criterion. Hum. Mutat. 2018;39:1525–1530. doi:10.1002/humu.23642. https://clinicalgenome.org/docs/updated-recommendation-for-the-benign-stand-alone-acmg-amp-criterion/</w:t>
      </w:r>
    </w:p>
    <w:p>
      <w:pPr>
        <w:pStyle w:val="MDPI22heading2"/>
        <w:keepNext/>
        <w:widowControl/>
      </w:pPr>
      <w:r>
        <w:t>S4. Source provenance and reproducibility</w:t>
      </w:r>
    </w:p>
    <w:p>
      <w:pPr>
        <w:pStyle w:val="MDPI31text"/>
        <w:widowControl/>
      </w:pPr>
      <w:r>
        <w:t>The original 25-feature matrix is retained in data/legacy_reference/ for provenance only; its missing original fold and fitted-model artifacts cannot be reconstructed by asserting that new fits are the old ones. Current results use anchors_all_numeric.csv and the R4 fitted objects. The deployment panel is provided separately as anchor_deployment_panel.csv. Each assessment output includes SPDI, gene, source label, learner probabilities and votes, V-state, Mean4, S_MAC, completeness and partition ID. Inner fold memberships and training identities are recorded in each fit audit. All 58 saved fitted objects and the full application catalogue passed prediction replay to numerical precision (maximum absolute probability difference 1.11 × 10⁻¹⁶).</w:t>
      </w:r>
    </w:p>
    <w:p>
      <w:pPr>
        <w:pStyle w:val="MDPI31text"/>
        <w:widowControl/>
      </w:pPr>
      <w:r>
        <w:t xml:space="preserve">The historical training sheet lacks original transcript/consequence alignment. Current Ensembl annotation identifies 2,039 MANE missense anchors, 81 additional same-gene alternative-transcript missense anchors and 40 without a current same-gene missense consequence. The 2,120-record sensitivity refit is reported separately. The complete hospital audit retains all 122 source rows, including 75 outside the gene scope. The 47 in-scope rows resolve to 31 missense variants, all scored in Table 5: 22 anchor overlaps, eight application-catalogue overlaps and one non-anchor source-archive record. All meet ≥20/25 completeness. Anchor-overlapping deployment scores are in-sample. Repeated rows are not assumed to be independent patients; clinical reference labels remain unadjudicated.</w:t>
      </w:r>
    </w:p>
    <w:p>
      <w:pPr>
        <w:pStyle w:val="MDPI31text"/>
        <w:widowControl/>
      </w:pPr>
      <w:r>
        <w:t>Transcript identity was checked against Ensembl snapshots and NCBI ClinVar VCV000005591.136 (https://www.ncbi.nlm.nih.gov/clinvar/variation/5591/; accessed 6 September 2026). CHEK2 Ile200Thr/Ile157Thr and Gly210Arg/Gly167Arg were each merged by genomic allele. A bare c.599T&gt;C catalogue lookup would select p.Val200Ala on MANE Select. The full row audit preserves source names, transcript strings and discrepant ATM rsIDs. Additional Ensembl responses are in audit/cache/hospital_additional_transcripts.json.gz. These checks establish allele identity, not clinical reference classifications.</w:t>
      </w:r>
    </w:p>
    <w:p>
      <w:pPr>
        <w:pStyle w:val="MDPI22heading2"/>
        <w:keepNext/>
        <w:widowControl/>
      </w:pPr>
      <w:r>
        <w:t>S5. TRIPOD+AI reporting map and remaining gaps</w:t>
      </w:r>
    </w:p>
    <w:p>
      <w:pPr>
        <w:pStyle w:val="MDPI31text"/>
        <w:widowControl/>
      </w:pPr>
      <w:r>
        <w:t xml:space="preserve">This is a study-specific reporting map, not a claim of complete compliance. Item topics are abbreviated and the official checklist remains authoritative. Patient-level prediction items are interpreted cautiously because the analysis unit is a variant. Persistent deposition, historical annotation-release provenance and patient/public-involvement information remain incomplete; a supplementary checklist cannot remedy these gaps.</w:t>
      </w:r>
    </w:p>
    <w:p>
      <w:pPr>
        <w:pStyle w:val="MDPI41tablecaption"/>
        <w:keepNext/>
        <w:widowControl/>
      </w:pPr>
      <w:r>
        <w:t>Table S4. Study-specific TRIPOD+AI reporting map.</w:t>
      </w:r>
    </w:p>
    <w:tbl>
      <w:tblPr>
        <w:tblStyle w:val="MDPItable"/>
        <w:tblW w:w="10460" w:type="dxa"/>
        <w:tblInd w:w="0" w:type="dxa"/>
        <w:tblLayout w:type="fixed"/>
        <w:tblLook w:val="04A0" w:firstRow="1" w:lastRow="0" w:firstColumn="1" w:lastColumn="0" w:noHBand="0" w:noVBand="1"/>
      </w:tblPr>
      <w:tblGrid>
        <w:gridCol w:w="700"/>
        <w:gridCol w:w="1800"/>
        <w:gridCol w:w="2750"/>
        <w:gridCol w:w="5210"/>
      </w:tblGrid>
      <w:tr w:rsidR="00083AA0" w:rsidRPr="006D6EC6" w14:paraId="28827222" w14:textId="77777777" w:rsidTr="00CD0244">
        <w:trPr>
          <w:cantSplit/>
          <w:tblHeader/>
        </w:trPr>
        <w:tc>
          <w:tcPr>
            <w:tcW w:w="70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rPr>
                <w:rFonts w:ascii="Times New Roman" w:hAnsi="Times New Roman"/>
                <w:b/>
                <w:sz w:val="16"/>
                <w:szCs w:val="18"/>
              </w:rPr>
              <w:ind w:left="0" w:right="0" w:firstLine="0"/>
              <w:spacing w:before="0" w:after="0" w:line="200" w:lineRule="auto"/>
              <w:jc w:val="left"/>
            </w:pPr>
            <w:r>
              <w:rPr>
                <w:rFonts w:ascii="Times New Roman" w:hAnsi="Times New Roman"/>
                <w:szCs w:val="18"/>
                <w:sz w:val="16"/>
                <w:b/>
              </w:rPr>
              <w:t xml:space="preserve">Item</w:t>
            </w:r>
          </w:p>
        </w:tc>
        <w:tc>
          <w:tcPr>
            <w:tcW w:w="180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rPr>
                <w:rFonts w:ascii="Times New Roman" w:hAnsi="Times New Roman"/>
                <w:b/>
                <w:sz w:val="16"/>
                <w:szCs w:val="18"/>
              </w:rPr>
              <w:ind w:left="0" w:right="0" w:firstLine="0"/>
              <w:spacing w:before="0" w:after="0" w:line="200" w:lineRule="auto"/>
              <w:jc w:val="center"/>
            </w:pPr>
            <w:r>
              <w:rPr>
                <w:rFonts w:ascii="Times New Roman" w:hAnsi="Times New Roman"/>
                <w:szCs w:val="18"/>
                <w:sz w:val="16"/>
                <w:b/>
              </w:rPr>
              <w:t xml:space="preserve">Topic</w:t>
            </w:r>
          </w:p>
        </w:tc>
        <w:tc>
          <w:tcPr>
            <w:tcW w:w="275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rPr>
                <w:rFonts w:ascii="Times New Roman" w:hAnsi="Times New Roman"/>
                <w:b/>
                <w:sz w:val="16"/>
                <w:szCs w:val="18"/>
              </w:rPr>
              <w:ind w:left="0" w:right="0" w:firstLine="0"/>
              <w:spacing w:before="0" w:after="0" w:line="200" w:lineRule="auto"/>
              <w:jc w:val="center"/>
            </w:pPr>
            <w:r>
              <w:rPr>
                <w:rFonts w:ascii="Times New Roman" w:hAnsi="Times New Roman"/>
                <w:szCs w:val="18"/>
                <w:sz w:val="16"/>
                <w:b/>
              </w:rPr>
              <w:t xml:space="preserve">Location</w:t>
            </w:r>
          </w:p>
        </w:tc>
        <w:tc>
          <w:tcPr>
            <w:tcW w:w="521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rPr>
                <w:rFonts w:ascii="Times New Roman" w:hAnsi="Times New Roman"/>
                <w:b/>
                <w:sz w:val="16"/>
                <w:szCs w:val="18"/>
              </w:rPr>
              <w:ind w:left="0" w:right="0" w:firstLine="0"/>
              <w:spacing w:before="0" w:after="0" w:line="200" w:lineRule="auto"/>
              <w:jc w:val="center"/>
            </w:pPr>
            <w:r>
              <w:rPr>
                <w:rFonts w:ascii="Times New Roman" w:hAnsi="Times New Roman"/>
                <w:szCs w:val="18"/>
                <w:sz w:val="16"/>
                <w:b/>
              </w:rPr>
              <w:t xml:space="preserve">Coverage / limitation</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1–2</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Title and abstract</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Title; Abstract</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Model, target, outputs, evaluability and internal scope stated.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3a–c</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Context and users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Introduction; Discussion</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Research-curator use specified; ancestry/demographic representativeness unavailable.</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4</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Objectives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Introduction final paragraph; 4.1</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Development and internal evaluation; clinical validation withdrawn.</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5a–b</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Source data and dates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4.1–4.3; input_manifest.json; audit/cache</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Source archives hashed; 2026-09-05 audit snapshots retained. Historical source release dates unavailable.</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6a–c</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Eligibility and setting</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4.1–4.2; Table 6</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Variant-level scope; historical transcript discrepancies declared; treatment/follow-up not applicable.</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7</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Preparation</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4.3; prepare_inputs.py</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Numeric parsing, semantic reduction and partition-specific preprocessing documented.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8a–c</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Reference labels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4.2; Discussion; source metadata</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Processed y distinguished from embedded ClinVar labels. Independent blinded outcome adjudication unavailable.</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9a–c</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Predictors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4.3; Table 1; data dictionary</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47 primary candidates and 25 deployment predictors supplied. Upstream training provenance remains incomplete.</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10</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Sample size</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4.1; Tables 3, 4 and 6</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All available source anchors used; no formal prospective calculation; small gene strata acknowledged.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11</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Missingness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2.2; 4.2–4.3; output flags</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Median imputation and identical completeness suppression; all denominators retained.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12a–g</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Analysis design</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4.4–4.9; scripts; fold maps</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Nested fitting, tuning, calibration, thresholding, metrics and sensitivity analyses explicit.</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13</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Class balance</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4.1; fitted learner settings</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No class resampling or class-weight adjustment; class counts and calibration reported.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14</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Fairness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Discussion; data dictionary</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Ancestry-specific and demographic fairness not estimable from these source data.</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15</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Outputs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4.2 and 4.6; Table 3</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Shared vote descriptors; retrospective convention; S_MAC ranking; completeness guard.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16</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Population differences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2.7; 4.8; Figure 6</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Predictor shift, disagreement shift, gene information and absent application outcomes documented.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17</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Ethics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Ethics and consent statements</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Source hospital approval retained; no new external clinical outcome analysis.</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18a–b</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Funding and interests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Funding; Author Contributions; conflicts statement</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No external funding declared. Author contributions and conflicts are stated in the manuscript.</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18c–d</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Protocol and registration</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4.1; executed_protocol.md</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Revision-stage reanalysis not prospectively registered; executed protocol and deviations supplied.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18e–f</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Data and code access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Availability statements; release archive</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Matrices, folds, outputs, models and scripts included. Persistent DOI and reviewer access still pending.</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19</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Public involvement</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Author declaration needed</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No documented patient/public involvement record was supplied; authors must confirm the statement.</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20a–c</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Cohort accounting</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Tables 3 and 6; Figures 2, 6 and 8</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Source and evaluable counts, application population and missingness distinguished; clinical demographics unavailable.</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21</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Analysis denominators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Tables 3 and 4; per-gene tables; fit audits</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Training and held-out identities, class counts and incomplete flags provided per analysis.</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22</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Complete model</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Table 2; models/deployment.joblib</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Preprocessors, parameters, calibrators, thresholds and scoring code supplied; persistent access pending.</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23a–b</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Performance and variation</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2.2–2.7; Figures 1, 2, 3, 4, 5 and 6; Tables S1–S2</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Repeat SDs, per-gene Wilson intervals and conditional fixed-score intervals. No prospective or transport intervals.</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24</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Model revision</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2.1; README; executed_protocol.md</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New fits supersede prior numerical estimates; old missing fits are not reconstructed or claimed verified.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25–26</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Interpretation and limits</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Discussion</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Source-label dependence, gene confounding, shift, cost asymmetry, missingness and transcript limits connected.</w:t>
            </w:r>
          </w:p>
        </w:tc>
      </w:tr>
      <w:tr w:rsidR="00083AA0" w:rsidRPr="006D6EC6" w14:paraId="6490ED98" w14:textId="77777777" w:rsidTr="00CD0244">
        <w:trPr>
          <w:cantSplit/>
        </w:trPr>
        <w:tc>
          <w:tcPr>
            <w:tcW w:w="70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left"/>
            </w:pPr>
            <w:r>
              <w:rPr>
                <w:rFonts w:ascii="Times New Roman" w:hAnsi="Times New Roman"/>
                <w:szCs w:val="18"/>
                <w:sz w:val="16"/>
              </w:rPr>
              <w:t xml:space="preserve">27a–c</w:t>
            </w:r>
          </w:p>
        </w:tc>
        <w:tc>
          <w:tcPr>
            <w:tcW w:w="180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Use and next evaluation</w:t>
            </w:r>
          </w:p>
        </w:tc>
        <w:tc>
          <w:tcPr>
            <w:tcW w:w="275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Discussion; 4.2; viewer notes</w:t>
            </w:r>
          </w:p>
        </w:tc>
        <w:tc>
          <w:tcPr>
            <w:tcW w:w="521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rPr>
                <w:rFonts w:ascii="Times New Roman" w:hAnsi="Times New Roman"/>
                <w:sz w:val="16"/>
                <w:szCs w:val="18"/>
              </w:rPr>
              <w:ind w:left="0" w:right="0" w:firstLine="0"/>
              <w:spacing w:before="0" w:after="0" w:line="200" w:lineRule="auto"/>
              <w:jc w:val="center"/>
            </w:pPr>
            <w:r>
              <w:rPr>
                <w:rFonts w:ascii="Times New Roman" w:hAnsi="Times New Roman"/>
                <w:szCs w:val="18"/>
                <w:sz w:val="16"/>
              </w:rPr>
              <w:t xml:space="preserve">Expert research use; verify build/transcript; incomplete suppression; independent evidence and clinical utility evaluation remain necessary.</w:t>
            </w:r>
          </w:p>
        </w:tc>
      </w:tr>
    </w:tbl>
    <w:p>
      <w:pPr>
        <w:pStyle w:val="MDPI31text"/>
        <w:widowControl/>
      </w:pPr>
      <w:r>
        <w:t>Checklist: Collins et al. TRIPOD+AI. BMJ 2024;385:e078378. doi:10.1136/bmj-2023-078378. Expanded checklist: https://www.tripod-statement.org/wp-content/uploads/2024/04/TRIPODAI-Supplement.pdf.</w:t>
      </w:r>
    </w:p>
    <w:sectPr w:rsidR="009323F1" w:rsidRPr="00CD0244" w:rsidSect="000E2070">
      <w:headerReference w:type="even" r:id="rId17"/>
      <w:headerReference w:type="default" r:id="rId18"/>
      <w:footerReference w:type="default" r:id="rId19"/>
      <w:headerReference w:type="first" r:id="rId20"/>
      <w:footerReference w:type="first" r:id="rId21"/>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F6881" w14:textId="77777777" w:rsidR="008169C6" w:rsidRPr="00AF0422" w:rsidRDefault="008169C6">
      <w:pPr>
        <w:spacing w:line="240" w:lineRule="auto"/>
      </w:pPr>
      <w:r w:rsidRPr="00AF0422">
        <w:separator/>
      </w:r>
    </w:p>
  </w:endnote>
  <w:endnote w:type="continuationSeparator" w:id="0">
    <w:p w14:paraId="4C0EF98C" w14:textId="77777777" w:rsidR="008169C6" w:rsidRPr="00AF0422" w:rsidRDefault="008169C6">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18FB" w14:textId="77777777" w:rsidR="007D0675" w:rsidRPr="00425155" w:rsidRDefault="007D0675" w:rsidP="00E97D90">
    <w:pPr>
      <w:pStyle w:val="Footer"/>
      <w:spacing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C66A"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27419392" w14:textId="77777777" w:rsidR="009C03A4" w:rsidRPr="000038F4" w:rsidRDefault="009C03A4" w:rsidP="009C03A4">
    <w:pPr>
      <w:pStyle w:val="MDPIfooterfirstpage"/>
      <w:tabs>
        <w:tab w:val="clear" w:pos="8845"/>
        <w:tab w:val="right" w:pos="10466"/>
      </w:tabs>
      <w:spacing w:line="240" w:lineRule="auto"/>
      <w:jc w:val="both"/>
    </w:pPr>
    <w:r w:rsidRPr="000038F4">
      <w:rPr>
        <w:i/>
        <w:iCs/>
      </w:rPr>
      <w:t>Int. J. Mol. Sci.</w:t>
    </w:r>
    <w:r w:rsidRPr="000038F4">
      <w:rPr>
        <w:i/>
      </w:rPr>
      <w:t xml:space="preserve"> </w:t>
    </w:r>
    <w:r w:rsidRPr="000038F4">
      <w:rPr>
        <w:b/>
        <w:iCs/>
      </w:rPr>
      <w:t>202</w:t>
    </w:r>
    <w:r>
      <w:rPr>
        <w:b/>
        <w:iCs/>
      </w:rPr>
      <w:t>6</w:t>
    </w:r>
    <w:r w:rsidRPr="000038F4">
      <w:rPr>
        <w:iCs/>
      </w:rPr>
      <w:t>,</w:t>
    </w:r>
    <w:r w:rsidRPr="000038F4">
      <w:rPr>
        <w:i/>
        <w:iCs/>
      </w:rPr>
      <w:t xml:space="preserve"> 27</w:t>
    </w:r>
    <w:r w:rsidRPr="000038F4">
      <w:rPr>
        <w:iCs/>
      </w:rPr>
      <w:t>, x. https://doi.org/10.3390/xxxxx</w:t>
    </w:r>
    <w:r w:rsidRPr="000038F4">
      <w:tab/>
      <w:t>www.mdpi.com/journal/ijms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33A0" w14:textId="77777777" w:rsidR="008169C6" w:rsidRPr="00AF0422" w:rsidRDefault="008169C6">
      <w:pPr>
        <w:spacing w:line="240" w:lineRule="auto"/>
      </w:pPr>
      <w:r w:rsidRPr="00AF0422">
        <w:separator/>
      </w:r>
    </w:p>
  </w:footnote>
  <w:footnote w:type="continuationSeparator" w:id="0">
    <w:p w14:paraId="4A663BA6" w14:textId="77777777" w:rsidR="008169C6" w:rsidRPr="00AF0422" w:rsidRDefault="008169C6">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8EF"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5A96" w14:textId="77777777" w:rsidR="008D336B" w:rsidRPr="00AF0422" w:rsidRDefault="007D0675" w:rsidP="00B94E07">
    <w:pPr>
      <w:tabs>
        <w:tab w:val="right" w:pos="10466"/>
      </w:tabs>
      <w:adjustRightInd w:val="0"/>
      <w:snapToGrid w:val="0"/>
      <w:spacing w:line="240" w:lineRule="auto"/>
      <w:rPr>
        <w:sz w:val="16"/>
      </w:rPr>
    </w:pPr>
    <w:r w:rsidRPr="00AF0422">
      <w:rPr>
        <w:i/>
        <w:sz w:val="16"/>
      </w:rPr>
      <w:t xml:space="preserve">Int. J. Mol. Sci. </w:t>
    </w:r>
    <w:r w:rsidR="00CD5F34" w:rsidRPr="00AF0422">
      <w:rPr>
        <w:b/>
        <w:sz w:val="16"/>
      </w:rPr>
      <w:t>2026</w:t>
    </w:r>
    <w:r w:rsidR="00103C88" w:rsidRPr="00AF0422">
      <w:rPr>
        <w:sz w:val="16"/>
      </w:rPr>
      <w:t>,</w:t>
    </w:r>
    <w:r w:rsidR="00CD5F34" w:rsidRPr="00AF0422">
      <w:rPr>
        <w:i/>
        <w:sz w:val="16"/>
      </w:rPr>
      <w:t xml:space="preserve"> 27</w:t>
    </w:r>
    <w:r w:rsidR="00131CEC" w:rsidRPr="00AF0422">
      <w:rPr>
        <w:sz w:val="16"/>
      </w:rPr>
      <w:t xml:space="preserve">, x </w:t>
    </w:r>
    <w:r w:rsidR="00CD5F34" w:rsidRPr="00AF0422">
      <w:rPr>
        <w:sz w:val="16"/>
      </w:rPr>
      <w:t>FOR PEER REVIEW</w:t>
    </w:r>
    <w:r w:rsidR="007356FF" w:rsidRPr="00AF0422">
      <w:rPr>
        <w:sz w:val="16"/>
      </w:rPr>
      <w:tab/>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0C37E54B"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E11A7" w:rsidRPr="004340C2" w14:paraId="55E34034" w14:textId="77777777" w:rsidTr="00F81B62">
      <w:trPr>
        <w:trHeight w:val="686"/>
      </w:trPr>
      <w:tc>
        <w:tcPr>
          <w:tcW w:w="3679" w:type="dxa"/>
          <w:vAlign w:val="center"/>
        </w:tcPr>
        <w:p w14:paraId="60EB528E" w14:textId="77777777" w:rsidR="00FE11A7" w:rsidRPr="00762525" w:rsidRDefault="00083AA0" w:rsidP="00FE11A7">
          <w:pPr>
            <w:pStyle w:val="Header"/>
            <w:pBdr>
              <w:bottom w:val="none" w:sz="0" w:space="0" w:color="auto"/>
            </w:pBdr>
            <w:jc w:val="left"/>
            <w:rPr>
              <w:rFonts w:eastAsia="DengXian"/>
              <w:b/>
              <w:bCs/>
            </w:rPr>
          </w:pPr>
          <w:r w:rsidRPr="00243346">
            <w:rPr>
              <w:rFonts w:eastAsia="DengXian"/>
              <w:b/>
              <w:bCs/>
              <w:noProof/>
            </w:rPr>
            <w:drawing>
              <wp:inline distT="0" distB="0" distL="0" distR="0" wp14:anchorId="563EF10B" wp14:editId="47B215D4">
                <wp:extent cx="1670050" cy="438785"/>
                <wp:effectExtent l="0" t="0" r="0" b="0"/>
                <wp:docPr id="5" name="Picture 3" descr="C:\Users\home\Desktop\logos\ijm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ijm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438785"/>
                        </a:xfrm>
                        <a:prstGeom prst="rect">
                          <a:avLst/>
                        </a:prstGeom>
                        <a:noFill/>
                        <a:ln>
                          <a:noFill/>
                        </a:ln>
                      </pic:spPr>
                    </pic:pic>
                  </a:graphicData>
                </a:graphic>
              </wp:inline>
            </w:drawing>
          </w:r>
        </w:p>
      </w:tc>
      <w:tc>
        <w:tcPr>
          <w:tcW w:w="4535" w:type="dxa"/>
          <w:vAlign w:val="center"/>
        </w:tcPr>
        <w:p w14:paraId="3ECAEA3A" w14:textId="77777777" w:rsidR="00FE11A7" w:rsidRPr="00762525" w:rsidRDefault="00FE11A7" w:rsidP="00FE11A7">
          <w:pPr>
            <w:pStyle w:val="Header"/>
            <w:pBdr>
              <w:bottom w:val="none" w:sz="0" w:space="0" w:color="auto"/>
            </w:pBdr>
            <w:rPr>
              <w:rFonts w:eastAsia="DengXian"/>
              <w:b/>
              <w:bCs/>
            </w:rPr>
          </w:pPr>
        </w:p>
      </w:tc>
      <w:tc>
        <w:tcPr>
          <w:tcW w:w="2273" w:type="dxa"/>
          <w:vAlign w:val="center"/>
        </w:tcPr>
        <w:p w14:paraId="09888858" w14:textId="77777777" w:rsidR="00FE11A7" w:rsidRPr="00762525" w:rsidRDefault="00083AA0" w:rsidP="00FE11A7">
          <w:pPr>
            <w:pStyle w:val="Header"/>
            <w:pBdr>
              <w:bottom w:val="none" w:sz="0" w:space="0" w:color="auto"/>
            </w:pBdr>
            <w:jc w:val="right"/>
            <w:rPr>
              <w:rFonts w:eastAsia="DengXian"/>
              <w:b/>
              <w:bCs/>
            </w:rPr>
          </w:pPr>
          <w:r w:rsidRPr="00243346">
            <w:rPr>
              <w:rFonts w:eastAsia="DengXian"/>
              <w:b/>
              <w:bCs/>
              <w:noProof/>
            </w:rPr>
            <w:drawing>
              <wp:inline distT="0" distB="0" distL="0" distR="0" wp14:anchorId="15FC2FE6" wp14:editId="06C641C8">
                <wp:extent cx="541020" cy="35433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4330"/>
                        </a:xfrm>
                        <a:prstGeom prst="rect">
                          <a:avLst/>
                        </a:prstGeom>
                        <a:noFill/>
                        <a:ln>
                          <a:noFill/>
                        </a:ln>
                      </pic:spPr>
                    </pic:pic>
                  </a:graphicData>
                </a:graphic>
              </wp:inline>
            </w:drawing>
          </w:r>
        </w:p>
      </w:tc>
    </w:tr>
  </w:tbl>
  <w:p w14:paraId="0A22F97D"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F1829312"/>
    <w:lvl w:ilvl="0" w:tplc="F418E5F6">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A74F628"/>
    <w:lvl w:ilvl="0" w:tplc="E8FA739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AF863CEA"/>
    <w:lvl w:ilvl="0" w:tplc="8D5C8AC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A66122"/>
    <w:multiLevelType w:val="hybridMultilevel"/>
    <w:tmpl w:val="FD986F3E"/>
    <w:lvl w:ilvl="0" w:tplc="FDA65CD0">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2172AF"/>
    <w:multiLevelType w:val="hybridMultilevel"/>
    <w:tmpl w:val="17BCEA46"/>
    <w:lvl w:ilvl="0" w:tplc="AB2649D0">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FCCA6306"/>
    <w:lvl w:ilvl="0" w:tplc="4A34242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B777DBA"/>
    <w:multiLevelType w:val="hybridMultilevel"/>
    <w:tmpl w:val="687AA282"/>
    <w:lvl w:ilvl="0" w:tplc="19EE473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310346">
    <w:abstractNumId w:val="5"/>
  </w:num>
  <w:num w:numId="2" w16cid:durableId="1036851564">
    <w:abstractNumId w:val="7"/>
  </w:num>
  <w:num w:numId="3" w16cid:durableId="1882478259">
    <w:abstractNumId w:val="4"/>
  </w:num>
  <w:num w:numId="4" w16cid:durableId="1246960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211765">
    <w:abstractNumId w:val="6"/>
  </w:num>
  <w:num w:numId="6" w16cid:durableId="656501134">
    <w:abstractNumId w:val="10"/>
  </w:num>
  <w:num w:numId="7" w16cid:durableId="810680964">
    <w:abstractNumId w:val="2"/>
  </w:num>
  <w:num w:numId="8" w16cid:durableId="851257561">
    <w:abstractNumId w:val="10"/>
  </w:num>
  <w:num w:numId="9" w16cid:durableId="929043293">
    <w:abstractNumId w:val="2"/>
  </w:num>
  <w:num w:numId="10" w16cid:durableId="84769301">
    <w:abstractNumId w:val="10"/>
  </w:num>
  <w:num w:numId="11" w16cid:durableId="1174536383">
    <w:abstractNumId w:val="2"/>
  </w:num>
  <w:num w:numId="12" w16cid:durableId="1608612702">
    <w:abstractNumId w:val="12"/>
  </w:num>
  <w:num w:numId="13" w16cid:durableId="677585569">
    <w:abstractNumId w:val="10"/>
  </w:num>
  <w:num w:numId="14" w16cid:durableId="745810739">
    <w:abstractNumId w:val="2"/>
  </w:num>
  <w:num w:numId="15" w16cid:durableId="114636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445925">
    <w:abstractNumId w:val="2"/>
  </w:num>
  <w:num w:numId="17" w16cid:durableId="10829903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326464">
    <w:abstractNumId w:val="1"/>
  </w:num>
  <w:num w:numId="19" w16cid:durableId="2018116103">
    <w:abstractNumId w:val="9"/>
  </w:num>
  <w:num w:numId="20" w16cid:durableId="2115706431">
    <w:abstractNumId w:val="1"/>
  </w:num>
  <w:num w:numId="21" w16cid:durableId="472674075">
    <w:abstractNumId w:val="10"/>
  </w:num>
  <w:num w:numId="22" w16cid:durableId="816190154">
    <w:abstractNumId w:val="2"/>
  </w:num>
  <w:num w:numId="23" w16cid:durableId="139273190">
    <w:abstractNumId w:val="1"/>
  </w:num>
  <w:num w:numId="24" w16cid:durableId="1555657484">
    <w:abstractNumId w:val="3"/>
  </w:num>
  <w:num w:numId="25" w16cid:durableId="1378165967">
    <w:abstractNumId w:val="11"/>
  </w:num>
  <w:num w:numId="26" w16cid:durableId="1667368007">
    <w:abstractNumId w:val="8"/>
  </w:num>
  <w:num w:numId="27" w16cid:durableId="2025158483">
    <w:abstractNumId w:val="10"/>
  </w:num>
  <w:num w:numId="28" w16cid:durableId="1841040301">
    <w:abstractNumId w:val="2"/>
  </w:num>
  <w:num w:numId="29" w16cid:durableId="817919687">
    <w:abstractNumId w:val="0"/>
  </w:num>
  <w:num w:numId="30" w16cid:durableId="196569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A0"/>
    <w:rsid w:val="000012F2"/>
    <w:rsid w:val="00005D6C"/>
    <w:rsid w:val="00015763"/>
    <w:rsid w:val="000210EA"/>
    <w:rsid w:val="00025E1B"/>
    <w:rsid w:val="000368A4"/>
    <w:rsid w:val="00036FB7"/>
    <w:rsid w:val="00044891"/>
    <w:rsid w:val="00045371"/>
    <w:rsid w:val="00051B8A"/>
    <w:rsid w:val="0005337B"/>
    <w:rsid w:val="00063B19"/>
    <w:rsid w:val="00066319"/>
    <w:rsid w:val="000765AD"/>
    <w:rsid w:val="00080C1D"/>
    <w:rsid w:val="000828A4"/>
    <w:rsid w:val="00083AA0"/>
    <w:rsid w:val="00092FE4"/>
    <w:rsid w:val="00097E91"/>
    <w:rsid w:val="000A1902"/>
    <w:rsid w:val="000A531A"/>
    <w:rsid w:val="000B658D"/>
    <w:rsid w:val="000C100E"/>
    <w:rsid w:val="000C436E"/>
    <w:rsid w:val="000C73A7"/>
    <w:rsid w:val="000D5A2B"/>
    <w:rsid w:val="000D65C6"/>
    <w:rsid w:val="000E2070"/>
    <w:rsid w:val="000E406D"/>
    <w:rsid w:val="000E79A3"/>
    <w:rsid w:val="000F138E"/>
    <w:rsid w:val="000F1758"/>
    <w:rsid w:val="000F4847"/>
    <w:rsid w:val="000F5B73"/>
    <w:rsid w:val="000F7453"/>
    <w:rsid w:val="00103C88"/>
    <w:rsid w:val="00112CE1"/>
    <w:rsid w:val="001170DC"/>
    <w:rsid w:val="00123936"/>
    <w:rsid w:val="00131358"/>
    <w:rsid w:val="00131CEC"/>
    <w:rsid w:val="00137AB8"/>
    <w:rsid w:val="00141821"/>
    <w:rsid w:val="00142540"/>
    <w:rsid w:val="001509AC"/>
    <w:rsid w:val="00151CDC"/>
    <w:rsid w:val="00151DBA"/>
    <w:rsid w:val="001533FE"/>
    <w:rsid w:val="0016553B"/>
    <w:rsid w:val="00166C5F"/>
    <w:rsid w:val="00177DD2"/>
    <w:rsid w:val="001A1B31"/>
    <w:rsid w:val="001A4F1B"/>
    <w:rsid w:val="001B4C93"/>
    <w:rsid w:val="001B5854"/>
    <w:rsid w:val="001B6875"/>
    <w:rsid w:val="001C470E"/>
    <w:rsid w:val="001C5FB1"/>
    <w:rsid w:val="001D07BE"/>
    <w:rsid w:val="001E2AEB"/>
    <w:rsid w:val="001E4047"/>
    <w:rsid w:val="001F62C1"/>
    <w:rsid w:val="00202D34"/>
    <w:rsid w:val="002136A6"/>
    <w:rsid w:val="00213838"/>
    <w:rsid w:val="00214A16"/>
    <w:rsid w:val="00226A72"/>
    <w:rsid w:val="00231EF3"/>
    <w:rsid w:val="00232EDB"/>
    <w:rsid w:val="00235727"/>
    <w:rsid w:val="00236957"/>
    <w:rsid w:val="00237992"/>
    <w:rsid w:val="00241E44"/>
    <w:rsid w:val="00243346"/>
    <w:rsid w:val="00244422"/>
    <w:rsid w:val="00260559"/>
    <w:rsid w:val="00287D71"/>
    <w:rsid w:val="00295161"/>
    <w:rsid w:val="002954D9"/>
    <w:rsid w:val="002A2B46"/>
    <w:rsid w:val="002A5F96"/>
    <w:rsid w:val="002B62FB"/>
    <w:rsid w:val="002C0E4C"/>
    <w:rsid w:val="002D1055"/>
    <w:rsid w:val="002D1B58"/>
    <w:rsid w:val="002D6280"/>
    <w:rsid w:val="002E012B"/>
    <w:rsid w:val="002E031A"/>
    <w:rsid w:val="002E2ABA"/>
    <w:rsid w:val="002E64FB"/>
    <w:rsid w:val="002F126F"/>
    <w:rsid w:val="00302133"/>
    <w:rsid w:val="0030449F"/>
    <w:rsid w:val="00310344"/>
    <w:rsid w:val="00313AAB"/>
    <w:rsid w:val="00315288"/>
    <w:rsid w:val="00326141"/>
    <w:rsid w:val="0033188F"/>
    <w:rsid w:val="00337C15"/>
    <w:rsid w:val="00340EED"/>
    <w:rsid w:val="00342799"/>
    <w:rsid w:val="003527DB"/>
    <w:rsid w:val="00361B93"/>
    <w:rsid w:val="00364200"/>
    <w:rsid w:val="003645F9"/>
    <w:rsid w:val="00372528"/>
    <w:rsid w:val="0037253D"/>
    <w:rsid w:val="003917CA"/>
    <w:rsid w:val="003A456B"/>
    <w:rsid w:val="003B0AB4"/>
    <w:rsid w:val="003B2F13"/>
    <w:rsid w:val="003B5D21"/>
    <w:rsid w:val="003C1171"/>
    <w:rsid w:val="003C1F71"/>
    <w:rsid w:val="003D2B79"/>
    <w:rsid w:val="003D6198"/>
    <w:rsid w:val="003D7AC4"/>
    <w:rsid w:val="003F52B8"/>
    <w:rsid w:val="00401D30"/>
    <w:rsid w:val="00402771"/>
    <w:rsid w:val="00402B40"/>
    <w:rsid w:val="004142BD"/>
    <w:rsid w:val="00420FE7"/>
    <w:rsid w:val="0042173B"/>
    <w:rsid w:val="00423E88"/>
    <w:rsid w:val="00425155"/>
    <w:rsid w:val="0042622F"/>
    <w:rsid w:val="00437414"/>
    <w:rsid w:val="0044185F"/>
    <w:rsid w:val="00451910"/>
    <w:rsid w:val="004520D2"/>
    <w:rsid w:val="00454A4A"/>
    <w:rsid w:val="00464526"/>
    <w:rsid w:val="00467560"/>
    <w:rsid w:val="00483DFA"/>
    <w:rsid w:val="00487414"/>
    <w:rsid w:val="00491EEF"/>
    <w:rsid w:val="004A5983"/>
    <w:rsid w:val="004B2BD7"/>
    <w:rsid w:val="004B5649"/>
    <w:rsid w:val="004B5C98"/>
    <w:rsid w:val="004B63E6"/>
    <w:rsid w:val="004C32BF"/>
    <w:rsid w:val="004D349E"/>
    <w:rsid w:val="004D4D9F"/>
    <w:rsid w:val="004D5213"/>
    <w:rsid w:val="004E2807"/>
    <w:rsid w:val="004E7DF2"/>
    <w:rsid w:val="004F257D"/>
    <w:rsid w:val="004F264C"/>
    <w:rsid w:val="004F362F"/>
    <w:rsid w:val="004F635A"/>
    <w:rsid w:val="0051616A"/>
    <w:rsid w:val="00520649"/>
    <w:rsid w:val="005264BC"/>
    <w:rsid w:val="005316EB"/>
    <w:rsid w:val="0053461A"/>
    <w:rsid w:val="00544170"/>
    <w:rsid w:val="00544265"/>
    <w:rsid w:val="00545B32"/>
    <w:rsid w:val="00550473"/>
    <w:rsid w:val="005632C4"/>
    <w:rsid w:val="00570824"/>
    <w:rsid w:val="00570F00"/>
    <w:rsid w:val="00576344"/>
    <w:rsid w:val="00584C50"/>
    <w:rsid w:val="00586653"/>
    <w:rsid w:val="005915C7"/>
    <w:rsid w:val="005B22A9"/>
    <w:rsid w:val="005B4197"/>
    <w:rsid w:val="005C1668"/>
    <w:rsid w:val="005C23FA"/>
    <w:rsid w:val="005C27D8"/>
    <w:rsid w:val="005E77D6"/>
    <w:rsid w:val="005F3FA6"/>
    <w:rsid w:val="005F7010"/>
    <w:rsid w:val="005F766B"/>
    <w:rsid w:val="00604611"/>
    <w:rsid w:val="006055B2"/>
    <w:rsid w:val="00605BAA"/>
    <w:rsid w:val="0061526F"/>
    <w:rsid w:val="00617065"/>
    <w:rsid w:val="0061774F"/>
    <w:rsid w:val="00617C95"/>
    <w:rsid w:val="00624B59"/>
    <w:rsid w:val="00635422"/>
    <w:rsid w:val="00640A9C"/>
    <w:rsid w:val="00647A3E"/>
    <w:rsid w:val="00663E30"/>
    <w:rsid w:val="00666642"/>
    <w:rsid w:val="0066732E"/>
    <w:rsid w:val="00685407"/>
    <w:rsid w:val="006915A4"/>
    <w:rsid w:val="00691D01"/>
    <w:rsid w:val="00692393"/>
    <w:rsid w:val="006979DB"/>
    <w:rsid w:val="006B0B50"/>
    <w:rsid w:val="006B13E4"/>
    <w:rsid w:val="006B3B82"/>
    <w:rsid w:val="006C2378"/>
    <w:rsid w:val="006D1B2E"/>
    <w:rsid w:val="006D1BD0"/>
    <w:rsid w:val="006D6EC6"/>
    <w:rsid w:val="006D7A97"/>
    <w:rsid w:val="006E0BCC"/>
    <w:rsid w:val="006E162C"/>
    <w:rsid w:val="006F6D13"/>
    <w:rsid w:val="006F7F4B"/>
    <w:rsid w:val="007129DB"/>
    <w:rsid w:val="0071438D"/>
    <w:rsid w:val="0071491B"/>
    <w:rsid w:val="00720A0F"/>
    <w:rsid w:val="00723436"/>
    <w:rsid w:val="007356FF"/>
    <w:rsid w:val="007409C2"/>
    <w:rsid w:val="00744AED"/>
    <w:rsid w:val="007476A3"/>
    <w:rsid w:val="007504DF"/>
    <w:rsid w:val="00752591"/>
    <w:rsid w:val="00755021"/>
    <w:rsid w:val="00772A71"/>
    <w:rsid w:val="007745C2"/>
    <w:rsid w:val="0077486D"/>
    <w:rsid w:val="007807AC"/>
    <w:rsid w:val="0078191D"/>
    <w:rsid w:val="007831CA"/>
    <w:rsid w:val="0079768D"/>
    <w:rsid w:val="007A7E02"/>
    <w:rsid w:val="007B084C"/>
    <w:rsid w:val="007B61BB"/>
    <w:rsid w:val="007C0A63"/>
    <w:rsid w:val="007C67E8"/>
    <w:rsid w:val="007D0675"/>
    <w:rsid w:val="007E082D"/>
    <w:rsid w:val="007F04E3"/>
    <w:rsid w:val="007F0B7A"/>
    <w:rsid w:val="00802A29"/>
    <w:rsid w:val="008151BF"/>
    <w:rsid w:val="00815523"/>
    <w:rsid w:val="008169C6"/>
    <w:rsid w:val="00817180"/>
    <w:rsid w:val="008267AD"/>
    <w:rsid w:val="00831D9C"/>
    <w:rsid w:val="00837DBE"/>
    <w:rsid w:val="00845164"/>
    <w:rsid w:val="00850437"/>
    <w:rsid w:val="00852555"/>
    <w:rsid w:val="00865AC6"/>
    <w:rsid w:val="00866CC9"/>
    <w:rsid w:val="00881961"/>
    <w:rsid w:val="00881A6D"/>
    <w:rsid w:val="008827EC"/>
    <w:rsid w:val="00883C53"/>
    <w:rsid w:val="008903A2"/>
    <w:rsid w:val="008966F2"/>
    <w:rsid w:val="008A5188"/>
    <w:rsid w:val="008B4373"/>
    <w:rsid w:val="008B63B7"/>
    <w:rsid w:val="008C00A3"/>
    <w:rsid w:val="008C4F1D"/>
    <w:rsid w:val="008D336B"/>
    <w:rsid w:val="008D6363"/>
    <w:rsid w:val="008E06E3"/>
    <w:rsid w:val="008E1A94"/>
    <w:rsid w:val="008E34FF"/>
    <w:rsid w:val="008F6039"/>
    <w:rsid w:val="009115BC"/>
    <w:rsid w:val="00920985"/>
    <w:rsid w:val="009220C8"/>
    <w:rsid w:val="00923B14"/>
    <w:rsid w:val="009323F1"/>
    <w:rsid w:val="00933998"/>
    <w:rsid w:val="00954B7C"/>
    <w:rsid w:val="00982C63"/>
    <w:rsid w:val="00986B25"/>
    <w:rsid w:val="009926FC"/>
    <w:rsid w:val="009C03A4"/>
    <w:rsid w:val="009C2BBE"/>
    <w:rsid w:val="009D0922"/>
    <w:rsid w:val="009D12D8"/>
    <w:rsid w:val="009D175B"/>
    <w:rsid w:val="009D3550"/>
    <w:rsid w:val="009E084B"/>
    <w:rsid w:val="009E10F3"/>
    <w:rsid w:val="009F6ADD"/>
    <w:rsid w:val="009F70E6"/>
    <w:rsid w:val="00A101E1"/>
    <w:rsid w:val="00A10E28"/>
    <w:rsid w:val="00A273D6"/>
    <w:rsid w:val="00A3125E"/>
    <w:rsid w:val="00A33384"/>
    <w:rsid w:val="00A33497"/>
    <w:rsid w:val="00A34F9D"/>
    <w:rsid w:val="00A376D5"/>
    <w:rsid w:val="00A57CD3"/>
    <w:rsid w:val="00A60721"/>
    <w:rsid w:val="00A613D5"/>
    <w:rsid w:val="00A71348"/>
    <w:rsid w:val="00A7390A"/>
    <w:rsid w:val="00A854F6"/>
    <w:rsid w:val="00A92055"/>
    <w:rsid w:val="00AA0C73"/>
    <w:rsid w:val="00AA38BE"/>
    <w:rsid w:val="00AB17DB"/>
    <w:rsid w:val="00AC53F4"/>
    <w:rsid w:val="00AE5FDC"/>
    <w:rsid w:val="00AF0422"/>
    <w:rsid w:val="00AF2EA0"/>
    <w:rsid w:val="00AF4DAD"/>
    <w:rsid w:val="00B056EB"/>
    <w:rsid w:val="00B21D88"/>
    <w:rsid w:val="00B325D7"/>
    <w:rsid w:val="00B371D0"/>
    <w:rsid w:val="00B43A65"/>
    <w:rsid w:val="00B51ACA"/>
    <w:rsid w:val="00B52665"/>
    <w:rsid w:val="00B53D3C"/>
    <w:rsid w:val="00B610E1"/>
    <w:rsid w:val="00B62415"/>
    <w:rsid w:val="00B72491"/>
    <w:rsid w:val="00B771B3"/>
    <w:rsid w:val="00B94E07"/>
    <w:rsid w:val="00B96AFE"/>
    <w:rsid w:val="00BA5FBA"/>
    <w:rsid w:val="00BA7E5C"/>
    <w:rsid w:val="00BB34E8"/>
    <w:rsid w:val="00BB626A"/>
    <w:rsid w:val="00BD2410"/>
    <w:rsid w:val="00BE6385"/>
    <w:rsid w:val="00BE6B2C"/>
    <w:rsid w:val="00BE6EF3"/>
    <w:rsid w:val="00BF2B96"/>
    <w:rsid w:val="00BF56CA"/>
    <w:rsid w:val="00C0018E"/>
    <w:rsid w:val="00C35943"/>
    <w:rsid w:val="00C433E4"/>
    <w:rsid w:val="00C53DE6"/>
    <w:rsid w:val="00C8158E"/>
    <w:rsid w:val="00C86473"/>
    <w:rsid w:val="00C87637"/>
    <w:rsid w:val="00C95C8A"/>
    <w:rsid w:val="00CB6B09"/>
    <w:rsid w:val="00CD0244"/>
    <w:rsid w:val="00CD2724"/>
    <w:rsid w:val="00CD4674"/>
    <w:rsid w:val="00CD5793"/>
    <w:rsid w:val="00CD5F34"/>
    <w:rsid w:val="00CE74F6"/>
    <w:rsid w:val="00CF08B6"/>
    <w:rsid w:val="00CF0AF6"/>
    <w:rsid w:val="00CF2C8E"/>
    <w:rsid w:val="00CF5BBD"/>
    <w:rsid w:val="00CF6D83"/>
    <w:rsid w:val="00D05A90"/>
    <w:rsid w:val="00D10D46"/>
    <w:rsid w:val="00D13D26"/>
    <w:rsid w:val="00D21971"/>
    <w:rsid w:val="00D23071"/>
    <w:rsid w:val="00D23271"/>
    <w:rsid w:val="00D236E4"/>
    <w:rsid w:val="00D24077"/>
    <w:rsid w:val="00D2505A"/>
    <w:rsid w:val="00D25A36"/>
    <w:rsid w:val="00D25BD1"/>
    <w:rsid w:val="00D30D71"/>
    <w:rsid w:val="00D459CC"/>
    <w:rsid w:val="00D50EC4"/>
    <w:rsid w:val="00D54B8F"/>
    <w:rsid w:val="00D55618"/>
    <w:rsid w:val="00D6434F"/>
    <w:rsid w:val="00D7517C"/>
    <w:rsid w:val="00D835B9"/>
    <w:rsid w:val="00D83D06"/>
    <w:rsid w:val="00D93C75"/>
    <w:rsid w:val="00DA4505"/>
    <w:rsid w:val="00DC68F9"/>
    <w:rsid w:val="00DD0DB0"/>
    <w:rsid w:val="00DD3D51"/>
    <w:rsid w:val="00DE40BC"/>
    <w:rsid w:val="00DE4B9D"/>
    <w:rsid w:val="00DF5057"/>
    <w:rsid w:val="00DF6F6D"/>
    <w:rsid w:val="00E11CAA"/>
    <w:rsid w:val="00E223EC"/>
    <w:rsid w:val="00E302D1"/>
    <w:rsid w:val="00E55545"/>
    <w:rsid w:val="00E61D1A"/>
    <w:rsid w:val="00E66B10"/>
    <w:rsid w:val="00E74E9F"/>
    <w:rsid w:val="00E80E1F"/>
    <w:rsid w:val="00E817B4"/>
    <w:rsid w:val="00E83CCC"/>
    <w:rsid w:val="00E9271D"/>
    <w:rsid w:val="00E960CB"/>
    <w:rsid w:val="00E97D90"/>
    <w:rsid w:val="00EC1E94"/>
    <w:rsid w:val="00EC41F7"/>
    <w:rsid w:val="00EC5EEE"/>
    <w:rsid w:val="00ED4238"/>
    <w:rsid w:val="00ED5DB0"/>
    <w:rsid w:val="00EF03D6"/>
    <w:rsid w:val="00EF5005"/>
    <w:rsid w:val="00F020B5"/>
    <w:rsid w:val="00F02F97"/>
    <w:rsid w:val="00F04AB5"/>
    <w:rsid w:val="00F2121E"/>
    <w:rsid w:val="00F33616"/>
    <w:rsid w:val="00F34FEE"/>
    <w:rsid w:val="00F360DC"/>
    <w:rsid w:val="00F3642E"/>
    <w:rsid w:val="00F528E4"/>
    <w:rsid w:val="00F54B92"/>
    <w:rsid w:val="00F644C5"/>
    <w:rsid w:val="00F70F4B"/>
    <w:rsid w:val="00F7507D"/>
    <w:rsid w:val="00F81B62"/>
    <w:rsid w:val="00F849D3"/>
    <w:rsid w:val="00F86D5E"/>
    <w:rsid w:val="00F91C4F"/>
    <w:rsid w:val="00FC31A5"/>
    <w:rsid w:val="00FD03AB"/>
    <w:rsid w:val="00FD3E7A"/>
    <w:rsid w:val="00FE11A7"/>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DCBFC"/>
  <w15:chartTrackingRefBased/>
  <w15:docId w15:val="{93774968-2BE8-4880-A665-F8C47AF2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E207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E207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E207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E207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E207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E207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E207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0E2070"/>
    <w:pPr>
      <w:ind w:firstLine="0"/>
    </w:pPr>
  </w:style>
  <w:style w:type="paragraph" w:customStyle="1" w:styleId="MDPI31text">
    <w:name w:val="MDPI_3.1_tex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E207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E207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E2070"/>
    <w:pPr>
      <w:numPr>
        <w:numId w:val="27"/>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E2070"/>
    <w:pPr>
      <w:numPr>
        <w:numId w:val="28"/>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E207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E207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E207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E207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E207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E207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E207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E207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E207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E207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E207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E207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CD0244"/>
    <w:pPr>
      <w:numPr>
        <w:numId w:val="30"/>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0E2070"/>
    <w:pPr>
      <w:adjustRightInd w:val="0"/>
      <w:snapToGrid w:val="0"/>
      <w:spacing w:line="280" w:lineRule="atLeast"/>
      <w:jc w:val="center"/>
    </w:pPr>
    <w:rPr>
      <w:rFonts w:ascii="Palatino Linotype" w:eastAsiaTheme="minorHAnsi" w:hAnsi="Palatino Linotype"/>
      <w:color w:val="000000"/>
      <w:lang w:bidi="ar-SA"/>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E2070"/>
    <w:pPr>
      <w:adjustRightInd w:val="0"/>
      <w:snapToGrid w:val="0"/>
      <w:spacing w:after="120" w:line="240" w:lineRule="atLeast"/>
      <w:ind w:right="113"/>
    </w:pPr>
    <w:rPr>
      <w:rFonts w:ascii="Palatino Linotype" w:hAnsi="Palatino Linotype" w:cs="Cordia New"/>
      <w:sz w:val="14"/>
      <w:szCs w:val="22"/>
      <w:lang w:bidi="ar-SA"/>
      <w14:ligatures w14:val="standardContextual"/>
    </w:rPr>
  </w:style>
  <w:style w:type="paragraph" w:customStyle="1" w:styleId="MDPI62backmatter">
    <w:name w:val="MDPI_6.2_back_matter"/>
    <w:qFormat/>
    <w:rsid w:val="000E2070"/>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E2070"/>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E207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E207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E2070"/>
    <w:pPr>
      <w:adjustRightInd w:val="0"/>
      <w:snapToGrid w:val="0"/>
      <w:spacing w:before="240" w:after="120" w:line="280" w:lineRule="atLeast"/>
      <w:jc w:val="center"/>
    </w:pPr>
    <w:rPr>
      <w:rFonts w:ascii="Palatino Linotype" w:eastAsiaTheme="minorHAnsi" w:hAnsi="Palatino Linotype"/>
      <w:noProof/>
      <w:color w:val="000000"/>
      <w:sz w:val="18"/>
      <w:lang w:bidi="en-US"/>
      <w14:ligatures w14:val="standardContextual"/>
    </w:rPr>
  </w:style>
  <w:style w:type="paragraph" w:customStyle="1" w:styleId="MDPI72copyright">
    <w:name w:val="MDPI_7.2_copyright"/>
    <w:qFormat/>
    <w:rsid w:val="000E207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bidi="ar-SA"/>
      <w14:ligatures w14:val="standardContextual"/>
    </w:rPr>
  </w:style>
  <w:style w:type="table" w:customStyle="1" w:styleId="MDPItable">
    <w:name w:val="MDPI_table"/>
    <w:basedOn w:val="TableNormal"/>
    <w:uiPriority w:val="99"/>
    <w:rsid w:val="000E2070"/>
    <w:rPr>
      <w:rFonts w:ascii="Palatino Linotype" w:hAnsi="Palatino Linotype"/>
      <w:color w:val="000000" w:themeColor="text1"/>
      <w:lang w:val="en-CA" w:bidi="ar-SA"/>
      <w14:ligatures w14:val="standardContextual"/>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bidi="ar-SA"/>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0E2070"/>
    <w:pPr>
      <w:numPr>
        <w:numId w:val="29"/>
      </w:numPr>
      <w:adjustRightInd w:val="0"/>
      <w:snapToGrid w:val="0"/>
      <w:spacing w:line="280" w:lineRule="atLeast"/>
      <w:jc w:val="both"/>
    </w:pPr>
    <w:rPr>
      <w:rFonts w:ascii="Palatino Linotype" w:eastAsiaTheme="minorHAnsi" w:hAnsi="Palatino Linotype"/>
      <w:noProof/>
      <w:color w:val="000000"/>
      <w:sz w:val="18"/>
      <w:lang w:bidi="ar-SA"/>
      <w14:ligatures w14:val="standardContextual"/>
    </w:rPr>
  </w:style>
  <w:style w:type="character" w:styleId="Strong">
    <w:name w:val="Strong"/>
    <w:uiPriority w:val="22"/>
    <w:qFormat/>
    <w:rsid w:val="00B43A65"/>
    <w:rPr>
      <w:b/>
      <w:bCs/>
    </w:rPr>
  </w:style>
  <w:style w:type="paragraph" w:customStyle="1" w:styleId="MDPIfooterfirstpage">
    <w:name w:val="MDPI_footer_firstpage"/>
    <w:qFormat/>
    <w:rsid w:val="009C03A4"/>
    <w:pPr>
      <w:tabs>
        <w:tab w:val="right" w:pos="8845"/>
      </w:tabs>
      <w:spacing w:line="160" w:lineRule="exact"/>
    </w:pPr>
    <w:rPr>
      <w:rFonts w:ascii="Palatino Linotype" w:eastAsia="Times New Roman" w:hAnsi="Palatino Linotype"/>
      <w:color w:val="000000"/>
      <w:kern w:val="2"/>
      <w:sz w:val="16"/>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2" Type="http://schemas.openxmlformats.org/officeDocument/2006/relationships/fontTable" Target="fontTable.xml"/><Relationship Id="rId24"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ij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BA133E5C658E428BCF2AB53DCBA6D2" ma:contentTypeVersion="10" ma:contentTypeDescription="Create a new document." ma:contentTypeScope="" ma:versionID="4594f68cc91095fe8447c5c74d06e01d">
  <xsd:schema xmlns:xsd="http://www.w3.org/2001/XMLSchema" xmlns:xs="http://www.w3.org/2001/XMLSchema" xmlns:p="http://schemas.microsoft.com/office/2006/metadata/properties" xmlns:ns3="8c702732-9904-44cc-a158-695fcfc6984d" targetNamespace="http://schemas.microsoft.com/office/2006/metadata/properties" ma:root="true" ma:fieldsID="f8330d1003b4d78daca5b127fac89721" ns3:_="">
    <xsd:import namespace="8c702732-9904-44cc-a158-695fcfc698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02732-9904-44cc-a158-695fcfc698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923F3-5725-4A67-9AC5-0FC4C5326EE5}">
  <ds:schemaRefs>
    <ds:schemaRef ds:uri="http://schemas.microsoft.com/sharepoint/v3/contenttype/forms"/>
  </ds:schemaRefs>
</ds:datastoreItem>
</file>

<file path=customXml/itemProps2.xml><?xml version="1.0" encoding="utf-8"?>
<ds:datastoreItem xmlns:ds="http://schemas.openxmlformats.org/officeDocument/2006/customXml" ds:itemID="{F958DD60-0BEB-4948-BE16-90CAA7AA0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02732-9904-44cc-a158-695fcfc69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0BFA8-B021-45EE-AA20-D12F8385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ijms-template</Template>
  <TotalTime>26</TotalTime>
  <Pages>24</Pages>
  <Words>35177</Words>
  <Characters>200509</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235216</CharactersWithSpaces>
  <SharedDoc>false</SharedDoc>
  <HLinks>
    <vt:vector size="24" baseType="variant">
      <vt:variant>
        <vt:i4>3997750</vt:i4>
      </vt:variant>
      <vt:variant>
        <vt:i4>6</vt:i4>
      </vt:variant>
      <vt:variant>
        <vt:i4>0</vt:i4>
      </vt:variant>
      <vt:variant>
        <vt:i4>5</vt:i4>
      </vt:variant>
      <vt:variant>
        <vt:lpwstr>https://img.mdpi.org/data/contributor-role-instruction.pdf</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1704035</vt:i4>
      </vt:variant>
      <vt:variant>
        <vt:i4>0</vt:i4>
      </vt:variant>
      <vt:variant>
        <vt:i4>0</vt:i4>
      </vt:variant>
      <vt:variant>
        <vt:i4>5</vt:i4>
      </vt:variant>
      <vt:variant>
        <vt:lpwstr>https://crossmark.crossref.org/dialog?doi=10.3390/ma18194475&amp;domain=pdf&amp;date_stamp=2025-10-17</vt:lpwstr>
      </vt:variant>
      <vt:variant>
        <vt:lpwstr/>
      </vt:variant>
      <vt:variant>
        <vt:i4>1704035</vt:i4>
      </vt:variant>
      <vt:variant>
        <vt:i4>2156</vt:i4>
      </vt:variant>
      <vt:variant>
        <vt:i4>1025</vt:i4>
      </vt:variant>
      <vt:variant>
        <vt:i4>4</vt:i4>
      </vt:variant>
      <vt:variant>
        <vt:lpwstr>https://crossmark.crossref.org/dialog?doi=10.3390/ma18194475&amp;domain=pdf&amp;date_stamp=2025-10-17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Doctor Mustafa</cp:lastModifiedBy>
  <cp:revision>14</cp:revision>
  <dcterms:created xsi:type="dcterms:W3CDTF">2026-08-28T21:17:00Z</dcterms:created>
  <dcterms:modified xsi:type="dcterms:W3CDTF">2026-08-28T22:51:00Z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y fmtid="{D5CDD505-2E9C-101B-9397-08002B2CF9AE}" pid="3" name="ContentTypeId">
    <vt:lpwstr>0x0101009ABA133E5C658E428BCF2AB53DCBA6D2</vt:lpwstr>
  </property>
  <property fmtid="{D5CDD505-2E9C-101B-9397-08002B2CF9AE}" pid="4" name="_activity">
    <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(author-date/Harvard)</vt:lpwstr>
  </property>
  <property fmtid="{D5CDD505-2E9C-101B-9397-08002B2CF9AE}" pid="15" name="Mendeley Recent Style Id 5_1">
    <vt:lpwstr>http://www.zotero.org/styles/ieee</vt:lpwstr>
  </property>
  <property fmtid="{D5CDD505-2E9C-101B-9397-08002B2CF9AE}" pid="16" name="Mendeley Recent Style Name 5_1">
    <vt:lpwstr>IEEE Reference Guide version 11.29.2023</vt:lpwstr>
  </property>
  <property fmtid="{D5CDD505-2E9C-101B-9397-08002B2CF9AE}" pid="17" name="Mendeley Recent Style Id 6_1">
    <vt:lpwstr>http://www.zotero.org/styles/international-journal-of-molecular-sciences</vt:lpwstr>
  </property>
  <property fmtid="{D5CDD505-2E9C-101B-9397-08002B2CF9AE}" pid="18" name="Mendeley Recent Style Name 6_1">
    <vt:lpwstr>International Journal of Molecular Sciences</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4a0945eb-dd88-3d87-b49a-dc93a11f2dd1</vt:lpwstr>
  </property>
  <property fmtid="{D5CDD505-2E9C-101B-9397-08002B2CF9AE}" pid="27" name="Mendeley Citation Style_1">
    <vt:lpwstr>http://www.zotero.org/styles/international-journal-of-molecular-sciences</vt:lpwstr>
  </property>
</Properties>
</file>