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EE95" w14:textId="77777777" w:rsidR="00083AA0" w:rsidRPr="006D6EC6" w:rsidRDefault="00083AA0" w:rsidP="00CD0244">
      <w:pPr>
        <w:pStyle w:val="MDPI11articletype"/>
        <w:rPr>
          <w:szCs w:val="20"/>
        </w:rPr>
      </w:pPr>
      <w:r w:rsidRPr="006D6EC6">
        <w:rPr>
          <w:szCs w:val="20"/>
        </w:rPr>
        <w:t>Article</w:t>
      </w:r>
    </w:p>
    <w:p w14:paraId="64078E63" w14:textId="77777777" w:rsidR="00083AA0" w:rsidRPr="006D6EC6" w:rsidRDefault="00083AA0" w:rsidP="00CD0244">
      <w:pPr>
        <w:pStyle w:val="MDPI12title"/>
        <w:rPr>
          <w:szCs w:val="36"/>
        </w:rPr>
      </w:pPr>
      <w:proofErr w:type="spellStart"/>
      <w:r w:rsidRPr="006D6EC6">
        <w:rPr>
          <w:b w:val="0"/>
        </w:rPr>
        <w:t>HBOCpred</w:t>
      </w:r>
      <w:proofErr w:type="spellEnd"/>
      <w:r w:rsidRPr="006D6EC6">
        <w:rPr>
          <w:b w:val="0"/>
        </w:rPr>
        <w:t>: a</w:t>
      </w:r>
      <w:r w:rsidR="00B51ACA" w:rsidRPr="006D6EC6">
        <w:rPr>
          <w:b w:val="0"/>
        </w:rPr>
        <w:t xml:space="preserve">n </w:t>
      </w:r>
      <w:r w:rsidRPr="006D6EC6">
        <w:rPr>
          <w:b w:val="0"/>
        </w:rPr>
        <w:t xml:space="preserve">ensemble framework for </w:t>
      </w:r>
      <w:proofErr w:type="spellStart"/>
      <w:r w:rsidRPr="006D6EC6">
        <w:rPr>
          <w:b w:val="0"/>
        </w:rPr>
        <w:t>prioritisation</w:t>
      </w:r>
      <w:proofErr w:type="spellEnd"/>
      <w:r w:rsidRPr="006D6EC6">
        <w:rPr>
          <w:b w:val="0"/>
        </w:rPr>
        <w:t xml:space="preserve"> of</w:t>
      </w:r>
      <w:r w:rsidR="00B51ACA" w:rsidRPr="006D6EC6">
        <w:rPr>
          <w:b w:val="0"/>
        </w:rPr>
        <w:t xml:space="preserve"> </w:t>
      </w:r>
      <w:r w:rsidRPr="006D6EC6">
        <w:rPr>
          <w:b w:val="0"/>
        </w:rPr>
        <w:t>germline missense variants in hereditary breast and ovarian cancer</w:t>
      </w:r>
    </w:p>
    <w:p w14:paraId="10EE5804" w14:textId="77777777" w:rsidR="00083AA0" w:rsidRPr="006D6EC6" w:rsidRDefault="00083AA0" w:rsidP="00CD0244">
      <w:pPr>
        <w:pStyle w:val="MDPI13authornames"/>
        <w:rPr>
          <w:snapToGrid w:val="0"/>
          <w:szCs w:val="20"/>
        </w:rPr>
      </w:pPr>
      <w:r w:rsidRPr="006D6EC6">
        <w:rPr>
          <w:snapToGrid w:val="0"/>
          <w:szCs w:val="20"/>
        </w:rPr>
        <w:t xml:space="preserve">Mustafa Tarık Alay </w:t>
      </w:r>
      <w:proofErr w:type="gramStart"/>
      <w:r w:rsidRPr="006D6EC6">
        <w:rPr>
          <w:snapToGrid w:val="0"/>
          <w:szCs w:val="20"/>
          <w:vertAlign w:val="superscript"/>
        </w:rPr>
        <w:t>1,</w:t>
      </w:r>
      <w:r w:rsidRPr="006D6EC6">
        <w:rPr>
          <w:snapToGrid w:val="0"/>
          <w:szCs w:val="20"/>
        </w:rPr>
        <w:t>*</w:t>
      </w:r>
      <w:proofErr w:type="gramEnd"/>
      <w:r w:rsidRPr="006D6EC6">
        <w:rPr>
          <w:snapToGrid w:val="0"/>
          <w:szCs w:val="20"/>
        </w:rPr>
        <w:t xml:space="preserve"> and Haktan </w:t>
      </w:r>
      <w:proofErr w:type="spellStart"/>
      <w:r w:rsidRPr="006D6EC6">
        <w:rPr>
          <w:snapToGrid w:val="0"/>
          <w:szCs w:val="20"/>
        </w:rPr>
        <w:t>Bağış</w:t>
      </w:r>
      <w:proofErr w:type="spellEnd"/>
      <w:r w:rsidRPr="006D6EC6">
        <w:rPr>
          <w:snapToGrid w:val="0"/>
          <w:szCs w:val="20"/>
        </w:rPr>
        <w:t xml:space="preserve"> Erdem </w:t>
      </w:r>
      <w:r w:rsidRPr="006D6EC6">
        <w:rPr>
          <w:snapToGrid w:val="0"/>
          <w:szCs w:val="20"/>
          <w:vertAlign w:val="superscript"/>
        </w:rPr>
        <w:t>1</w:t>
      </w:r>
    </w:p>
    <w:p w14:paraId="22B34215" w14:textId="77777777" w:rsidR="00083AA0" w:rsidRPr="006D6EC6" w:rsidRDefault="00083AA0" w:rsidP="00083AA0">
      <w:pPr>
        <w:pStyle w:val="MDPI16affiliation"/>
      </w:pPr>
      <w:r w:rsidRPr="006D6EC6">
        <w:rPr>
          <w:vertAlign w:val="superscript"/>
        </w:rPr>
        <w:t>1</w:t>
      </w:r>
      <w:r w:rsidRPr="006D6EC6">
        <w:tab/>
        <w:t>Department of Medical Genetics</w:t>
      </w:r>
      <w:r w:rsidRPr="006D6EC6">
        <w:rPr>
          <w:szCs w:val="22"/>
        </w:rPr>
        <w:t xml:space="preserve">, Ankara </w:t>
      </w:r>
      <w:proofErr w:type="spellStart"/>
      <w:r w:rsidRPr="006D6EC6">
        <w:rPr>
          <w:szCs w:val="22"/>
        </w:rPr>
        <w:t>Etlik</w:t>
      </w:r>
      <w:proofErr w:type="spellEnd"/>
      <w:r w:rsidRPr="006D6EC6">
        <w:rPr>
          <w:szCs w:val="22"/>
        </w:rPr>
        <w:t xml:space="preserve"> City Hospital, 06170 Ankara, Türkiye; mtarikalay@gmail.com (M.T.A.)</w:t>
      </w:r>
    </w:p>
    <w:p w14:paraId="51FAF50C" w14:textId="77777777" w:rsidR="00083AA0" w:rsidRPr="006D6EC6" w:rsidRDefault="00083AA0" w:rsidP="00083AA0">
      <w:pPr>
        <w:pStyle w:val="MDPI16affiliation"/>
      </w:pPr>
      <w:r w:rsidRPr="006D6EC6">
        <w:rPr>
          <w:vertAlign w:val="superscript"/>
        </w:rPr>
        <w:t>1</w:t>
      </w:r>
      <w:r w:rsidRPr="006D6EC6">
        <w:tab/>
      </w:r>
      <w:r w:rsidRPr="006D6EC6">
        <w:rPr>
          <w:szCs w:val="22"/>
        </w:rPr>
        <w:t xml:space="preserve">Department of Medical Genetics, Ankara </w:t>
      </w:r>
      <w:proofErr w:type="spellStart"/>
      <w:r w:rsidRPr="006D6EC6">
        <w:rPr>
          <w:szCs w:val="22"/>
        </w:rPr>
        <w:t>Etlik</w:t>
      </w:r>
      <w:proofErr w:type="spellEnd"/>
      <w:r w:rsidRPr="006D6EC6">
        <w:rPr>
          <w:szCs w:val="22"/>
        </w:rPr>
        <w:t xml:space="preserve"> City Hospital, 06170 Ankara, Türkiye; haktanbagis@gmail.com (H.B.E.)</w:t>
      </w:r>
    </w:p>
    <w:p w14:paraId="2397A9E6" w14:textId="77777777" w:rsidR="00083AA0" w:rsidRPr="006D6EC6" w:rsidRDefault="00083AA0" w:rsidP="00083AA0">
      <w:pPr>
        <w:pStyle w:val="MDPI16affiliation"/>
      </w:pPr>
      <w:r w:rsidRPr="006D6EC6">
        <w:rPr>
          <w:b/>
        </w:rPr>
        <w:t>*</w:t>
      </w:r>
      <w:r w:rsidRPr="006D6EC6">
        <w:tab/>
        <w:t>Correspondence: Mustafa Tarık Alay,</w:t>
      </w:r>
      <w:r w:rsidRPr="006D6EC6">
        <w:rPr>
          <w:szCs w:val="22"/>
        </w:rPr>
        <w:t xml:space="preserve"> Department of Medical Genetics, Ankara </w:t>
      </w:r>
      <w:proofErr w:type="spellStart"/>
      <w:r w:rsidRPr="006D6EC6">
        <w:rPr>
          <w:szCs w:val="22"/>
        </w:rPr>
        <w:t>Etlik</w:t>
      </w:r>
      <w:proofErr w:type="spellEnd"/>
      <w:r w:rsidRPr="006D6EC6">
        <w:rPr>
          <w:szCs w:val="22"/>
        </w:rPr>
        <w:t xml:space="preserve"> City Hospital, 06170 Ankara, Türkiye; </w:t>
      </w:r>
      <w:r w:rsidRPr="006D6EC6">
        <w:t xml:space="preserve">mtarikalay@gmail.com </w:t>
      </w:r>
    </w:p>
    <w:p w14:paraId="0C5D9C8C" w14:textId="77777777" w:rsidR="00083AA0" w:rsidRPr="006D6EC6" w:rsidRDefault="00083AA0" w:rsidP="00CD0244">
      <w:pPr>
        <w:pStyle w:val="MDPI18keywords"/>
        <w:spacing w:after="120"/>
        <w:jc w:val="left"/>
        <w:rPr>
          <w:b/>
          <w:szCs w:val="20"/>
          <w14:ligatures w14:val="standardContextual"/>
        </w:rPr>
      </w:pPr>
      <w:r w:rsidRPr="006D6EC6">
        <w:rPr>
          <w:b/>
          <w:szCs w:val="20"/>
          <w14:ligatures w14:val="standardContextual"/>
        </w:rPr>
        <w:t>Abstract</w:t>
      </w:r>
    </w:p>
    <w:p w14:paraId="7E4B5EFA" w14:textId="77777777" w:rsidR="00640A9C" w:rsidRPr="006D6EC6" w:rsidRDefault="00AB17DB" w:rsidP="00AB17DB">
      <w:pPr>
        <w:pStyle w:val="MDPI18keywords"/>
        <w:ind w:firstLine="452"/>
        <w:rPr>
          <w:snapToGrid/>
          <w14:ligatures w14:val="standardContextual"/>
        </w:rPr>
      </w:pPr>
      <w:r w:rsidRPr="006D6EC6">
        <w:t>Hereditary breast and ovarian cancer (HBOC) multigene testing yields many unresolved germline missense variants, while expert curation and functional validation remain limited. We developed HBOCpred as a research-use heterogeneous ensemble model that reports four calibrated learner outputs, the complete thresholded vote vector, a V0–V4 audit state and the continuous S_MAC ranking score without assigning ACMG/AMP status. Model development used 2,160 B/LB and LP/P anchors from a prespecified 17-gene panel. Fold-local preprocessing and consensus selection reduced 93 eligible predictors to 25, and family-constrained ranking selected SVM–RBF, L2 logistic regression, Extra Trees and histogram gradient boosting. Across five repeats of five-fold nested cross-validation, the secondary ≥3-of-4 binary endpoint achieved balanced accuracy 0.9527, sensitivity 0.9287 and specificity 0.9767; S_MAC yielded AUROC 0.9900, AUPRC 0.9903 and Brier score 0.0317. In the out-of-fold three-output audit, 2,049/2,160 anchors (94.86%) received a definite B/LB or LP/P output, 111/2,160 (5.14%) were retained as Uncertain and 1,998/2,049 (97.51%) definite outputs agreed with the source direction. Application to 43,679 unresolved records assigned 31,627 (72.41%) to Uncertain-low, 5,279 (12.09%) to Uncertain-mid and 6,773 (15.51%) to Uncertain-high. In the independent resource, 15/16 hospital LP/P variants received an LP/P output and one was Uncertain; none received B/LB. None of the 49 evaluable selected gnomAD benign proxies received an LP/P output. HBOCpred therefore separates three-output reporting for labelled records from prioritisation zones for unresolved variants while retaining the complete learner-level audit; prospective clinical validation remains necessary.</w:t>
      </w:r>
    </w:p>
    <w:p w14:paraId="2C879EE6" w14:textId="77777777" w:rsidR="00083AA0" w:rsidRPr="006D6EC6" w:rsidRDefault="00CD0244" w:rsidP="00CD0244">
      <w:pPr>
        <w:pStyle w:val="MDPI18keywords"/>
        <w:rPr>
          <w:szCs w:val="20"/>
          <w14:ligatures w14:val="standardContextual"/>
        </w:rPr>
      </w:pPr>
      <w:r w:rsidRPr="006D6EC6">
        <w:rPr>
          <w:b/>
          <w:szCs w:val="20"/>
          <w14:ligatures w14:val="standardContextual"/>
        </w:rPr>
        <w:t>Keywords:</w:t>
      </w:r>
      <w:r w:rsidR="00083AA0" w:rsidRPr="006D6EC6">
        <w:rPr>
          <w:b/>
          <w:szCs w:val="20"/>
          <w14:ligatures w14:val="standardContextual"/>
        </w:rPr>
        <w:t xml:space="preserve"> </w:t>
      </w:r>
      <w:r w:rsidR="00083AA0" w:rsidRPr="006D6EC6">
        <w:rPr>
          <w:szCs w:val="20"/>
          <w14:ligatures w14:val="standardContextual"/>
        </w:rPr>
        <w:t xml:space="preserve">hereditary breast and ovarian cancer; variant of uncertain significance; missense variant; machine learning; ensemble learning; variant </w:t>
      </w:r>
      <w:proofErr w:type="spellStart"/>
      <w:r w:rsidR="00083AA0" w:rsidRPr="006D6EC6">
        <w:rPr>
          <w:szCs w:val="20"/>
          <w14:ligatures w14:val="standardContextual"/>
        </w:rPr>
        <w:t>prioritisation</w:t>
      </w:r>
      <w:proofErr w:type="spellEnd"/>
    </w:p>
    <w:p w14:paraId="69E79D9E" w14:textId="77777777" w:rsidR="00083AA0" w:rsidRPr="006D6EC6" w:rsidRDefault="00083AA0" w:rsidP="00AB17DB">
      <w:pPr>
        <w:pStyle w:val="MDPI19line"/>
        <w:pBdr>
          <w:bottom w:val="single" w:sz="4" w:space="20" w:color="auto"/>
        </w:pBdr>
      </w:pPr>
    </w:p>
    <w:p w14:paraId="75969BD9" w14:textId="77777777" w:rsidR="00083AA0" w:rsidRPr="006D6EC6" w:rsidRDefault="00083AA0" w:rsidP="00CD0244">
      <w:pPr>
        <w:pStyle w:val="MDPI21heading1"/>
        <w:rPr>
          <w:szCs w:val="24"/>
        </w:rPr>
      </w:pPr>
      <w:r w:rsidRPr="006D6EC6">
        <w:rPr>
          <w:szCs w:val="24"/>
        </w:rPr>
        <w:t>1. Introduction</w:t>
      </w:r>
    </w:p>
    <w:p w14:paraId="2DE5D1CA" w14:textId="77777777" w:rsidR="00083AA0" w:rsidRPr="006D6EC6" w:rsidRDefault="00083AA0" w:rsidP="00CD0244">
      <w:pPr>
        <w:pStyle w:val="MDPI31text"/>
        <w:rPr>
          <w:szCs w:val="20"/>
        </w:rPr>
      </w:pPr>
      <w:r w:rsidRPr="006D6EC6">
        <w:rPr>
          <w:szCs w:val="20"/>
        </w:rPr>
        <w:t xml:space="preserve">Hereditary breast and ovarian cancer (HBOC) </w:t>
      </w:r>
      <w:proofErr w:type="gramStart"/>
      <w:r w:rsidRPr="006D6EC6">
        <w:rPr>
          <w:szCs w:val="20"/>
        </w:rPr>
        <w:t>is</w:t>
      </w:r>
      <w:proofErr w:type="gramEnd"/>
      <w:r w:rsidRPr="006D6EC6">
        <w:rPr>
          <w:szCs w:val="20"/>
        </w:rPr>
        <w:t xml:space="preserve"> an autosomal dominant cancer-predisposition syndrome primarily associated with an increased risk of breast cancer and </w:t>
      </w:r>
      <w:proofErr w:type="spellStart"/>
      <w:r w:rsidRPr="006D6EC6">
        <w:rPr>
          <w:szCs w:val="20"/>
        </w:rPr>
        <w:lastRenderedPageBreak/>
        <w:t>tubo</w:t>
      </w:r>
      <w:proofErr w:type="spellEnd"/>
      <w:r w:rsidRPr="006D6EC6">
        <w:rPr>
          <w:szCs w:val="20"/>
        </w:rPr>
        <w:t xml:space="preserve">-ovarian cancer. Inherited predisposition due to pathogenic germline variants in HBOC genes is estimated to account for 5–10% of breast cancers and 10–15% of ovarian cancers </w:t>
      </w:r>
      <w:r w:rsidRPr="006D6EC6">
        <w:rPr>
          <w:szCs w:val="20"/>
        </w:rPr>
        <w:fldChar w:fldCharType="begin" w:fldLock="1"/>
      </w:r>
      <w:r w:rsidR="0066732E" w:rsidRPr="006D6EC6">
        <w:rPr>
          <w:szCs w:val="20"/>
        </w:rPr>
        <w:instrText>ADDIN CSL_CITATION {"citationItems":[{"id":"ITEM-1","itemData":{"ISSN":"2792-0151","abstract":"Aim: This study aimed to determine the spectrum BRCA1/2 variants in patients with suspected hereditary breast cancer from Ordu Province.Materials and Methods: The medical records of patients evaluated at Ordu University between January 1, 2023, and September 1, 2025, were retrospectively reviewed. A total of 357 patients who underwent BRCA1/2 gene sequencing and MLPA analyses were included. All variants were classified according to ACMG guidelines. Findings were summarized descriptively.Results: Of the 357 individuals, 41 patients (11.5%) carried at least one BRCA1/2 variant classified as pathogenic (P), likely pathogenic (LP), or variant of uncertain significance (VUS). A total of 28 BRCA1 and 15 BRCA2 variants were identified. In BRCA1, pathogenic variants predominated (n=19), whereas BRCA2 showed a higher proportion of VUS (n=11). The most frequent alteration was the BRCA1 exon 18–19 deletion, detected in eight patients. Recurrent sequence-level variants included BRCA1:c.788dup (n=4), BRCA2:c.5975C&gt;T (n=3), BRCA1:c.1504_1508del (n=2), BRCA1:c.135-8A&gt;G (n=2), BRCA2:c.5120del (n=2), and BRCA2:c.7481G&gt;A (n=2). Variation-type analysis revealed that missense variants (n=18) were the most common, followed by frameshift variants (n=10) and large genomic deletions (n=9). Five patients (1.4%) harbored more than one variant simultaneously.Conclusion: This study represents the first comprehensive analysis of BRCA1/2 variant distribution in the Central Black Sea region of Türkiye and highlights a distinct mutational spectrum compared with previously published national data. The high frequency of the BRCA1 exon 18–19 deletion and the detection of region-specific recurrent variants emphasize the importance of incorporating MLPA and broad NGS panels into routine genetic evaluation. Given the dominance of VUS findings in BRCA2 and the presence of multiple variants in individual patients, regular reclassification and family-based cascade screening are essential. These results underscore the need for region-specific genomic databases to improve risk assessment, early diagnosis, and precision-guided management in hereditary breast cancer.","author":[{"dropping-particle":"","family":"Doğan","given":"Cagri","non-dropping-particle":"","parse-names":false,"suffix":""},{"dropping-particle":"","family":"Akosman","given":"Cengiz","non-dropping-particle":"","parse-names":false,"suffix":""},{"dropping-particle":"","family":"Sönmez","given":"Müge","non-dropping-particle":"","parse-names":false,"suffix":""}],"container-title":"The Atlantic Journal of Medical Science and Research (Online)","id":"ITEM-1","issue":"1","issued":{"date-parts":[["2026"]]},"page":"93-99","title":"Analysis of the results of the BRCA1 and BRCA2 genes in early-onset breast cancer patients from the Ordu province","type":"article-journal","volume":"6"},"uris":["http://www.mendeley.com/documents/?uuid=fc99b825-bc54-40b8-9a0a-cd4ab837c319","http://www.mendeley.com/documents/?uuid=ad16ac41-2a86-490e-81f1-c822f9a16b00"]},{"id":"ITEM-2","itemData":{"DOI":"10.1038/s41467-023-38925-4","ISSN":"2041-1723","abstract":"Identifying germline BRCA1/2 mutation carriers is vital for reducing their risk of breast and ovarian cancer. To derive a serum miRNA-based diagnostic test we used samples from 653 healthy women from six international cohorts, including 350 (53.6%) with BRCA1/2 mutations and 303 (46.4%) BRCA1/2 wild-type. All individuals were cancer-free before and at least 12 months after sampling. RNA-sequencing followed by differential expression analysis identified 19 miRNAs significantly associated with BRCA mutations, 10 of which were ultimately used for classification: hsa-miR-20b-5p, hsa-miR-19b-3p, hsa-let-7b-5p, hsa-miR-320b, hsa-miR-139-3p, hsa-miR-30d-5p, hsa-miR-17-5p, hsa-miR-182-5p, hsa-miR-421, hsa-miR-375-3p. The final logistic regression model achieved area under the receiver operating characteristic curve 0.89 (95% CI: 0.87–0.93), 93.88% sensitivity and 80.72% specificity in an independent validation cohort. Mutated gene, menopausal status or having preemptive oophorectomy did not affect classification performance. Circulating microRNAs may be used to identify BRCA1/2 mutations in patients of high risk of cancer, offering an opportunity to reduce screening costs.","author":[{"dropping-particle":"","family":"Elias","given":"Kevin","non-dropping-particle":"","parse-names":false,"suffix":""},{"dropping-particle":"","family":"Smyczynska","given":"Urszula","non-dropping-particle":"","parse-names":false,"suffix":""},{"dropping-particle":"","family":"Stawiski","given":"Konrad","non-dropping-particle":"","parse-names":false,"suffix":""},{"dropping-particle":"","family":"Nowicka","given":"Zuzanna","non-dropping-particle":"","parse-names":false,"suffix":""},{"dropping-particle":"","family":"Webber","given":"James","non-dropping-particle":"","parse-names":false,"suffix":""},{"dropping-particle":"","family":"Kaplan","given":"Jakub","non-dropping-particle":"","parse-names":false,"suffix":""},{"dropping-particle":"","family":"Landen","given":"Charles","non-dropping-particle":"","parse-names":false,"suffix":""},{"dropping-particle":"","family":"Lubinski","given":"Jan","non-dropping-particle":"","parse-names":false,"suffix":""},{"dropping-particle":"","family":"Mukhopadhyay","given":"Asima","non-dropping-particle":"","parse-names":false,"suffix":""},{"dropping-particle":"","family":"Chakraborty","given":"Dona","non-dropping-particle":"","parse-names":false,"suffix":""},{"dropping-particle":"","family":"Connolly","given":"Denise C","non-dropping-particle":"","parse-names":false,"suffix":""},{"dropping-particle":"","family":"Symecko","given":"Heather","non-dropping-particle":"","parse-names":false,"suffix":""},{"dropping-particle":"","family":"Domchek","given":"Susan M","non-dropping-particle":"","parse-names":false,"suffix":""},{"dropping-particle":"","family":"Garber","given":"Judy E","non-dropping-particle":"","parse-names":false,"suffix":""},{"dropping-particle":"","family":"Konstantinopoulos","given":"Panagiotis","non-dropping-particle":"","parse-names":false,"suffix":""},{"dropping-particle":"","family":"Fendler","given":"Wojciech","non-dropping-particle":"","parse-names":false,"suffix":""},{"dropping-particle":"","family":"Chowdhury","given":"Dipanjan","non-dropping-particle":"","parse-names":false,"suffix":""}],"container-title":"Nature Communications","id":"ITEM-2","issue":"1","issued":{"date-parts":[["2023"]]},"page":"3350","title":"Identification of BRCA1/2 mutation female carriers using circulating microRNA profiles","type":"article-journal","volume":"14"},"uris":["http://www.mendeley.com/documents/?uuid=c736278a-5313-4bbe-8478-72b57695348d"]}],"mendeley":{"formattedCitation":"[1,2]","plainTextFormattedCitation":"[1,2]","previouslyFormattedCitation":"[1,2]"},"properties":{"noteIndex":0},"schema":"https://github.com/citation-style-language/schema/raw/master/csl-citation.json"}</w:instrText>
      </w:r>
      <w:r w:rsidRPr="006D6EC6">
        <w:rPr>
          <w:szCs w:val="20"/>
        </w:rPr>
        <w:fldChar w:fldCharType="separate"/>
      </w:r>
      <w:r w:rsidR="00A92055" w:rsidRPr="006D6EC6">
        <w:rPr>
          <w:noProof/>
          <w:szCs w:val="20"/>
        </w:rPr>
        <w:t>[1,2]</w:t>
      </w:r>
      <w:r w:rsidRPr="006D6EC6">
        <w:rPr>
          <w:szCs w:val="20"/>
        </w:rPr>
        <w:fldChar w:fldCharType="end"/>
      </w:r>
      <w:r w:rsidRPr="006D6EC6">
        <w:rPr>
          <w:szCs w:val="20"/>
        </w:rPr>
        <w:t xml:space="preserve">. HBOC is a genetically heterogeneous disorder and the implicated gene influences penetrance, age at onset, </w:t>
      </w:r>
      <w:proofErr w:type="spellStart"/>
      <w:r w:rsidRPr="006D6EC6">
        <w:rPr>
          <w:szCs w:val="20"/>
        </w:rPr>
        <w:t>tumour</w:t>
      </w:r>
      <w:proofErr w:type="spellEnd"/>
      <w:r w:rsidRPr="006D6EC6">
        <w:rPr>
          <w:szCs w:val="20"/>
        </w:rPr>
        <w:t xml:space="preserve"> spectrum and clinical presentation.</w:t>
      </w:r>
    </w:p>
    <w:p w14:paraId="64ADF2E5" w14:textId="77777777" w:rsidR="00083AA0" w:rsidRPr="006D6EC6" w:rsidRDefault="00083AA0" w:rsidP="00CD0244">
      <w:pPr>
        <w:pStyle w:val="MDPI31text"/>
        <w:rPr>
          <w:szCs w:val="20"/>
        </w:rPr>
      </w:pPr>
      <w:r w:rsidRPr="006D6EC6">
        <w:rPr>
          <w:szCs w:val="20"/>
        </w:rPr>
        <w:t xml:space="preserve">Among the principal high-penetrance breast cancer susceptibility genes, </w:t>
      </w:r>
      <w:r w:rsidRPr="006D6EC6">
        <w:rPr>
          <w:i/>
          <w:iCs/>
          <w:szCs w:val="20"/>
        </w:rPr>
        <w:t>BRCA1</w:t>
      </w:r>
      <w:r w:rsidRPr="006D6EC6">
        <w:rPr>
          <w:szCs w:val="20"/>
        </w:rPr>
        <w:t xml:space="preserve"> and </w:t>
      </w:r>
      <w:r w:rsidRPr="006D6EC6">
        <w:rPr>
          <w:i/>
          <w:iCs/>
          <w:szCs w:val="20"/>
        </w:rPr>
        <w:t>BRCA2</w:t>
      </w:r>
      <w:r w:rsidRPr="006D6EC6">
        <w:rPr>
          <w:szCs w:val="20"/>
        </w:rPr>
        <w:t xml:space="preserve"> are the best </w:t>
      </w:r>
      <w:proofErr w:type="spellStart"/>
      <w:r w:rsidRPr="006D6EC6">
        <w:rPr>
          <w:szCs w:val="20"/>
        </w:rPr>
        <w:t>characterised</w:t>
      </w:r>
      <w:proofErr w:type="spellEnd"/>
      <w:r w:rsidRPr="006D6EC6">
        <w:rPr>
          <w:szCs w:val="20"/>
        </w:rPr>
        <w:t xml:space="preserve"> and remain the most common genetic causes of classical HBOC. Both genes encode central components of the homologous-recombination pathway involved in repairing DNA double-strand breaks. Germline pathogenic variants in both genes confer substantially increased risks of breast and </w:t>
      </w:r>
      <w:proofErr w:type="spellStart"/>
      <w:r w:rsidRPr="006D6EC6">
        <w:rPr>
          <w:szCs w:val="20"/>
        </w:rPr>
        <w:t>tubo</w:t>
      </w:r>
      <w:proofErr w:type="spellEnd"/>
      <w:r w:rsidRPr="006D6EC6">
        <w:rPr>
          <w:szCs w:val="20"/>
        </w:rPr>
        <w:t xml:space="preserve">-ovarian cancer. By 80 years of age, the cumulative breast cancer risk is estimated at approximately 72% for </w:t>
      </w:r>
      <w:r w:rsidRPr="006D6EC6">
        <w:rPr>
          <w:i/>
          <w:iCs/>
          <w:szCs w:val="20"/>
        </w:rPr>
        <w:t>BRCA1</w:t>
      </w:r>
      <w:r w:rsidRPr="006D6EC6">
        <w:rPr>
          <w:szCs w:val="20"/>
        </w:rPr>
        <w:t xml:space="preserve"> and 69% for </w:t>
      </w:r>
      <w:r w:rsidRPr="006D6EC6">
        <w:rPr>
          <w:i/>
          <w:iCs/>
          <w:szCs w:val="20"/>
        </w:rPr>
        <w:t>BRCA2</w:t>
      </w:r>
      <w:r w:rsidRPr="006D6EC6">
        <w:rPr>
          <w:szCs w:val="20"/>
        </w:rPr>
        <w:t xml:space="preserve"> carriers, whereas the corresponding ovarian cancer risks are approximately 44% and 17%, respectively </w:t>
      </w:r>
      <w:r w:rsidRPr="006D6EC6">
        <w:rPr>
          <w:szCs w:val="20"/>
        </w:rPr>
        <w:fldChar w:fldCharType="begin" w:fldLock="1"/>
      </w:r>
      <w:r w:rsidR="0066732E" w:rsidRPr="006D6EC6">
        <w:rPr>
          <w:szCs w:val="20"/>
        </w:rPr>
        <w:instrText>ADDIN CSL_CITATION {"citationItems":[{"id":"ITEM-1","itemData":{"DOI":"10.1001/jama.2017.7112","ISSN":"0098-7484","abstract":"The clinical management of BRCA1 and BRCA2 mutation carriers requires accurate, prospective cancer risk estimates.To estimate age-specific risks of breast, ovarian, and contralateral breast cancer for mutation carriers and to evaluate risk modification by family cancer history and mutation location.Prospective cohort study of 6036 BRCA1 and 3820 BRCA2 female carriers (5046 unaffected and 4810 with breast or ovarian cancer or both at baseline) recruited in 1997-2011 through the International BRCA1/2 Carrier Cohort Study, the Breast Cancer Family Registry and the Kathleen Cuningham Foundation Consortium for Research into Familial Breast Cancer, with ascertainment through family clinics (94%) and population-based studies (6%). The majority were from large national studies in the United Kingdom (EMBRACE), the Netherlands (HEBON), and France (GENEPSO). Follow-up ended December 2013; median follow-up was 5 years.BRCA1/2 mutations, family cancer history, and mutation location.Annual incidences, standardized incidence ratios, and cumulative risks of breast, ovarian, and contralateral breast cancer.Among 3886 women (median age, 38 years; interquartile range [IQR], 30-46 years) eligible for the breast cancer analysis, 5066 women (median age, 38 years; IQR, 31-47 years) eligible for the ovarian cancer analysis, and 2213 women (median age, 47 years; IQR, 40-55 years) eligible for the contralateral breast cancer analysis, 426 were diagnosed with breast cancer, 109 with ovarian cancer, and 245 with contralateral breast cancer during follow-up. The cumulative breast cancer risk to age 80 years was 72% (95% CI, 65%-79%) for BRCA1 and 69% (95% CI, 61%-77%) for BRCA2 carriers. Breast cancer incidences increased rapidly in early adulthood until ages 30 to 40 years for BRCA1 and until ages 40 to 50 years for BRCA2 carriers, then remained at a similar, constant incidence (20-30 per 1000 person-years) until age 80 years. The cumulative ovarian cancer risk to age 80 years was 44% (95% CI, 36%-53%) for BRCA1 and 17% (95% CI, 11%-25%) for BRCA2 carriers. For contralateral breast cancer, the cumulative risk 20 years after breast cancer diagnosis was 40% (95% CI, 35%-45%) for BRCA1 and 26% (95% CI, 20%-33%) for BRCA2 carriers (hazard ratio [HR] for comparing BRCA2 vs BRCA1, 0.62; 95% CI, 0.47-0.82; P=.001 for difference). Breast cancer risk increased with increasing number of first- and second-degree relatives diagnosed as having breast cancer for both BRCA1 (HR for ≥2 vs 0 affec…","author":[{"dropping-particle":"","family":"Kuchenbaecker","given":"Karoline B","non-dropping-particle":"","parse-names":false,"suffix":""},{"dropping-particle":"","family":"Hopper","given":"John L","non-dropping-particle":"","parse-names":false,"suffix":""},{"dropping-particle":"","family":"Barnes","given":"Daniel R","non-dropping-particle":"","parse-names":false,"suffix":""},{"dropping-particle":"","family":"Phillips","given":"Kelly-Anne","non-dropping-particle":"","parse-names":false,"suffix":""},{"dropping-particle":"","family":"Mooij","given":"Thea M","non-dropping-particle":"","parse-names":false,"suffix":""},{"dropping-particle":"","family":"Roos-Blom","given":"Marie-José","non-dropping-particle":"","parse-names":false,"suffix":""},{"dropping-particle":"","family":"Jervis","given":"Sarah","non-dropping-particle":"","parse-names":false,"suffix":""},{"dropping-particle":"","family":"Leeuwen","given":"Flora E","non-dropping-particle":"van","parse-names":false,"suffix":""},{"dropping-particle":"","family":"Milne","given":"Roger L","non-dropping-particle":"","parse-names":false,"suffix":""},{"dropping-particle":"","family":"Andrieu","given":"Nadine","non-dropping-particle":"","parse-names":false,"suffix":""},{"dropping-particle":"","family":"Goldgar","given":"David E","non-dropping-particle":"","parse-names":false,"suffix":""},{"dropping-particle":"","family":"Terry","given":"Mary Beth","non-dropping-particle":"","parse-names":false,"suffix":""},{"dropping-particle":"","family":"Rookus","given":"Matti A","non-dropping-particle":"","parse-names":false,"suffix":""},{"dropping-particle":"","family":"Easton","given":"Douglas F","non-dropping-particle":"","parse-names":false,"suffix":""},{"dropping-particle":"","family":"Antoniou","given":"Antonis C","non-dropping-particle":"","parse-names":false,"suffix":""},{"dropping-particle":"","family":"Consortium","given":"and the BRCA1 and BRCA2 Cohort","non-dropping-particle":"","parse-names":false,"suffix":""}],"container-title":"JAMA","id":"ITEM-1","issue":"23","issued":{"date-parts":[["2017","6","20"]]},"page":"2402-2416","title":"Risks of Breast, Ovarian, and Contralateral Breast Cancer for BRCA1 and BRCA2 Mutation Carriers","type":"article-journal","volume":"317"},"uris":["http://www.mendeley.com/documents/?uuid=0faffbe5-73ac-4ce5-880f-d803af0ba47e"]}],"mendeley":{"formattedCitation":"[3]","plainTextFormattedCitation":"[3]","previouslyFormattedCitation":"[3]"},"properties":{"noteIndex":0},"schema":"https://github.com/citation-style-language/schema/raw/master/csl-citation.json"}</w:instrText>
      </w:r>
      <w:r w:rsidRPr="006D6EC6">
        <w:rPr>
          <w:szCs w:val="20"/>
        </w:rPr>
        <w:fldChar w:fldCharType="separate"/>
      </w:r>
      <w:r w:rsidR="00A92055" w:rsidRPr="006D6EC6">
        <w:rPr>
          <w:noProof/>
          <w:szCs w:val="20"/>
        </w:rPr>
        <w:t>[3]</w:t>
      </w:r>
      <w:r w:rsidRPr="006D6EC6">
        <w:rPr>
          <w:szCs w:val="20"/>
        </w:rPr>
        <w:fldChar w:fldCharType="end"/>
      </w:r>
      <w:r w:rsidRPr="006D6EC6">
        <w:rPr>
          <w:szCs w:val="20"/>
        </w:rPr>
        <w:t>.</w:t>
      </w:r>
    </w:p>
    <w:p w14:paraId="004C2418" w14:textId="77777777" w:rsidR="00083AA0" w:rsidRPr="006D6EC6" w:rsidRDefault="00083AA0" w:rsidP="00CD0244">
      <w:pPr>
        <w:pStyle w:val="MDPI31text"/>
        <w:rPr>
          <w:szCs w:val="20"/>
        </w:rPr>
      </w:pPr>
      <w:r w:rsidRPr="006D6EC6">
        <w:rPr>
          <w:szCs w:val="20"/>
        </w:rPr>
        <w:t xml:space="preserve">Accordingly, hereditary breast and ovarian cancer testing historically focused on </w:t>
      </w:r>
      <w:r w:rsidRPr="006D6EC6">
        <w:rPr>
          <w:i/>
          <w:iCs/>
          <w:szCs w:val="20"/>
        </w:rPr>
        <w:t>BRCA1</w:t>
      </w:r>
      <w:r w:rsidRPr="006D6EC6">
        <w:rPr>
          <w:szCs w:val="20"/>
        </w:rPr>
        <w:t xml:space="preserve"> and </w:t>
      </w:r>
      <w:r w:rsidRPr="006D6EC6">
        <w:rPr>
          <w:i/>
          <w:iCs/>
          <w:szCs w:val="20"/>
        </w:rPr>
        <w:t>BRCA2</w:t>
      </w:r>
      <w:r w:rsidRPr="006D6EC6">
        <w:rPr>
          <w:szCs w:val="20"/>
        </w:rPr>
        <w:t xml:space="preserve">, although contemporary diagnostic practice increasingly uses multigene panels. </w:t>
      </w:r>
      <w:r w:rsidRPr="006D6EC6">
        <w:rPr>
          <w:i/>
          <w:iCs/>
          <w:szCs w:val="20"/>
        </w:rPr>
        <w:t>PALB2</w:t>
      </w:r>
      <w:r w:rsidRPr="006D6EC6">
        <w:rPr>
          <w:szCs w:val="20"/>
        </w:rPr>
        <w:t xml:space="preserve"> is also established as a high-penetrance breast cancer susceptibility gene, with the cumulative breast cancer risk reaching approximately 50% by 80 years of age </w:t>
      </w:r>
      <w:r w:rsidRPr="006D6EC6">
        <w:rPr>
          <w:szCs w:val="20"/>
        </w:rPr>
        <w:fldChar w:fldCharType="begin" w:fldLock="1"/>
      </w:r>
      <w:r w:rsidR="0066732E" w:rsidRPr="006D6EC6">
        <w:rPr>
          <w:szCs w:val="20"/>
        </w:rPr>
        <w:instrText>ADDIN CSL_CITATION {"citationItems":[{"id":"ITEM-1","itemData":{"DOI":"10.1200/JCO.19.01907","ISSN":"0732-183X","abstract":"PURPOSETo estimate age-specific relative and absolute cancer risks of breast cancer and to estimate risks of ovarian, pancreatic, male breast, prostate, and colorectal cancers associated with germline PALB2 pathogenic variants (PVs) because these risks have not been extensively characterized.METHODSWe analyzed data from 524 families with PALB2 PVs from 21 countries. Complex segregation analysis was used to estimate relative risks (RRs; relative to country-specific population incidences) and absolute risks of cancers. The models allowed for residual familial aggregation of breast and ovarian cancer and were adjusted for the family-specific ascertainment schemes.RESULTSWe found associations between PALB2 PVs and risk of female breast cancer (RR, 7.18; 95% CI, 5.82 to 8.85; P = 6.5 ? 10?76), ovarian cancer (RR, 2.91; 95% CI, 1.40 to 6.04; P = 4.1 ? 10?3), pancreatic cancer (RR, 2.37; 95% CI, 1.24 to 4.50; P = 8.7 ? 10?3), and male breast cancer (RR, 7.34; 95% CI, 1.28 to 42.18; P = 2.6 ? 10?2). There was no evidence for increased risks of prostate or colorectal cancer. The breast cancer RRs declined with age (P for trend = 2.0 ? 10?3). After adjusting for family ascertainment, breast cancer risk estimates on the basis of multiple case families were similar to the estimates from families ascertained through population-based studies (P for difference = .41). On the basis of the combined data, the estimated risks to age 80 years were 53% (95% CI, 44% to 63%) for female breast cancer, 5% (95% CI, 2% to 10%) for ovarian cancer, 2%-3% (95% CI females, 1% to 4%; 95% CI males, 2% to 5%) for pancreatic cancer, and 1% (95% CI, 0.2% to 5%) for male breast cancer.CONCLUSIONThese results confirm PALB2 as a major breast cancer susceptibility gene and establish substantial associations between germline PALB2 PVs and ovarian, pancreatic, and male breast cancers. These findings will facilitate incorporation of PALB2 into risk prediction models and optimize the clinical cancer risk management of PALB2 PV carriers.","author":[{"dropping-particle":"","family":"Yang","given":"Xin","non-dropping-particle":"","parse-names":false,"suffix":""},{"dropping-particle":"","family":"Leslie","given":"Goska","non-dropping-particle":"","parse-names":false,"suffix":""},{"dropping-particle":"","family":"Doroszuk","given":"Alicja","non-dropping-particle":"","parse-names":false,"suffix":""},{"dropping-particle":"","family":"Schneider","given":"Sandra","non-dropping-particle":"","parse-names":false,"suffix":""},{"dropping-particle":"","family":"Allen","given":"Jamie","non-dropping-particle":"","parse-names":false,"suffix":""},{"dropping-particle":"","family":"Decker","given":"Brennan","non-dropping-particle":"","parse-names":false,"suffix":""},{"dropping-particle":"","family":"Dunning","given":"Alison M","non-dropping-particle":"","parse-names":false,"suffix":""},{"dropping-particle":"","family":"Redman","given":"James","non-dropping-particle":"","parse-names":false,"suffix":""},{"dropping-particle":"","family":"Scarth","given":"James","non-dropping-particle":"","parse-names":false,"suffix":""},{"dropping-particle":"","family":"Plaskocinska","given":"Inga","non-dropping-particle":"","parse-names":false,"suffix":""},{"dropping-particle":"","family":"Luccarini","given":"Craig","non-dropping-particle":"","parse-names":false,"suffix":""},{"dropping-particle":"","family":"Shah","given":"Mitul","non-dropping-particle":"","parse-names":false,"suffix":""},{"dropping-particle":"","family":"Pooley","given":"Karen","non-dropping-particle":"","parse-names":false,"suffix":""},{"dropping-particle":"","family":"Dorling","given":"Leila","non-dropping-particle":"","parse-names":false,"suffix":""},{"dropping-particle":"","family":"Lee","given":"Andrew","non-dropping-particle":"","parse-names":false,"suffix":""},{"dropping-particle":"","family":"Adank","given":"Muriel A","non-dropping-particle":"","parse-names":false,"suffix":""},{"dropping-particle":"","family":"Adlard","given":"Julian","non-dropping-particle":"","parse-names":false,"suffix":""},{"dropping-particle":"","family":"Aittomäki","given":"Kristiina","non-dropping-particle":"","parse-names":false,"suffix":""},{"dropping-particle":"","family":"Andrulis","given":"Irene L","non-dropping-particle":"","parse-names":false,"suffix":""},{"dropping-particle":"","family":"Ang","given":"Peter","non-dropping-particle":"","parse-names":false,"suffix":""},{"dropping-particle":"","family":"Barwell","given":"Julian","non-dropping-particle":"","parse-names":false,"suffix":""},{"dropping-particle":"","family":"Bernstein","given":"Jonine L","non-dropping-particle":"","parse-names":false,"suffix":""},{"dropping-particle":"","family":"Bobolis","given":"Kristie","non-dropping-particle":"","parse-names":false,"suffix":""},{"dropping-particle":"","family":"Borg","given":"Åke","non-dropping-particle":"","parse-names":false,"suffix":""},{"dropping-particle":"","family":"Blomqvist","given":"Carl","non-dropping-particle":"","parse-names":false,"suffix":""},{"dropping-particle":"","family":"Claes","given":"Kathleen B M","non-dropping-particle":"","parse-names":false,"suffix":""},{"dropping-particle":"","family":"Concannon","given":"Patrick","non-dropping-particle":"","parse-names":false,"suffix":""},{"dropping-particle":"","family":"Cuggia","given":"Adeline","non-dropping-particle":"","parse-names":false,"suffix":""},{"dropping-particle":"","family":"Culver","given":"Julie O","non-dropping-particle":"","parse-names":false,"suffix":""},{"dropping-particle":"","family":"Damiola","given":"Francesca","non-dropping-particle":"","parse-names":false,"suffix":""},{"dropping-particle":"","family":"Pauw","given":"Antoine","non-dropping-particle":"de","parse-names":false,"suffix":""},{"dropping-particle":"","family":"Diez","given":"Orland","non-dropping-particle":"","parse-names":false,"suffix":""},{"dropping-particle":"","family":"Dolinsky","given":"Jill S","non-dropping-particle":"","parse-names":false,"suffix":""},{"dropping-particle":"","family":"Domchek","given":"Susan M","non-dropping-particle":"","parse-names":false,"suffix":""},{"dropping-particle":"","family":"Engel","given":"Christoph","non-dropping-particle":"","parse-names":false,"suffix":""},{"dropping-particle":"","family":"Evans","given":"D Gareth","non-dropping-particle":"","parse-names":false,"suffix":""},{"dropping-particle":"","family":"Fostira","given":"Florentia","non-dropping-particle":"","parse-names":false,"suffix":""},{"dropping-particle":"","family":"Garber","given":"Judy","non-dropping-particle":"","parse-names":false,"suffix":""},{"dropping-particle":"","family":"Golmard","given":"Lisa","non-dropping-particle":"","parse-names":false,"suffix":""},{"dropping-particle":"","family":"Goode","given":"Ellen L","non-dropping-particle":"","parse-names":false,"suffix":""},{"dropping-particle":"","family":"Gruber","given":"Stephen B","non-dropping-particle":"","parse-names":false,"suffix":""},{"dropping-particle":"","family":"Hahnen","given":"Eric","non-dropping-particle":"","parse-names":false,"suffix":""},{"dropping-particle":"","family":"Hake","given":"Christopher","non-dropping-particle":"","parse-names":false,"suffix":""},{"dropping-particle":"","family":"Heikkinen","given":"Tuomas","non-dropping-particle":"","parse-names":false,"suffix":""},{"dropping-particle":"","family":"Hurley","given":"Judith E","non-dropping-particle":"","parse-names":false,"suffix":""},{"dropping-particle":"","family":"Janavicius","given":"Ramunas","non-dropping-particle":"","parse-names":false,"suffix":""},{"dropping-particle":"","family":"Kleibl","given":"Zdenek","non-dropping-particle":"","parse-names":false,"suffix":""},{"dropping-particle":"","family":"Kleiblova","given":"Petra","non-dropping-particle":"","parse-names":false,"suffix":""},{"dropping-particle":"","family":"Konstantopoulou","given":"Irene","non-dropping-particle":"","parse-names":false,"suffix":""},{"dropping-particle":"","family":"Kvist","given":"Anders","non-dropping-particle":"","parse-names":false,"suffix":""},{"dropping-particle":"","family":"Laduca","given":"Holly","non-dropping-particle":"","parse-names":false,"suffix":""},{"dropping-particle":"","family":"Lee","given":"Ann S G","non-dropping-particle":"","parse-names":false,"suffix":""},{"dropping-particle":"","family":"Lesueur","given":"Fabienne","non-dropping-particle":"","parse-names":false,"suffix":""},{"dropping-particle":"","family":"Maher","given":"Eamonn R","non-dropping-particle":"","parse-names":false,"suffix":""},{"dropping-particle":"","family":"Mannermaa","given":"Arto","non-dropping-particle":"","parse-names":false,"suffix":""},{"dropping-particle":"","family":"Manoukian","given":"Siranoush","non-dropping-particle":"","parse-names":false,"suffix":""},{"dropping-particle":"","family":"McFarland","given":"Rachel","non-dropping-particle":"","parse-names":false,"suffix":""},{"dropping-particle":"","family":"McKinnon","given":"Wendy","non-dropping-particle":"","parse-names":false,"suffix":""},{"dropping-particle":"","family":"Meindl","given":"Alfons","non-dropping-particle":"","parse-names":false,"suffix":""},{"dropping-particle":"","family":"Metcalfe","given":"Kelly","non-dropping-particle":"","parse-names":false,"suffix":""},{"dropping-particle":"","family":"Mohd Taib","given":"Nur Aishah","non-dropping-particle":"","parse-names":false,"suffix":""},{"dropping-particle":"","family":"Moilanen","given":"Jukka","non-dropping-particle":"","parse-names":false,"suffix":""},{"dropping-particle":"","family":"Nathanson","given":"Katherine L","non-dropping-particle":"","parse-names":false,"suffix":""},{"dropping-particle":"","family":"Neuhausen","given":"Susan","non-dropping-particle":"","parse-names":false,"suffix":""},{"dropping-particle":"","family":"Ng","given":"Pei Sze","non-dropping-particle":"","parse-names":false,"suffix":""},{"dropping-particle":"","family":"Nguyen-Dumont","given":"Tu","non-dropping-particle":"","parse-names":false,"suffix":""},{"dropping-particle":"","family":"Nielsen","given":"Sarah M","non-dropping-particle":"","parse-names":false,"suffix":""},{"dropping-particle":"","family":"Obermair","given":"Florian","non-dropping-particle":"","parse-names":false,"suffix":""},{"dropping-particle":"","family":"Offit","given":"Kenneth","non-dropping-particle":"","parse-names":false,"suffix":""},{"dropping-particle":"","family":"Olopade","given":"Olufunmilayo I","non-dropping-particle":"","parse-names":false,"suffix":""},{"dropping-particle":"","family":"Ottini","given":"Laura","non-dropping-particle":"","parse-names":false,"suffix":""},{"dropping-particle":"","family":"Penkert","given":"Judith","non-dropping-particle":"","parse-names":false,"suffix":""},{"dropping-particle":"","family":"Pylkäs","given":"Katri","non-dropping-particle":"","parse-names":false,"suffix":""},{"dropping-particle":"","family":"Radice","given":"Paolo","non-dropping-particle":"","parse-names":false,"suffix":""},{"dropping-particle":"","family":"Ramus","given":"Susan J","non-dropping-particle":"","parse-names":false,"suffix":""},{"dropping-particle":"","family":"Rudaitis","given":"Vilius","non-dropping-particle":"","parse-names":false,"suffix":""},{"dropping-particle":"","family":"Side","given":"Lucy","non-dropping-particle":"","parse-names":false,"suffix":""},{"dropping-particle":"","family":"Silva-Smith","given":"Rachel","non-dropping-particle":"","parse-names":false,"suffix":""},{"dropping-particle":"","family":"Silvestri","given":"Valentina","non-dropping-particle":"","parse-names":false,"suffix":""},{"dropping-particle":"","family":"Skytte","given":"Anne-Bine","non-dropping-particle":"","parse-names":false,"suffix":""},{"dropping-particle":"","family":"Slavin","given":"Thomas","non-dropping-particle":"","parse-names":false,"suffix":""},{"dropping-particle":"","family":"Soukupova","given":"Jana","non-dropping-particle":"","parse-names":false,"suffix":""},{"dropping-particle":"","family":"Tondini","given":"Carlo","non-dropping-particle":"","parse-names":false,"suffix":""},{"dropping-particle":"","family":"Trainer","given":"Alison H","non-dropping-particle":"","parse-names":false,"suffix":""},{"dropping-particle":"","family":"Unzeitig","given":"Gary","non-dropping-particle":"","parse-names":false,"suffix":""},{"dropping-particle":"","family":"Usha","given":"Lydia","non-dropping-particle":"","parse-names":false,"suffix":""},{"dropping-particle":"","family":"Overeem Hansen","given":"Thomas","non-dropping-particle":"van","parse-names":false,"suffix":""},{"dropping-particle":"","family":"Whitworth","given":"James","non-dropping-particle":"","parse-names":false,"suffix":""},{"dropping-particle":"","family":"Wood","given":"Marie","non-dropping-particle":"","parse-names":false,"suffix":""},{"dropping-particle":"","family":"Yip","given":"Cheng Har","non-dropping-particle":"","parse-names":false,"suffix":""},{"dropping-particle":"","family":"Yoon","given":"Sook-Yee","non-dropping-particle":"","parse-names":false,"suffix":""},{"dropping-particle":"","family":"Yussuf","given":"Amal","non-dropping-particle":"","parse-names":false,"suffix":""},{"dropping-particle":"","family":"Zogopoulos","given":"George","non-dropping-particle":"","parse-names":false,"suffix":""},{"dropping-particle":"","family":"Goldgar","given":"David","non-dropping-particle":"","parse-names":false,"suffix":""},{"dropping-particle":"","family":"Hopper","given":"John L","non-dropping-particle":"","parse-names":false,"suffix":""},{"dropping-particle":"","family":"Chenevix-Trench","given":"Georgia","non-dropping-particle":"","parse-names":false,"suffix":""},{"dropping-particle":"","family":"Pharoah","given":"Paul","non-dropping-particle":"","parse-names":false,"suffix":""},{"dropping-particle":"","family":"George","given":"Sophia H L","non-dropping-particle":"","parse-names":false,"suffix":""},{"dropping-particle":"","family":"Balmaña","given":"Judith","non-dropping-particle":"","parse-names":false,"suffix":""},{"dropping-particle":"","family":"Houdayer","given":"Claude","non-dropping-particle":"","parse-names":false,"suffix":""},{"dropping-particle":"","family":"James","given":"Paul","non-dropping-particle":"","parse-names":false,"suffix":""},{"dropping-particle":"","family":"El-Haffaf","given":"Zaki","non-dropping-particle":"","parse-names":false,"suffix":""},{"dropping-particle":"","family":"Ehrencrona","given":"Hans","non-dropping-particle":"","parse-names":false,"suffix":""},{"dropping-particle":"","family":"Janatova","given":"Marketa","non-dropping-particle":"","parse-names":false,"suffix":""},{"dropping-particle":"","family":"Peterlongo","given":"Paolo","non-dropping-particle":"","parse-names":false,"suffix":""},{"dropping-particle":"","family":"Nevanlinna","given":"Heli","non-dropping-particle":"","parse-names":false,"suffix":""},{"dropping-particle":"","family":"Schmutzler","given":"Rita","non-dropping-particle":"","parse-names":false,"suffix":""},{"dropping-particle":"","family":"Teo","given":"Soo-Hwang","non-dropping-particle":"","parse-names":false,"suffix":""},{"dropping-particle":"","family":"Robson","given":"Mark","non-dropping-particle":"","parse-names":false,"suffix":""},{"dropping-particle":"","family":"Pal","given":"Tuya","non-dropping-particle":"","parse-names":false,"suffix":""},{"dropping-particle":"","family":"Couch","given":"Fergus","non-dropping-particle":"","parse-names":false,"suffix":""},{"dropping-particle":"","family":"Weitzel","given":"Jeffrey N","non-dropping-particle":"","parse-names":false,"suffix":""},{"dropping-particle":"","family":"Elliott","given":"Aaron","non-dropping-particle":"","parse-names":false,"suffix":""},{"dropping-particle":"","family":"Southey","given":"Melissa","non-dropping-particle":"","parse-names":false,"suffix":""},{"dropping-particle":"","family":"Winqvist","given":"Robert","non-dropping-particle":"","parse-names":false,"suffix":""},{"dropping-particle":"","family":"Easton","given":"Douglas F","non-dropping-particle":"","parse-names":false,"suffix":""},{"dropping-particle":"","family":"Foulkes","given":"William D","non-dropping-particle":"","parse-names":false,"suffix":""},{"dropping-particle":"","family":"Antoniou","given":"Antonis C","non-dropping-particle":"","parse-names":false,"suffix":""},{"dropping-particle":"","family":"Tischkowitz","given":"Marc","non-dropping-particle":"","parse-names":false,"suffix":""}],"container-title":"Journal of Clinical Oncology","id":"ITEM-1","issue":"7","issued":{"date-parts":[["2019","12","16"]]},"note":"doi: 10.1200/JCO.19.01907","page":"674-685","publisher":"Wolters Kluwer","title":"Cancer Risks Associated With Germline PALB2 Pathogenic Variants: An International Study of 524 Families","type":"article-journal","volume":"38"},"uris":["http://www.mendeley.com/documents/?uuid=414c6634-0b6f-48db-b5f6-72b6eb7a99bb"]},{"id":"ITEM-2","itemData":{"DOI":"10.1056/NEJMoa1400382","ISSN":"1533-4406 (Electronic)","PMID":"25099575","abstract":"BACKGROUND: Germline loss-of-function mutations in PALB2 are known to confer a  predisposition to breast cancer. However, the lifetime risk of breast cancer that is conferred by such mutations remains unknown. METHODS: We analyzed the risk of breast cancer among 362 members of 154 families who had deleterious truncating, splice, or deletion mutations in PALB2. The age-specific breast-cancer risk for mutation carriers was estimated with the use of a modified segregation-analysis approach that allowed for the effects of PALB2 genotype and residual familial aggregation. RESULTS: The risk of breast cancer for female PALB2 mutation carriers, as compared with the general population, was eight to nine times as high among those younger than 40 years of age, six to eight times as high among those 40 to 60 years of age, and five times as high among those older than 60 years of age. The estimated cumulative risk of breast cancer among female mutation carriers was 14% (95% confidence interval [CI], 9 to 20) by 50 years of age and 35% (95% CI, 26 to 46) by 70 years of age. Breast-cancer risk was also significantly influenced by birth cohort (P&lt;0.001) and by other familial factors (P=0.04). The absolute breast-cancer risk for PALB2 female mutation carriers by 70 years of age ranged from 33% (95% CI, 25 to 44) for those with no family history of breast cancer to 58% (95% CI, 50 to 66) for those with two or more first-degree relatives with breast cancer at 50 years of age. CONCLUSIONS: Loss-of-function mutations in PALB2 are an important cause of hereditary breast cancer, with respect both to the frequency of cancer-predisposing mutations and to the risk associated with them. Our data suggest the breast-cancer risk for PALB2 mutation carriers may overlap with that for BRCA2 mutation carriers. (Funded by the European Research Council and others.).","author":[{"dropping-particle":"","family":"Antoniou","given":"Antonis C","non-dropping-particle":"","parse-names":false,"suffix":""},{"dropping-particle":"","family":"Casadei","given":"Silvia","non-dropping-particle":"","parse-names":false,"suffix":""},{"dropping-particle":"","family":"Heikkinen","given":"Tuomas","non-dropping-particle":"","parse-names":false,"suffix":""},{"dropping-particle":"","family":"Barrowdale","given":"Daniel","non-dropping-particle":"","parse-names":false,"suffix":""},{"dropping-particle":"","family":"Pylkäs","given":"Katri","non-dropping-particle":"","parse-names":false,"suffix":""},{"dropping-particle":"","family":"Roberts","given":"Jonathan","non-dropping-particle":"","parse-names":false,"suffix":""},{"dropping-particle":"","family":"Lee","given":"Andrew","non-dropping-particle":"","parse-names":false,"suffix":""},{"dropping-particle":"","family":"Subramanian","given":"Deepak","non-dropping-particle":"","parse-names":false,"suffix":""},{"dropping-particle":"","family":"Leeneer","given":"Kim","non-dropping-particle":"De","parse-names":false,"suffix":""},{"dropping-particle":"","family":"Fostira","given":"Florentia","non-dropping-particle":"","parse-names":false,"suffix":""},{"dropping-particle":"","family":"Tomiak","given":"Eva","non-dropping-particle":"","parse-names":false,"suffix":""},{"dropping-particle":"","family":"Neuhausen","given":"Susan L","non-dropping-particle":"","parse-names":false,"suffix":""},{"dropping-particle":"","family":"Teo","given":"Zhi L","non-dropping-particle":"","parse-names":false,"suffix":""},{"dropping-particle":"","family":"Khan","given":"Sofia","non-dropping-particle":"","parse-names":false,"suffix":""},{"dropping-particle":"","family":"Aittomäki","given":"Kristiina","non-dropping-particle":"","parse-names":false,"suffix":""},{"dropping-particle":"","family":"Moilanen","given":"Jukka S","non-dropping-particle":"","parse-names":false,"suffix":""},{"dropping-particle":"","family":"Turnbull","given":"Clare","non-dropping-particle":"","parse-names":false,"suffix":""},{"dropping-particle":"","family":"Seal","given":"Sheila","non-dropping-particle":"","parse-names":false,"suffix":""},{"dropping-particle":"","family":"Mannermaa","given":"Arto","non-dropping-particle":"","parse-names":false,"suffix":""},{"dropping-particle":"","family":"Kallioniemi","given":"Anne","non-dropping-particle":"","parse-names":false,"suffix":""},{"dropping-particle":"","family":"Lindeman","given":"Geoffrey J","non-dropping-particle":"","parse-names":false,"suffix":""},{"dropping-particle":"","family":"Buys","given":"Saundra S","non-dropping-particle":"","parse-names":false,"suffix":""},{"dropping-particle":"","family":"Andrulis","given":"Irene L","non-dropping-particle":"","parse-names":false,"suffix":""},{"dropping-particle":"","family":"Radice","given":"Paolo","non-dropping-particle":"","parse-names":false,"suffix":""},{"dropping-particle":"","family":"Tondini","given":"Carlo","non-dropping-particle":"","parse-names":false,"suffix":""},{"dropping-particle":"","family":"Manoukian","given":"Siranoush","non-dropping-particle":"","parse-names":false,"suffix":""},{"dropping-particle":"","family":"Toland","given":"Amanda E","non-dropping-particle":"","parse-names":false,"suffix":""},{"dropping-particle":"","family":"Miron","given":"Penelope","non-dropping-particle":"","parse-names":false,"suffix":""},{"dropping-particle":"","family":"Weitzel","given":"Jeffrey N","non-dropping-particle":"","parse-names":false,"suffix":""},{"dropping-particle":"","family":"Domchek","given":"Susan M","non-dropping-particle":"","parse-names":false,"suffix":""},{"dropping-particle":"","family":"Poppe","given":"Bruce","non-dropping-particle":"","parse-names":false,"suffix":""},{"dropping-particle":"","family":"Claes","given":"Kathleen B M","non-dropping-particle":"","parse-names":false,"suffix":""},{"dropping-particle":"","family":"Yannoukakos","given":"Drakoulis","non-dropping-particle":"","parse-names":false,"suffix":""},{"dropping-particle":"","family":"Concannon","given":"Patrick","non-dropping-particle":"","parse-names":false,"suffix":""},{"dropping-particle":"","family":"Bernstein","given":"Jonine L","non-dropping-particle":"","parse-names":false,"suffix":""},{"dropping-particle":"","family":"James","given":"Paul A","non-dropping-particle":"","parse-names":false,"suffix":""},{"dropping-particle":"","family":"Easton","given":"Douglas F","non-dropping-particle":"","parse-names":false,"suffix":""},{"dropping-particle":"","family":"Goldgar","given":"David E","non-dropping-particle":"","parse-names":false,"suffix":""},{"dropping-particle":"","family":"Hopper","given":"John L","non-dropping-particle":"","parse-names":false,"suffix":""},{"dropping-particle":"","family":"Rahman","given":"Nazneen","non-dropping-particle":"","parse-names":false,"suffix":""},{"dropping-particle":"","family":"Peterlongo","given":"Paolo","non-dropping-particle":"","parse-names":false,"suffix":""},{"dropping-particle":"","family":"Nevanlinna","given":"Heli","non-dropping-particle":"","parse-names":false,"suffix":""},{"dropping-particle":"","family":"King","given":"Mary-Claire","non-dropping-particle":"","parse-names":false,"suffix":""},{"dropping-particle":"","family":"Couch","given":"Fergus J","non-dropping-particle":"","parse-names":false,"suffix":""},{"dropping-particle":"","family":"Southey","given":"Melissa C","non-dropping-particle":"","parse-names":false,"suffix":""},{"dropping-particle":"","family":"Winqvist","given":"Robert","non-dropping-particle":"","parse-names":false,"suffix":""},{"dropping-particle":"","family":"Foulkes","given":"William D","non-dropping-particle":"","parse-names":false,"suffix":""},{"dropping-particle":"","family":"Tischkowitz","given":"Marc","non-dropping-particle":"","parse-names":false,"suffix":""}],"container-title":"The New England journal of medicine","id":"ITEM-2","issue":"6","issued":{"date-parts":[["2014","8"]]},"language":"eng","page":"497-506","publisher-place":"United States","title":"Breast-cancer risk in families with mutations in PALB2.","type":"article-journal","volume":"371"},"uris":["http://www.mendeley.com/documents/?uuid=e156a67b-281e-45b3-aa81-6ef151884b60"]}],"mendeley":{"formattedCitation":"[4,5]","plainTextFormattedCitation":"[4,5]","previouslyFormattedCitation":"[4,5]"},"properties":{"noteIndex":0},"schema":"https://github.com/citation-style-language/schema/raw/master/csl-citation.json"}</w:instrText>
      </w:r>
      <w:r w:rsidRPr="006D6EC6">
        <w:rPr>
          <w:szCs w:val="20"/>
        </w:rPr>
        <w:fldChar w:fldCharType="separate"/>
      </w:r>
      <w:r w:rsidR="00A92055" w:rsidRPr="006D6EC6">
        <w:rPr>
          <w:noProof/>
          <w:szCs w:val="20"/>
        </w:rPr>
        <w:t>[4,5]</w:t>
      </w:r>
      <w:r w:rsidRPr="006D6EC6">
        <w:rPr>
          <w:szCs w:val="20"/>
        </w:rPr>
        <w:fldChar w:fldCharType="end"/>
      </w:r>
      <w:r w:rsidRPr="006D6EC6">
        <w:rPr>
          <w:szCs w:val="20"/>
        </w:rPr>
        <w:t xml:space="preserve">. </w:t>
      </w:r>
      <w:r w:rsidRPr="006D6EC6">
        <w:rPr>
          <w:i/>
          <w:iCs/>
          <w:szCs w:val="20"/>
        </w:rPr>
        <w:t>TP53</w:t>
      </w:r>
      <w:r w:rsidRPr="006D6EC6">
        <w:rPr>
          <w:szCs w:val="20"/>
        </w:rPr>
        <w:t xml:space="preserve">, </w:t>
      </w:r>
      <w:r w:rsidRPr="006D6EC6">
        <w:rPr>
          <w:i/>
          <w:iCs/>
          <w:szCs w:val="20"/>
        </w:rPr>
        <w:t>PTEN</w:t>
      </w:r>
      <w:r w:rsidRPr="006D6EC6">
        <w:rPr>
          <w:szCs w:val="20"/>
        </w:rPr>
        <w:t xml:space="preserve">, </w:t>
      </w:r>
      <w:r w:rsidRPr="006D6EC6">
        <w:rPr>
          <w:i/>
          <w:iCs/>
          <w:szCs w:val="20"/>
        </w:rPr>
        <w:t>STK11</w:t>
      </w:r>
      <w:r w:rsidRPr="006D6EC6">
        <w:rPr>
          <w:szCs w:val="20"/>
        </w:rPr>
        <w:t xml:space="preserve"> and </w:t>
      </w:r>
      <w:r w:rsidRPr="006D6EC6">
        <w:rPr>
          <w:i/>
          <w:iCs/>
          <w:szCs w:val="20"/>
        </w:rPr>
        <w:t>CDH1</w:t>
      </w:r>
      <w:r w:rsidRPr="006D6EC6">
        <w:rPr>
          <w:szCs w:val="20"/>
        </w:rPr>
        <w:t xml:space="preserve"> are associated with rarer high-penetrance cancer-predisposition syndromes </w:t>
      </w:r>
      <w:r w:rsidRPr="006D6EC6">
        <w:rPr>
          <w:szCs w:val="20"/>
        </w:rPr>
        <w:fldChar w:fldCharType="begin" w:fldLock="1"/>
      </w:r>
      <w:r w:rsidR="0066732E" w:rsidRPr="006D6EC6">
        <w:rPr>
          <w:szCs w:val="20"/>
        </w:rPr>
        <w:instrText>ADDIN CSL_CITATION {"citationItems":[{"id":"ITEM-1","itemData":{"DOI":"10.1056/NEJMoa1913948","container-title":"New England Journal of Medicine","id":"ITEM-1","issue":"5","issued":{"date-parts":[["2021","2","3"]]},"note":"doi: 10.1056/NEJMoa1913948","page":"428-439","publisher":"Massachusetts Medical Society","title":"Breast Cancer Risk Genes — Association Analysis in More than 113,000 Women","type":"article-journal","volume":"384"},"uris":["http://www.mendeley.com/documents/?uuid=7f482477-0373-496c-b5ef-51c9a9dada7b"]}],"mendeley":{"formattedCitation":"[6]","plainTextFormattedCitation":"[6]","previouslyFormattedCitation":"[6]"},"properties":{"noteIndex":0},"schema":"https://github.com/citation-style-language/schema/raw/master/csl-citation.json"}</w:instrText>
      </w:r>
      <w:r w:rsidRPr="006D6EC6">
        <w:rPr>
          <w:szCs w:val="20"/>
        </w:rPr>
        <w:fldChar w:fldCharType="separate"/>
      </w:r>
      <w:r w:rsidR="00A92055" w:rsidRPr="006D6EC6">
        <w:rPr>
          <w:noProof/>
          <w:szCs w:val="20"/>
        </w:rPr>
        <w:t>[6]</w:t>
      </w:r>
      <w:r w:rsidRPr="006D6EC6">
        <w:rPr>
          <w:szCs w:val="20"/>
        </w:rPr>
        <w:fldChar w:fldCharType="end"/>
      </w:r>
      <w:r w:rsidRPr="006D6EC6">
        <w:rPr>
          <w:szCs w:val="20"/>
        </w:rPr>
        <w:t xml:space="preserve">, including Li–Fraumeni syndrome </w:t>
      </w:r>
      <w:r w:rsidRPr="006D6EC6">
        <w:rPr>
          <w:szCs w:val="20"/>
        </w:rPr>
        <w:fldChar w:fldCharType="begin" w:fldLock="1"/>
      </w:r>
      <w:r w:rsidR="0066732E" w:rsidRPr="006D6EC6">
        <w:rPr>
          <w:szCs w:val="20"/>
        </w:rPr>
        <w:instrText>ADDIN CSL_CITATION {"citationItems":[{"id":"ITEM-1","itemData":{"DOI":"10.1200/JCO.2017.75.5215","ISSN":"1527-7755 (Electronic)","PMID":"29300620","abstract":"Purpose Germline TP53 variation is the genetic basis of Li-Fraumeni syndrome, a  highly penetrant cancer predisposition condition. Recent reports of germline TP53 variants in childhood hypodiploid acute lymphoblastic leukemia (ALL) suggest that this type of leukemia is another manifestation of Li-Fraumeni syndrome; however, the pattern, prevalence, and clinical relevance of TP53 variants in childhood ALL remain unknown. Patients and Methods Targeted sequencing of TP53 coding regions was performed in 3,801 children from the Children's Oncology Group frontline ALL clinical trials, AALL0232 and P9900. TP53 variant pathogenicity was evaluated according to experimentally determined transcriptional activity, in silico prediction of damaging effects, and prevalence in non-ALL control populations. TP53 variants were analyzed for their association with ALL presenting features and treatment outcomes. Results We identified 49 unique nonsilent rare TP53 coding variants in 77 (2.0%) of 3,801 patients sequenced, of which 22 variants were classified as pathogenic. TP53 pathogenic variants were significantly over-represented in ALL compared with non-ALL controls (odds ratio, 5.2; P &lt; .001). Children with TP53 pathogenic variants were significantly older at ALL diagnosis (median age, 15.5 years v 7.3 years; P &lt; .001) and were more likely to have hypodiploid ALL (65.4% v 1.2%; P &lt; .001). Carrying germline TP53 pathogenic variants was associated with inferior event-free survival and overall survival (hazard ratio, 4.2 and 3.9; P &lt; .001 and .001, respectively). In particular, children with TP53 pathogenic variants were at a dramatically higher risk of second cancers than those without pathogenic variants, with 5-year cumulative incidence of 25.1% and 0.7% ( P &lt; .001), respectively. Conclusion Loss-of-function germline TP53 variants predispose children to ALL and to adverse treatment outcomes with ALL therapy, particularly the risk of second malignant neoplasms.","author":[{"dropping-particle":"","family":"Qian","given":"Maoxiang","non-dropping-particle":"","parse-names":false,"suffix":""},{"dropping-particle":"","family":"Cao","given":"Xueyuan","non-dropping-particle":"","parse-names":false,"suffix":""},{"dropping-particle":"","family":"Devidas","given":"Meenakshi","non-dropping-particle":"","parse-names":false,"suffix":""},{"dropping-particle":"","family":"Yang","given":"Wenjian","non-dropping-particle":"","parse-names":false,"suffix":""},{"dropping-particle":"","family":"Cheng","given":"Cheng","non-dropping-particle":"","parse-names":false,"suffix":""},{"dropping-particle":"","family":"Dai","given":"Yunfeng","non-dropping-particle":"","parse-names":false,"suffix":""},{"dropping-particle":"","family":"Carroll","given":"Andrew","non-dropping-particle":"","parse-names":false,"suffix":""},{"dropping-particle":"","family":"Heerema","given":"Nyla A","non-dropping-particle":"","parse-names":false,"suffix":""},{"dropping-particle":"","family":"Zhang","given":"Hui","non-dropping-particle":"","parse-names":false,"suffix":""},{"dropping-particle":"","family":"Moriyama","given":"Takaya","non-dropping-particle":"","parse-names":false,"suffix":""},{"dropping-particle":"","family":"Gastier-Foster","given":"Julie M","non-dropping-particle":"","parse-names":false,"suffix":""},{"dropping-particle":"","family":"Xu","given":"Heng","non-dropping-particle":"","parse-names":false,"suffix":""},{"dropping-particle":"","family":"Raetz","given":"Elizabeth","non-dropping-particle":"","parse-names":false,"suffix":""},{"dropping-particle":"","family":"Larsen","given":"Eric","non-dropping-particle":"","parse-names":false,"suffix":""},{"dropping-particle":"","family":"Winick","given":"Naomi","non-dropping-particle":"","parse-names":false,"suffix":""},{"dropping-particle":"","family":"Bowman","given":"W Paul","non-dropping-particle":"","parse-names":false,"suffix":""},{"dropping-particle":"","family":"Martin","given":"Paul L","non-dropping-particle":"","parse-names":false,"suffix":""},{"dropping-particle":"","family":"Mardis","given":"Elaine R","non-dropping-particle":"","parse-names":false,"suffix":""},{"dropping-particle":"","family":"Fulton","given":"Robert","non-dropping-particle":"","parse-names":false,"suffix":""},{"dropping-particle":"","family":"Zambetti","given":"Gerard","non-dropping-particle":"","parse-names":false,"suffix":""},{"dropping-particle":"","family":"Borowitz","given":"Michael","non-dropping-particle":"","parse-names":false,"suffix":""},{"dropping-particle":"","family":"Wood","given":"Brent","non-dropping-particle":"","parse-names":false,"suffix":""},{"dropping-particle":"","family":"Nichols","given":"Kim E","non-dropping-particle":"","parse-names":false,"suffix":""},{"dropping-particle":"","family":"Carroll","given":"William L","non-dropping-particle":"","parse-names":false,"suffix":""},{"dropping-particle":"","family":"Pui","given":"Ching-Hon","non-dropping-particle":"","parse-names":false,"suffix":""},{"dropping-particle":"","family":"Mullighan","given":"Charles G","non-dropping-particle":"","parse-names":false,"suffix":""},{"dropping-particle":"","family":"Evans","given":"William E","non-dropping-particle":"","parse-names":false,"suffix":""},{"dropping-particle":"","family":"Hunger","given":"Stephen P","non-dropping-particle":"","parse-names":false,"suffix":""},{"dropping-particle":"V","family":"Relling","given":"Mary","non-dropping-particle":"","parse-names":false,"suffix":""},{"dropping-particle":"","family":"Loh","given":"Mignon L","non-dropping-particle":"","parse-names":false,"suffix":""},{"dropping-particle":"","family":"Yang","given":"Jun J","non-dropping-particle":"","parse-names":false,"suffix":""}],"container-title":"Journal of clinical oncology : official journal of the American Society of  Clinical Oncology","id":"ITEM-1","issue":"6","issued":{"date-parts":[["2018","2"]]},"language":"eng","page":"591-599","publisher-place":"United States","title":"TP53 Germline Variations Influence the Predisposition and Prognosis of B-Cell  Acute Lymphoblastic Leukemia in Children.","type":"article-journal","volume":"36"},"uris":["http://www.mendeley.com/documents/?uuid=7058a95a-98df-47da-a443-35329d0589ff"]}],"mendeley":{"formattedCitation":"[7]","plainTextFormattedCitation":"[7]","previouslyFormattedCitation":"[7]"},"properties":{"noteIndex":0},"schema":"https://github.com/citation-style-language/schema/raw/master/csl-citation.json"}</w:instrText>
      </w:r>
      <w:r w:rsidRPr="006D6EC6">
        <w:rPr>
          <w:szCs w:val="20"/>
        </w:rPr>
        <w:fldChar w:fldCharType="separate"/>
      </w:r>
      <w:r w:rsidR="00A92055" w:rsidRPr="006D6EC6">
        <w:rPr>
          <w:noProof/>
          <w:szCs w:val="20"/>
        </w:rPr>
        <w:t>[7]</w:t>
      </w:r>
      <w:r w:rsidRPr="006D6EC6">
        <w:rPr>
          <w:szCs w:val="20"/>
        </w:rPr>
        <w:fldChar w:fldCharType="end"/>
      </w:r>
      <w:r w:rsidRPr="006D6EC6">
        <w:rPr>
          <w:szCs w:val="20"/>
        </w:rPr>
        <w:t xml:space="preserve">, PTEN hamartoma </w:t>
      </w:r>
      <w:proofErr w:type="spellStart"/>
      <w:r w:rsidRPr="006D6EC6">
        <w:rPr>
          <w:szCs w:val="20"/>
        </w:rPr>
        <w:t>tumour</w:t>
      </w:r>
      <w:proofErr w:type="spellEnd"/>
      <w:r w:rsidRPr="006D6EC6">
        <w:rPr>
          <w:szCs w:val="20"/>
        </w:rPr>
        <w:t xml:space="preserve"> syndrome </w:t>
      </w:r>
      <w:r w:rsidRPr="006D6EC6">
        <w:rPr>
          <w:szCs w:val="20"/>
        </w:rPr>
        <w:fldChar w:fldCharType="begin" w:fldLock="1"/>
      </w:r>
      <w:r w:rsidR="0066732E" w:rsidRPr="006D6EC6">
        <w:rPr>
          <w:szCs w:val="20"/>
        </w:rPr>
        <w:instrText>ADDIN CSL_CITATION {"citationItems":[{"id":"ITEM-1","itemData":{"DOI":"10.1038/s41431-020-0651-7","ISSN":"1476-5438","abstract":"PTEN hamartoma tumour syndrome is a diverse multi-system disorder predisposing to the development of hamartomatous growths, increasing risk of breast, thyroid, renal cancer, and possibly increasing risk of endometrial cancer, colorectal cancer and melanoma. There is no international consensus on cancer surveillance in PHTS and all current guidelines are based on expert opinion. A comprehensive literature review was undertaken and guidelines were developed by clinicians with expertise from clinical genetics, gynaecology, endocrinology, dermatology, radiology, gastroenterology and general surgery, together with affected individuals and their representatives. Recommendations were put forward for surveillance for breast, thyroid and renal cancers. Limited recommendations were developed for other sites including endometrial, colon and skin. The proposed cancer surveillance recommendations for PHTS require a coordinated multidisciplinary approach and significant patient commitment. The evidence base for cancer surveillance in this guideline are limited, emphasising the need for prospective evaluation of the effectiveness of surveillance in the PHTS population.","author":[{"dropping-particle":"","family":"Tischkowitz","given":"Marc","non-dropping-particle":"","parse-names":false,"suffix":""},{"dropping-particle":"","family":"Colas","given":"Chrystelle","non-dropping-particle":"","parse-names":false,"suffix":""},{"dropping-particle":"","family":"Pouwels","given":"Sjaak","non-dropping-particle":"","parse-names":false,"suffix":""},{"dropping-particle":"","family":"Hoogerbrugge","given":"Nicoline","non-dropping-particle":"","parse-names":false,"suffix":""},{"dropping-particle":"","family":"Bisseling","given":"Tanya","non-dropping-particle":"","parse-names":false,"suffix":""},{"dropping-particle":"","family":"Bubien","given":"Virginie","non-dropping-particle":"","parse-names":false,"suffix":""},{"dropping-particle":"","family":"Caux","given":"Frederic","non-dropping-particle":"","parse-names":false,"suffix":""},{"dropping-particle":"","family":"Chabbert-Buffet","given":"Nathalie","non-dropping-particle":"","parse-names":false,"suffix":""},{"dropping-particle":"","family":"Colas","given":"Chrystelle","non-dropping-particle":"","parse-names":false,"suffix":""},{"dropping-particle":"","family":"Mota Gomes","given":"Sophie","non-dropping-particle":"Da","parse-names":false,"suffix":""},{"dropping-particle":"","family":"Gotthardt","given":"Martin","non-dropping-particle":"","parse-names":false,"suffix":""},{"dropping-particle":"","family":"Hoogerbrugge","given":"Nicoline","non-dropping-particle":"","parse-names":false,"suffix":""},{"dropping-particle":"","family":"Kets","given":"Marleen","non-dropping-particle":"","parse-names":false,"suffix":""},{"dropping-particle":"","family":"Lachlan","given":"Katherine L","non-dropping-particle":"","parse-names":false,"suffix":""},{"dropping-particle":"","family":"Links","given":"Thera P","non-dropping-particle":"","parse-names":false,"suffix":""},{"dropping-particle":"","family":"Longy","given":"Michel","non-dropping-particle":"","parse-names":false,"suffix":""},{"dropping-particle":"","family":"Mann","given":"Ritse","non-dropping-particle":"","parse-names":false,"suffix":""},{"dropping-particle":"","family":"Pouwels","given":"Sjaak","non-dropping-particle":"","parse-names":false,"suffix":""},{"dropping-particle":"","family":"Kool","given":"Leo Schultze","non-dropping-particle":"","parse-names":false,"suffix":""},{"dropping-particle":"","family":"Semple","given":"Robert K","non-dropping-particle":"","parse-names":false,"suffix":""},{"dropping-particle":"","family":"Stock","given":"Ian","non-dropping-particle":"","parse-names":false,"suffix":""},{"dropping-particle":"","family":"Tischkowitz","given":"Marc","non-dropping-particle":"","parse-names":false,"suffix":""},{"dropping-particle":"","family":"Vos","given":"Janet","non-dropping-particle":"","parse-names":false,"suffix":""},{"dropping-particle":"","family":"Hoogerbrugge","given":"Nicoline","non-dropping-particle":"","parse-names":false,"suffix":""},{"dropping-particle":"","family":"Ligtenberg","given":"Marjolijn","non-dropping-particle":"","parse-names":false,"suffix":""},{"dropping-particle":"","family":"Oostenbrink","given":"Rianne","non-dropping-particle":"","parse-names":false,"suffix":""},{"dropping-particle":"","family":"Sijmons","given":"Rolf","non-dropping-particle":"","parse-names":false,"suffix":""},{"dropping-particle":"","family":"Evans","given":"Gareth","non-dropping-particle":"","parse-names":false,"suffix":""},{"dropping-particle":"","family":"Woodward","given":"Emma","non-dropping-particle":"","parse-names":false,"suffix":""},{"dropping-particle":"","family":"Tischkowitz","given":"Marc","non-dropping-particle":"","parse-names":false,"suffix":""},{"dropping-particle":"","family":"Maher","given":"Eamonn","non-dropping-particle":"","parse-names":false,"suffix":""},{"dropping-particle":"","family":"Ferner","given":"Rosalie E","non-dropping-particle":"","parse-names":false,"suffix":""},{"dropping-particle":"","family":"Aretz","given":"Stefan","non-dropping-particle":"","parse-names":false,"suffix":""},{"dropping-particle":"","family":"Spier","given":"Isabel","non-dropping-particle":"","parse-names":false,"suffix":""},{"dropping-particle":"","family":"Steinke-Lange","given":"Verena","non-dropping-particle":"","parse-names":false,"suffix":""},{"dropping-particle":"","family":"Holinski-Feder","given":"Elke","non-dropping-particle":"","parse-names":false,"suffix":""},{"dropping-particle":"","family":"Schröck","given":"Evelin","non-dropping-particle":"","parse-names":false,"suffix":""},{"dropping-particle":"","family":"Frebourg","given":"Thierry","non-dropping-particle":"","parse-names":false,"suffix":""},{"dropping-particle":"","family":"Houdayer","given":"Claude","non-dropping-particle":"","parse-names":false,"suffix":""},{"dropping-particle":"","family":"Colas","given":"Chrystelle","non-dropping-particle":"","parse-names":false,"suffix":""},{"dropping-particle":"","family":"Wolkenstein","given":"Pierre","non-dropping-particle":"","parse-names":false,"suffix":""},{"dropping-particle":"","family":"Bours","given":"Vincent","non-dropping-particle":"","parse-names":false,"suffix":""},{"dropping-particle":"","family":"Legius","given":"Eric","non-dropping-particle":"","parse-names":false,"suffix":""},{"dropping-particle":"","family":"Poppe","given":"Bruce","non-dropping-particle":"","parse-names":false,"suffix":""},{"dropping-particle":"","family":"Claes","given":"Kathleen","non-dropping-particle":"","parse-names":false,"suffix":""},{"dropping-particle":"","family":"Putter","given":"Robin","non-dropping-particle":"de","parse-names":false,"suffix":""},{"dropping-particle":"","family":"Guillermo","given":"Ignacio Blanco","non-dropping-particle":"","parse-names":false,"suffix":""},{"dropping-particle":"","family":"Capella","given":"Gabriel","non-dropping-particle":"","parse-names":false,"suffix":""},{"dropping-particle":"","family":"Vidal","given":"Joan Brunet","non-dropping-particle":"","parse-names":false,"suffix":""},{"dropping-particle":"","family":"Lázaro","given":"Conxi","non-dropping-particle":"","parse-names":false,"suffix":""},{"dropping-particle":"","family":"Balmaña","given":"Judith","non-dropping-particle":"","parse-names":false,"suffix":""},{"dropping-particle":"","family":"Hernandez","given":"Hector Salvador","non-dropping-particle":"","parse-names":false,"suffix":""},{"dropping-particle":"","family":"Oliveira","given":"Carla","non-dropping-particle":"","parse-names":false,"suffix":""},{"dropping-particle":"","family":"Teixeira","given":"Manuel","non-dropping-particle":"","parse-names":false,"suffix":""},{"dropping-particle":"","family":"Bajalica-Lagercrantz","given":"Svetlana","non-dropping-particle":"","parse-names":false,"suffix":""},{"dropping-particle":"","family":"Tham","given":"Emma","non-dropping-particle":"","parse-names":false,"suffix":""},{"dropping-particle":"","family":"Lubinski","given":"Jan","non-dropping-particle":"","parse-names":false,"suffix":""},{"dropping-particle":"","family":"Ertmanska","given":"Karolina","non-dropping-particle":"","parse-names":false,"suffix":""},{"dropping-particle":"","family":"Melegh","given":"Bela","non-dropping-particle":"","parse-names":false,"suffix":""},{"dropping-particle":"","family":"Krajc","given":"Mateja","non-dropping-particle":"","parse-names":false,"suffix":""},{"dropping-particle":"","family":"Blatnik","given":"Ana","non-dropping-particle":"","parse-names":false,"suffix":""},{"dropping-particle":"","family":"Peltonen","given":"Sirkku","non-dropping-particle":"","parse-names":false,"suffix":""},{"dropping-particle":"","family":"Hietala","given":"Marja","non-dropping-particle":"","parse-names":false,"suffix":""},{"dropping-particle":"","family":"Group","given":"PHTS Guideline Development","non-dropping-particle":"","parse-names":false,"suffix":""},{"dropping-particle":"","family":"GENTURIS","given":"The European Reference Network","non-dropping-particle":"","parse-names":false,"suffix":""}],"container-title":"European Journal of Human Genetics","id":"ITEM-1","issue":"10","issued":{"date-parts":[["2020"]]},"page":"1387-1393","title":"Cancer Surveillance Guideline for individuals with PTEN hamartoma tumour syndrome","type":"article-journal","volume":"28"},"uris":["http://www.mendeley.com/documents/?uuid=7def17b6-b612-41a0-a204-3d2c99dae1ca"]}],"mendeley":{"formattedCitation":"[8]","plainTextFormattedCitation":"[8]","previouslyFormattedCitation":"[8]"},"properties":{"noteIndex":0},"schema":"https://github.com/citation-style-language/schema/raw/master/csl-citation.json"}</w:instrText>
      </w:r>
      <w:r w:rsidRPr="006D6EC6">
        <w:rPr>
          <w:szCs w:val="20"/>
        </w:rPr>
        <w:fldChar w:fldCharType="separate"/>
      </w:r>
      <w:r w:rsidR="00A92055" w:rsidRPr="006D6EC6">
        <w:rPr>
          <w:noProof/>
          <w:szCs w:val="20"/>
        </w:rPr>
        <w:t>[8]</w:t>
      </w:r>
      <w:r w:rsidRPr="006D6EC6">
        <w:rPr>
          <w:szCs w:val="20"/>
        </w:rPr>
        <w:fldChar w:fldCharType="end"/>
      </w:r>
      <w:r w:rsidRPr="006D6EC6">
        <w:rPr>
          <w:szCs w:val="20"/>
        </w:rPr>
        <w:t xml:space="preserve">, </w:t>
      </w:r>
      <w:proofErr w:type="spellStart"/>
      <w:r w:rsidRPr="006D6EC6">
        <w:rPr>
          <w:szCs w:val="20"/>
        </w:rPr>
        <w:t>Peutz</w:t>
      </w:r>
      <w:proofErr w:type="spellEnd"/>
      <w:r w:rsidRPr="006D6EC6">
        <w:rPr>
          <w:szCs w:val="20"/>
        </w:rPr>
        <w:t>–</w:t>
      </w:r>
      <w:proofErr w:type="spellStart"/>
      <w:r w:rsidRPr="006D6EC6">
        <w:rPr>
          <w:szCs w:val="20"/>
        </w:rPr>
        <w:t>Jeghers</w:t>
      </w:r>
      <w:proofErr w:type="spellEnd"/>
      <w:r w:rsidRPr="006D6EC6">
        <w:rPr>
          <w:szCs w:val="20"/>
        </w:rPr>
        <w:t xml:space="preserve"> syndrome </w:t>
      </w:r>
      <w:r w:rsidRPr="006D6EC6">
        <w:rPr>
          <w:szCs w:val="20"/>
        </w:rPr>
        <w:fldChar w:fldCharType="begin" w:fldLock="1"/>
      </w:r>
      <w:r w:rsidR="0066732E" w:rsidRPr="006D6EC6">
        <w:rPr>
          <w:szCs w:val="20"/>
        </w:rPr>
        <w:instrText>ADDIN CSL_CITATION {"citationItems":[{"id":"ITEM-1","itemData":{"DOI":"10.1016/j.pathol.2021.08.009","ISSN":"1465-3931 (Electronic)","PMID":"34763900","abstract":"Cutaneous findings are commonly associated with underlying gastrointestinal  disorders and, in many instances, may be the first manifestation. Many such syndromes have incomplete penetrance and variable expressivity, making them difficult to recognise. Skin manifestations may be an easily recognised feature of the underlying disorder. Most of these syndromes are hereditary but not all are associated with malignancies; either benign or premalignant extraintestinal lesions can be the initial manifestation. Some involve a single organ system, while others involve multiple organs of the gastrointestinal tract. In this review, we have focused on Lynch syndrome (hereditary nonpolyposis colon cancer and Muir-Torre syndrome), familial adenomatous polyposis, the hamartomatous polyposis syndromes that include Peutz-Jeghers syndrome and the PTEN hamartoma syndromes, which include Cowden syndrome and Bannayan-Riley-Ruvalcaba syndrome and, lastly, Cronkhite-Canada syndrome, which is not heritable. Some of these are associated with colorectal cancer, of which 15% are heritable. The majority are inherited in an autosomal dominant fashion. These syndromes are uncommon. However, because of the strong association with the cutaneous findings, early detection and screening may be possible and are key to decreasing the morbidity and mortality associated with them, for both the patient and family members. The clinical findings, epidemiological findings, underlying genetic alterations and pathological findings are reviewed.","author":[{"dropping-particle":"","family":"Duarte","given":"Melissa","non-dropping-particle":"","parse-names":false,"suffix":""},{"dropping-particle":"","family":"Milikowski","given":"Clara","non-dropping-particle":"","parse-names":false,"suffix":""}],"container-title":"Pathology","id":"ITEM-1","issue":"2","issued":{"date-parts":[["2022","3"]]},"language":"eng","page":"157-166","publisher-place":"England","title":"Gastrointestinal polyposis with associated cutaneous manifestations.","type":"article-journal","volume":"54"},"uris":["http://www.mendeley.com/documents/?uuid=3ec5d1a8-200c-40b9-8b55-d9b5e38382af"]}],"mendeley":{"formattedCitation":"[9]","plainTextFormattedCitation":"[9]","previouslyFormattedCitation":"[9]"},"properties":{"noteIndex":0},"schema":"https://github.com/citation-style-language/schema/raw/master/csl-citation.json"}</w:instrText>
      </w:r>
      <w:r w:rsidRPr="006D6EC6">
        <w:rPr>
          <w:szCs w:val="20"/>
        </w:rPr>
        <w:fldChar w:fldCharType="separate"/>
      </w:r>
      <w:r w:rsidR="00A92055" w:rsidRPr="006D6EC6">
        <w:rPr>
          <w:noProof/>
          <w:szCs w:val="20"/>
        </w:rPr>
        <w:t>[9]</w:t>
      </w:r>
      <w:r w:rsidRPr="006D6EC6">
        <w:rPr>
          <w:szCs w:val="20"/>
        </w:rPr>
        <w:fldChar w:fldCharType="end"/>
      </w:r>
      <w:r w:rsidRPr="006D6EC6">
        <w:rPr>
          <w:szCs w:val="20"/>
        </w:rPr>
        <w:t xml:space="preserve"> and diffuse gastric and lobular breast cancer syndrome </w:t>
      </w:r>
      <w:r w:rsidRPr="006D6EC6">
        <w:rPr>
          <w:szCs w:val="20"/>
        </w:rPr>
        <w:fldChar w:fldCharType="begin" w:fldLock="1"/>
      </w:r>
      <w:r w:rsidR="0066732E" w:rsidRPr="006D6EC6">
        <w:rPr>
          <w:szCs w:val="20"/>
        </w:rPr>
        <w:instrText>ADDIN CSL_CITATION {"citationItems":[{"id":"ITEM-1","itemData":{"DOI":"10.1016/S1470-2045(20)30219-9","ISSN":"1470-2045","abstract":"Hereditary diffuse gastric cancer (HDGC) is an autosomal dominant cancer syndrome that is characterised by a high prevalence of diffuse gastric cancer and lobular breast cancer. It is largely caused by inactivating germline mutations in the tumour suppressor gene CDH1, although pathogenic variants in CTNNA1 occur in a minority of families with HDGC. In this Policy Review, we present updated clinical practice guidelines for HDGC from the International Gastric Cancer Linkage Consortium (IGCLC), which recognise the emerging evidence of variability in gastric cancer risk between families with HDGC, the growing capability of endoscopic and histological surveillance in HDGC, and increased experience of managing long-term sequelae of total gastrectomy in young patients. To redress the balance between the accessibility, cost, and acceptance of genetic testing and the increased identification of pathogenic variant carriers, the HDGC genetic testing criteria have been relaxed, mainly through less restrictive age limits. Prophylactic total gastrectomy remains the recommended option for gastric cancer risk management in pathogenic CDH1 variant carriers. However, there is increasing confidence from the IGCLC that endoscopic surveillance in expert centres can be safely offered to patients who wish to postpone surgery, or to those whose risk of developing gastric cancer is not well defined.","author":[{"dropping-particle":"","family":"Blair","given":"Vanessa R","non-dropping-particle":"","parse-names":false,"suffix":""},{"dropping-particle":"","family":"McLeod","given":"Maybelle","non-dropping-particle":"","parse-names":false,"suffix":""},{"dropping-particle":"","family":"Carneiro","given":"Fátima","non-dropping-particle":"","parse-names":false,"suffix":""},{"dropping-particle":"","family":"Coit","given":"Daniel G","non-dropping-particle":"","parse-names":false,"suffix":""},{"dropping-particle":"","family":"D'Addario","given":"Johanna L","non-dropping-particle":"","parse-names":false,"suffix":""},{"dropping-particle":"","family":"Dieren","given":"Jolanda M","non-dropping-particle":"van","parse-names":false,"suffix":""},{"dropping-particle":"","family":"Harris","given":"Kirsty L","non-dropping-particle":"","parse-names":false,"suffix":""},{"dropping-particle":"","family":"Hoogerbrugge","given":"Nicoline","non-dropping-particle":"","parse-names":false,"suffix":""},{"dropping-particle":"","family":"Oliveira","given":"Carla","non-dropping-particle":"","parse-names":false,"suffix":""},{"dropping-particle":"","family":"Post","given":"Rachel S","non-dropping-particle":"van der","parse-names":false,"suffix":""},{"dropping-particle":"","family":"Arnold","given":"Julie","non-dropping-particle":"","parse-names":false,"suffix":""},{"dropping-particle":"","family":"Benusiglio","given":"Patrick R","non-dropping-particle":"","parse-names":false,"suffix":""},{"dropping-particle":"","family":"Bisseling","given":"Tanya M","non-dropping-particle":"","parse-names":false,"suffix":""},{"dropping-particle":"","family":"Boussioutas","given":"Alex","non-dropping-particle":"","parse-names":false,"suffix":""},{"dropping-particle":"","family":"Cats","given":"Annemieke","non-dropping-particle":"","parse-names":false,"suffix":""},{"dropping-particle":"","family":"Charlton","given":"Amanda","non-dropping-particle":"","parse-names":false,"suffix":""},{"dropping-particle":"","family":"Schreiber","given":"Karen E Chelcun","non-dropping-particle":"","parse-names":false,"suffix":""},{"dropping-particle":"","family":"Davis","given":"Jeremy L","non-dropping-particle":"","parse-names":false,"suffix":""},{"dropping-particle":"di","family":"Pietro","given":"Massimiliano","non-dropping-particle":"","parse-names":false,"suffix":""},{"dropping-particle":"","family":"Fitzgerald","given":"Rebecca C","non-dropping-particle":"","parse-names":false,"suffix":""},{"dropping-particle":"","family":"Ford","given":"James M","non-dropping-particle":"","parse-names":false,"suffix":""},{"dropping-particle":"","family":"Gamet","given":"Kimberley","non-dropping-particle":"","parse-names":false,"suffix":""},{"dropping-particle":"","family":"Gullo","given":"Irene","non-dropping-particle":"","parse-names":false,"suffix":""},{"dropping-particle":"","family":"Hardwick","given":"Richard H","non-dropping-particle":"","parse-names":false,"suffix":""},{"dropping-particle":"","family":"Huntsman","given":"David G","non-dropping-particle":"","parse-names":false,"suffix":""},{"dropping-particle":"","family":"Kaurah","given":"Pardeep","non-dropping-particle":"","parse-names":false,"suffix":""},{"dropping-particle":"","family":"Kupfer","given":"Sonia S","non-dropping-particle":"","parse-names":false,"suffix":""},{"dropping-particle":"","family":"Latchford","given":"Andrew","non-dropping-particle":"","parse-names":false,"suffix":""},{"dropping-particle":"","family":"Mansfield","given":"Paul F","non-dropping-particle":"","parse-names":false,"suffix":""},{"dropping-particle":"","family":"Nakajima","given":"Takeshi","non-dropping-particle":"","parse-names":false,"suffix":""},{"dropping-particle":"","family":"Parry","given":"Susan","non-dropping-particle":"","parse-names":false,"suffix":""},{"dropping-particle":"","family":"Rossaak","given":"Jeremy","non-dropping-particle":"","parse-names":false,"suffix":""},{"dropping-particle":"","family":"Sugimura","given":"Haruhiko","non-dropping-particle":"","parse-names":false,"suffix":""},{"dropping-particle":"","family":"Svrcek","given":"Magali","non-dropping-particle":"","parse-names":false,"suffix":""},{"dropping-particle":"","family":"Tischkowitz","given":"Marc","non-dropping-particle":"","parse-names":false,"suffix":""},{"dropping-particle":"","family":"Ushijima","given":"Toshikazu","non-dropping-particle":"","parse-names":false,"suffix":""},{"dropping-particle":"","family":"Yamada","given":"Hidetaka","non-dropping-particle":"","parse-names":false,"suffix":""},{"dropping-particle":"","family":"Yang","given":"Han-Kwang","non-dropping-particle":"","parse-names":false,"suffix":""},{"dropping-particle":"","family":"Claydon","given":"Adrian","non-dropping-particle":"","parse-names":false,"suffix":""},{"dropping-particle":"","family":"Figueiredo","given":"Joana","non-dropping-particle":"","parse-names":false,"suffix":""},{"dropping-particle":"","family":"Paringatai","given":"Karyn","non-dropping-particle":"","parse-names":false,"suffix":""},{"dropping-particle":"","family":"Seruca","given":"Raquel","non-dropping-particle":"","parse-names":false,"suffix":""},{"dropping-particle":"","family":"Bougen-Zhukov","given":"Nicola","non-dropping-particle":"","parse-names":false,"suffix":""},{"dropping-particle":"","family":"Brew","given":"Tom","non-dropping-particle":"","parse-names":false,"suffix":""},{"dropping-particle":"","family":"Busija","given":"Simone","non-dropping-particle":"","parse-names":false,"suffix":""},{"dropping-particle":"","family":"Carneiro","given":"Patricia","non-dropping-particle":"","parse-names":false,"suffix":""},{"dropping-particle":"","family":"DeGregorio","given":"Lynn","non-dropping-particle":"","parse-names":false,"suffix":""},{"dropping-particle":"","family":"Fisher","given":"Helen","non-dropping-particle":"","parse-names":false,"suffix":""},{"dropping-particle":"","family":"Gardner","given":"Erin","non-dropping-particle":"","parse-names":false,"suffix":""},{"dropping-particle":"","family":"Godwin","given":"Tanis D","non-dropping-particle":"","parse-names":false,"suffix":""},{"dropping-particle":"","family":"Holm","given":"Katharine N","non-dropping-particle":"","parse-names":false,"suffix":""},{"dropping-particle":"","family":"Humar","given":"Bostjan","non-dropping-particle":"","parse-names":false,"suffix":""},{"dropping-particle":"","family":"Lintott","given":"Caroline J","non-dropping-particle":"","parse-names":false,"suffix":""},{"dropping-particle":"","family":"Monroe","given":"Elizabeth C","non-dropping-particle":"","parse-names":false,"suffix":""},{"dropping-particle":"","family":"Muller","given":"Mark D","non-dropping-particle":"","parse-names":false,"suffix":""},{"dropping-particle":"","family":"Norero","given":"Enrique","non-dropping-particle":"","parse-names":false,"suffix":""},{"dropping-particle":"","family":"Nouri","given":"Yasmin","non-dropping-particle":"","parse-names":false,"suffix":""},{"dropping-particle":"","family":"Paredes","given":"Joana","non-dropping-particle":"","parse-names":false,"suffix":""},{"dropping-particle":"","family":"Sanches","given":"João M","non-dropping-particle":"","parse-names":false,"suffix":""},{"dropping-particle":"","family":"Schulpen","given":"Emily","non-dropping-particle":"","parse-names":false,"suffix":""},{"dropping-particle":"","family":"Ribeiro","given":"Ana S","non-dropping-particle":"","parse-names":false,"suffix":""},{"dropping-particle":"","family":"Sporle","given":"Andrew","non-dropping-particle":"","parse-names":false,"suffix":""},{"dropping-particle":"","family":"Whitworth","given":"James","non-dropping-particle":"","parse-names":false,"suffix":""},{"dropping-particle":"","family":"Zhang","given":"Liying","non-dropping-particle":"","parse-names":false,"suffix":""},{"dropping-particle":"","family":"Reeve","given":"Anthony E","non-dropping-particle":"","parse-names":false,"suffix":""},{"dropping-particle":"","family":"Guilford","given":"Parry","non-dropping-particle":"","parse-names":false,"suffix":""}],"container-title":"The Lancet Oncology","id":"ITEM-1","issue":"8","issued":{"date-parts":[["2020","8","1"]]},"note":"doi: 10.1016/S1470-2045(20)30219-9","page":"e386-e397","publisher":"Elsevier","title":"Hereditary diffuse gastric cancer: updated clinical practice guidelines","type":"article-journal","volume":"21"},"uris":["http://www.mendeley.com/documents/?uuid=d306870d-7b1e-4c6a-a610-01c91722273e"]}],"mendeley":{"formattedCitation":"[10]","plainTextFormattedCitation":"[10]","previouslyFormattedCitation":"[10]"},"properties":{"noteIndex":0},"schema":"https://github.com/citation-style-language/schema/raw/master/csl-citation.json"}</w:instrText>
      </w:r>
      <w:r w:rsidRPr="006D6EC6">
        <w:rPr>
          <w:szCs w:val="20"/>
        </w:rPr>
        <w:fldChar w:fldCharType="separate"/>
      </w:r>
      <w:r w:rsidR="00A92055" w:rsidRPr="006D6EC6">
        <w:rPr>
          <w:noProof/>
          <w:szCs w:val="20"/>
        </w:rPr>
        <w:t>[10]</w:t>
      </w:r>
      <w:r w:rsidRPr="006D6EC6">
        <w:rPr>
          <w:szCs w:val="20"/>
        </w:rPr>
        <w:fldChar w:fldCharType="end"/>
      </w:r>
      <w:r w:rsidRPr="006D6EC6">
        <w:rPr>
          <w:szCs w:val="20"/>
        </w:rPr>
        <w:t xml:space="preserve">, respectively. In contrast, pathogenic variants in </w:t>
      </w:r>
      <w:r w:rsidRPr="006D6EC6">
        <w:rPr>
          <w:i/>
          <w:iCs/>
          <w:szCs w:val="20"/>
        </w:rPr>
        <w:t>ATM</w:t>
      </w:r>
      <w:r w:rsidRPr="006D6EC6">
        <w:rPr>
          <w:szCs w:val="20"/>
        </w:rPr>
        <w:t xml:space="preserve"> and </w:t>
      </w:r>
      <w:r w:rsidRPr="006D6EC6">
        <w:rPr>
          <w:i/>
          <w:iCs/>
          <w:szCs w:val="20"/>
        </w:rPr>
        <w:t>CHEK2</w:t>
      </w:r>
      <w:r w:rsidRPr="006D6EC6">
        <w:rPr>
          <w:szCs w:val="20"/>
        </w:rPr>
        <w:t xml:space="preserve"> generally confer moderate breast cancer risk, although the magnitude of risk may vary according to the specific variant and family history. </w:t>
      </w:r>
      <w:r w:rsidRPr="006D6EC6">
        <w:rPr>
          <w:i/>
          <w:iCs/>
          <w:szCs w:val="20"/>
        </w:rPr>
        <w:t>RAD51C</w:t>
      </w:r>
      <w:r w:rsidRPr="006D6EC6">
        <w:rPr>
          <w:szCs w:val="20"/>
        </w:rPr>
        <w:t xml:space="preserve"> and </w:t>
      </w:r>
      <w:r w:rsidRPr="006D6EC6">
        <w:rPr>
          <w:i/>
          <w:iCs/>
          <w:szCs w:val="20"/>
        </w:rPr>
        <w:t>RAD51D</w:t>
      </w:r>
      <w:r w:rsidRPr="006D6EC6">
        <w:rPr>
          <w:szCs w:val="20"/>
        </w:rPr>
        <w:t xml:space="preserve"> are moderate-penetrance susceptibility genes for </w:t>
      </w:r>
      <w:proofErr w:type="spellStart"/>
      <w:r w:rsidRPr="006D6EC6">
        <w:rPr>
          <w:szCs w:val="20"/>
        </w:rPr>
        <w:t>tubo</w:t>
      </w:r>
      <w:proofErr w:type="spellEnd"/>
      <w:r w:rsidRPr="006D6EC6">
        <w:rPr>
          <w:szCs w:val="20"/>
        </w:rPr>
        <w:t xml:space="preserve">-ovarian cancer and also confer a more modest, subtype-dependent increase in breast cancer risk, particularly for </w:t>
      </w:r>
      <w:proofErr w:type="spellStart"/>
      <w:r w:rsidRPr="006D6EC6">
        <w:rPr>
          <w:szCs w:val="20"/>
        </w:rPr>
        <w:t>oestrogen</w:t>
      </w:r>
      <w:proofErr w:type="spellEnd"/>
      <w:r w:rsidRPr="006D6EC6">
        <w:rPr>
          <w:szCs w:val="20"/>
        </w:rPr>
        <w:t xml:space="preserve"> receptor-negative and triple-negative disease </w:t>
      </w:r>
      <w:r w:rsidRPr="006D6EC6">
        <w:rPr>
          <w:szCs w:val="20"/>
        </w:rPr>
        <w:fldChar w:fldCharType="begin" w:fldLock="1"/>
      </w:r>
      <w:r w:rsidR="0066732E" w:rsidRPr="006D6EC6">
        <w:rPr>
          <w:szCs w:val="20"/>
        </w:rPr>
        <w:instrText>ADDIN CSL_CITATION {"citationItems":[{"id":"ITEM-1","itemData":{"DOI":"10.3390/cancers14092251","ISSN":"2072-6694 (Print)","PMID":"35565380","abstract":"To identify candidate variants in RAD51C and RAD51D ovarian cancer (OC)  predisposing genes by investigating French Canadians (FC) exhibiting unique genetic architecture. Candidates were identified by whole exome sequencing analysis of 17 OC families and 53 early-onset OC cases. Carrier frequencies were determined by the genetic analysis of 100 OC or HBOC families, 438 sporadic OC cases and 1025 controls. Variants of unknown function were assayed for their biological impact and/or cellular sensitivity to olaparib. RAD51C c.414G&gt;C;p.Leu138Phe and c.705G&gt;T;p.Lys235Asn and RAD51D c.137C&gt;G;p.Ser46Cys, c.620C&gt;T;p.Ser207Leu and c.694C&gt;T;p.Arg232Ter were identified in 17.6% of families and 11.3% of early-onset cases. The highest carrier frequency was observed in OC families (1/44, 2.3%) and sporadic cases (15/438, 3.4%) harbouring RAD51D c.620C&gt;T versus controls (1/1025, 0.1%). Carriers of c.620C&gt;T (n = 7), c.705G&gt;T (n = 2) and c.137C&gt;G (n = 1) were identified in another 538 FC OC cases. RAD51C c.705G&gt;T affected splicing by skipping exon four, while RAD51D p.Ser46Cys affected protein stability and conferred olaparib sensitivity. Genetic and functional assays implicate RAD51C c.705G&gt;T and RAD51D c.137C&gt;G as likely pathogenic variants in OC. The high carrier frequency of RAD51D c.620C&gt;T in FC OC cases validates previous findings. Our findings further support the role of RAD51C and RAD51D in hereditary OC.","author":[{"dropping-particle":"","family":"Alenezi","given":"Wejdan M","non-dropping-particle":"","parse-names":false,"suffix":""},{"dropping-particle":"","family":"Milano","given":"Larissa","non-dropping-particle":"","parse-names":false,"suffix":""},{"dropping-particle":"","family":"Fierheller","given":"Caitlin T","non-dropping-particle":"","parse-names":false,"suffix":""},{"dropping-particle":"","family":"Serruya","given":"Corinne","non-dropping-particle":"","parse-names":false,"suffix":""},{"dropping-particle":"","family":"Revil","given":"Timothée","non-dropping-particle":"","parse-names":false,"suffix":""},{"dropping-particle":"","family":"Oros","given":"Kathleen K","non-dropping-particle":"","parse-names":false,"suffix":""},{"dropping-particle":"","family":"Behl","given":"Supriya","non-dropping-particle":"","parse-names":false,"suffix":""},{"dropping-particle":"","family":"Arcand","given":"Suzanna L","non-dropping-particle":"","parse-names":false,"suffix":""},{"dropping-particle":"","family":"Nayar","given":"Porangana","non-dropping-particle":"","parse-names":false,"suffix":""},{"dropping-particle":"","family":"Spiegelman","given":"Dan","non-dropping-particle":"","parse-names":false,"suffix":""},{"dropping-particle":"","family":"Gravel","given":"Simon","non-dropping-particle":"","parse-names":false,"suffix":""},{"dropping-particle":"","family":"Mes-Masson","given":"Anne-Marie","non-dropping-particle":"","parse-names":false,"suffix":""},{"dropping-particle":"","family":"Provencher","given":"Diane","non-dropping-particle":"","parse-names":false,"suffix":""},{"dropping-particle":"","family":"Foulkes","given":"William D","non-dropping-particle":"","parse-names":false,"suffix":""},{"dropping-particle":"","family":"Haffaf","given":"Zaki","non-dropping-particle":"El","parse-names":false,"suffix":""},{"dropping-particle":"","family":"Rouleau","given":"Guy","non-dropping-particle":"","parse-names":false,"suffix":""},{"dropping-particle":"","family":"Bouchard","given":"Luigi","non-dropping-particle":"","parse-names":false,"suffix":""},{"dropping-particle":"","family":"Greenwood","given":"Celia M T","non-dropping-particle":"","parse-names":false,"suffix":""},{"dropping-particle":"","family":"Masson","given":"Jean-Yves","non-dropping-particle":"","parse-names":false,"suffix":""},{"dropping-particle":"","family":"Ragoussis","given":"Jiannis","non-dropping-particle":"","parse-names":false,"suffix":""},{"dropping-particle":"","family":"Tonin","given":"Patricia N","non-dropping-particle":"","parse-names":false,"suffix":""}],"container-title":"Cancers","id":"ITEM-1","issue":"9","issued":{"date-parts":[["2022","4"]]},"language":"eng","publisher-place":"Switzerland","title":"The Genetic and Molecular Analyses of RAD51C and RAD51D Identifies Rare Variants  Implicated in Hereditary Ovarian Cancer from a Genetically Unique Population.","type":"article-journal","volume":"14"},"uris":["http://www.mendeley.com/documents/?uuid=0e7fec5a-c6e6-4d21-9e86-7616a52cdd48"]},{"id":"ITEM-2","itemData":{"DOI":"10.1093/jnci/djaa030","ISSN":"1460-2105 (Electronic)","PMID":"32107557","abstract":"BACKGROUND: The purpose of this study was to estimate precise age-specific  tubo-ovarian carcinoma (TOC) and breast cancer (BC) risks for carriers of pathogenic variants in RAD51C and RAD51D. METHODS: We analyzed data from 6178 families, 125 with pathogenic variants in RAD51C, and 6690 families, 60 with pathogenic variants in RAD51D. TOC and BC relative and cumulative risks were estimated using complex segregation analysis to model the cancer inheritance patterns in families while adjusting for the mode of ascertainment of each family. All statistical tests were two-sided. RESULTS: Pathogenic variants in both RAD51C and RAD51D were associated with TOC (RAD51C: relative risk [RR] = 7.55, 95% confidence interval [CI] = 5.60 to 10.19; P = 5 × 10-40; RAD51D: RR = 7.60, 95% CI = 5.61 to 10.30; P = 5 × 10-39) and BC (RAD51C: RR = 1.99, 95% CI = 1.39 to 2.85; P = 1.55 × 10-4; RAD51D: RR = 1.83, 95% CI = 1.24 to 2.72; P = .002). For both RAD51C and RAD51D, there was a suggestion that the TOC relative risks increased with age until around age 60 years and decreased thereafter. The estimated cumulative risks of developing TOC to age 80 years were 11% (95% CI = 6% to 21%) for RAD51C and 13% (95% CI = 7% to 23%) for RAD51D pathogenic variant carriers. The estimated cumulative risks of developing BC to 80 years were 21% (95% CI = 15% to 29%) for RAD51C and 20% (95% CI = 14% to 28%) for RAD51D pathogenic variant carriers. Both TOC and BC risks for RAD51C and RAD51D pathogenic variant carriers varied by cancer family history and could be as high as 32-36% for TOC, for carriers with two first-degree relatives diagnosed with TOC, or 44-46% for BC, for carriers with two first-degree relatives diagnosed with BC. CONCLUSIONS: These estimates will facilitate the genetic counseling of RAD51C and RAD51D pathogenic variant carriers and justify the incorporation of RAD51C and RAD51D into cancer risk prediction models.","author":[{"dropping-particle":"","family":"Yang","given":"Xin","non-dropping-particle":"","parse-names":false,"suffix":""},{"dropping-particle":"","family":"Song","given":"Honglin","non-dropping-particle":"","parse-names":false,"suffix":""},{"dropping-particle":"","family":"Leslie","given":"Goska","non-dropping-particle":"","parse-names":false,"suffix":""},{"dropping-particle":"","family":"Engel","given":"Christoph","non-dropping-particle":"","parse-names":false,"suffix":""},{"dropping-particle":"","family":"Hahnen","given":"Eric","non-dropping-particle":"","parse-names":false,"suffix":""},{"dropping-particle":"","family":"Auber","given":"Bernd","non-dropping-particle":"","parse-names":false,"suffix":""},{"dropping-particle":"","family":"Horváth","given":"Judit","non-dropping-particle":"","parse-names":false,"suffix":""},{"dropping-particle":"","family":"Kast","given":"Karin","non-dropping-particle":"","parse-names":false,"suffix":""},{"dropping-particle":"","family":"Niederacher","given":"Dieter","non-dropping-particle":"","parse-names":false,"suffix":""},{"dropping-particle":"","family":"Turnbull","given":"Clare","non-dropping-particle":"","parse-names":false,"suffix":""},{"dropping-particle":"","family":"Houlston","given":"Richard","non-dropping-particle":"","parse-names":false,"suffix":""},{"dropping-particle":"","family":"Hanson","given":"Helen","non-dropping-particle":"","parse-names":false,"suffix":""},{"dropping-particle":"","family":"Loveday","given":"Chey","non-dropping-particle":"","parse-names":false,"suffix":""},{"dropping-particle":"","family":"Dolinsky","given":"Jill S","non-dropping-particle":"","parse-names":false,"suffix":""},{"dropping-particle":"","family":"LaDuca","given":"Holly","non-dropping-particle":"","parse-names":false,"suffix":""},{"dropping-particle":"","family":"Ramus","given":"Susan J","non-dropping-particle":"","parse-names":false,"suffix":""},{"dropping-particle":"","family":"Menon","given":"Usha","non-dropping-particle":"","parse-names":false,"suffix":""},{"dropping-particle":"","family":"Rosenthal","given":"Adam N","non-dropping-particle":"","parse-names":false,"suffix":""},{"dropping-particle":"","family":"Jacobs","given":"Ian","non-dropping-particle":"","parse-names":false,"suffix":""},{"dropping-particle":"","family":"Gayther","given":"Simon A","non-dropping-particle":"","parse-names":false,"suffix":""},{"dropping-particle":"","family":"Dicks","given":"Ed","non-dropping-particle":"","parse-names":false,"suffix":""},{"dropping-particle":"","family":"Nevanlinna","given":"Heli","non-dropping-particle":"","parse-names":false,"suffix":""},{"dropping-particle":"","family":"Aittomäki","given":"Kristiina","non-dropping-particle":"","parse-names":false,"suffix":""},{"dropping-particle":"","family":"Pelttari","given":"Liisa M","non-dropping-particle":"","parse-names":false,"suffix":""},{"dropping-particle":"","family":"Ehrencrona","given":"Hans","non-dropping-particle":"","parse-names":false,"suffix":""},{"dropping-particle":"","family":"Borg","given":"Åke","non-dropping-particle":"","parse-names":false,"suffix":""},{"dropping-particle":"","family":"Kvist","given":"Anders","non-dropping-particle":"","parse-names":false,"suffix":""},{"dropping-particle":"","family":"Rivera","given":"Barbara","non-dropping-particle":"","parse-names":false,"suffix":""},{"dropping-particle":"","family":"Hansen","given":"Thomas V O","non-dropping-particle":"","parse-names":false,"suffix":""},{"dropping-particle":"","family":"Djursby","given":"Malene","non-dropping-particle":"","parse-names":false,"suffix":""},{"dropping-particle":"","family":"Lee","given":"Andrew","non-dropping-particle":"","parse-names":false,"suffix":""},{"dropping-particle":"","family":"Dennis","given":"Joe","non-dropping-particle":"","parse-names":false,"suffix":""},{"dropping-particle":"","family":"Bowtell","given":"David D","non-dropping-particle":"","parse-names":false,"suffix":""},{"dropping-particle":"","family":"Traficante","given":"Nadia","non-dropping-particle":"","parse-names":false,"suffix":""},{"dropping-particle":"","family":"Diez","given":"Orland","non-dropping-particle":"","parse-names":false,"suffix":""},{"dropping-particle":"","family":"Balmaña","given":"Judith","non-dropping-particle":"","parse-names":false,"suffix":""},{"dropping-particle":"","family":"Gruber","given":"Stephen B","non-dropping-particle":"","parse-names":false,"suffix":""},{"dropping-particle":"","family":"Chenevix-Trench","given":"Georgia","non-dropping-particle":"","parse-names":false,"suffix":""},{"dropping-particle":"","family":"Investigators","given":"kConFab","non-dropping-particle":"","parse-names":false,"suffix":""},{"dropping-particle":"","family":"Jensen","given":"Allan","non-dropping-particle":"","parse-names":false,"suffix":""},{"dropping-particle":"","family":"Kjær","given":"Susanne K","non-dropping-particle":"","parse-names":false,"suffix":""},{"dropping-particle":"","family":"Høgdall","given":"Estrid","non-dropping-particle":"","parse-names":false,"suffix":""},{"dropping-particle":"","family":"Castéra","given":"Laurent","non-dropping-particle":"","parse-names":false,"suffix":""},{"dropping-particle":"","family":"Garber","given":"Judy","non-dropping-particle":"","parse-names":false,"suffix":""},{"dropping-particle":"","family":"Janavicius","given":"Ramunas","non-dropping-particle":"","parse-names":false,"suffix":""},{"dropping-particle":"","family":"Osorio","given":"Ana","non-dropping-particle":"","parse-names":false,"suffix":""},{"dropping-particle":"","family":"Golmard","given":"Lisa","non-dropping-particle":"","parse-names":false,"suffix":""},{"dropping-particle":"","family":"Vega","given":"Ana","non-dropping-particle":"","parse-names":false,"suffix":""},{"dropping-particle":"","family":"Couch","given":"Fergus J","non-dropping-particle":"","parse-names":false,"suffix":""},{"dropping-particle":"","family":"Robson","given":"Mark","non-dropping-particle":"","parse-names":false,"suffix":""},{"dropping-particle":"","family":"Gronwald","given":"Jacek","non-dropping-particle":"","parse-names":false,"suffix":""},{"dropping-particle":"","family":"Domchek","given":"Susan M","non-dropping-particle":"","parse-names":false,"suffix":""},{"dropping-particle":"","family":"Culver","given":"Julie O","non-dropping-particle":"","parse-names":false,"suffix":""},{"dropping-particle":"","family":"la Hoya","given":"Miguel","non-dropping-particle":"de","parse-names":false,"suffix":""},{"dropping-particle":"","family":"Easton","given":"Douglas F","non-dropping-particle":"","parse-names":false,"suffix":""},{"dropping-particle":"","family":"Foulkes","given":"William D","non-dropping-particle":"","parse-names":false,"suffix":""},{"dropping-particle":"","family":"Tischkowitz","given":"Marc","non-dropping-particle":"","parse-names":false,"suffix":""},{"dropping-particle":"","family":"Meindl","given":"Alfons","non-dropping-particle":"","parse-names":false,"suffix":""},{"dropping-particle":"","family":"Schmutzler","given":"Rita K","non-dropping-particle":"","parse-names":false,"suffix":""},{"dropping-particle":"","family":"Pharoah","given":"Paul D P","non-dropping-particle":"","parse-names":false,"suffix":""},{"dropping-particle":"","family":"Antoniou","given":"Antonis C","non-dropping-particle":"","parse-names":false,"suffix":""}],"container-title":"Journal of the National Cancer Institute","id":"ITEM-2","issue":"12","issued":{"date-parts":[["2020","12"]]},"language":"eng","page":"1242-1250","publisher-place":"United States","title":"Ovarian and Breast Cancer Risks Associated With Pathogenic Variants in RAD51C and  RAD51D.","type":"article-journal","volume":"112"},"uris":["http://www.mendeley.com/documents/?uuid=d2438bcd-3e79-4161-8971-945428a48d10"]}],"mendeley":{"formattedCitation":"[11,12]","plainTextFormattedCitation":"[11,12]","previouslyFormattedCitation":"[11,12]"},"properties":{"noteIndex":0},"schema":"https://github.com/citation-style-language/schema/raw/master/csl-citation.json"}</w:instrText>
      </w:r>
      <w:r w:rsidRPr="006D6EC6">
        <w:rPr>
          <w:szCs w:val="20"/>
        </w:rPr>
        <w:fldChar w:fldCharType="separate"/>
      </w:r>
      <w:r w:rsidR="00A92055" w:rsidRPr="006D6EC6">
        <w:rPr>
          <w:noProof/>
          <w:szCs w:val="20"/>
        </w:rPr>
        <w:t>[11,12]</w:t>
      </w:r>
      <w:r w:rsidRPr="006D6EC6">
        <w:rPr>
          <w:szCs w:val="20"/>
        </w:rPr>
        <w:fldChar w:fldCharType="end"/>
      </w:r>
      <w:r w:rsidRPr="006D6EC6">
        <w:rPr>
          <w:szCs w:val="20"/>
        </w:rPr>
        <w:t xml:space="preserve">. In contrast, </w:t>
      </w:r>
      <w:r w:rsidRPr="006D6EC6">
        <w:rPr>
          <w:i/>
          <w:iCs/>
          <w:szCs w:val="20"/>
        </w:rPr>
        <w:t>BARD1</w:t>
      </w:r>
      <w:r w:rsidRPr="006D6EC6">
        <w:rPr>
          <w:szCs w:val="20"/>
        </w:rPr>
        <w:t xml:space="preserve"> is primarily a moderate-penetrance breast cancer susceptibility gene, with no established association with ovarian cancer, whereas BRIP1 is an established </w:t>
      </w:r>
      <w:proofErr w:type="spellStart"/>
      <w:r w:rsidRPr="006D6EC6">
        <w:rPr>
          <w:szCs w:val="20"/>
        </w:rPr>
        <w:t>tubo</w:t>
      </w:r>
      <w:proofErr w:type="spellEnd"/>
      <w:r w:rsidRPr="006D6EC6">
        <w:rPr>
          <w:szCs w:val="20"/>
        </w:rPr>
        <w:t>-ovarian cancer susceptibility gene and is not currently considered a breast cancer predisposition gene.</w:t>
      </w:r>
    </w:p>
    <w:p w14:paraId="04116B96" w14:textId="77777777" w:rsidR="00083AA0" w:rsidRPr="006D6EC6" w:rsidRDefault="00083AA0" w:rsidP="00CD0244">
      <w:pPr>
        <w:pStyle w:val="MDPI31text"/>
        <w:rPr>
          <w:szCs w:val="20"/>
        </w:rPr>
      </w:pPr>
      <w:r w:rsidRPr="006D6EC6">
        <w:rPr>
          <w:szCs w:val="20"/>
        </w:rPr>
        <w:t>Next-generation sequencing-based multigene panels have broadened the diagnostic scope of hereditary cancer testing but have also increased the detection of variants of uncertain significance (VUS), most of which are missense substitutions. Expert groups such as the Evidence-based Network for the Interpretation of Germline Mutant Alleles (ENIGMA) and the Clinical Genome Resource (</w:t>
      </w:r>
      <w:proofErr w:type="spellStart"/>
      <w:r w:rsidRPr="006D6EC6">
        <w:rPr>
          <w:szCs w:val="20"/>
        </w:rPr>
        <w:t>ClinGen</w:t>
      </w:r>
      <w:proofErr w:type="spellEnd"/>
      <w:r w:rsidRPr="006D6EC6">
        <w:rPr>
          <w:szCs w:val="20"/>
        </w:rPr>
        <w:t xml:space="preserve">) improve interpretive consistency through gene-specific integration of population, segregation, case–control, functional, and clinical evidence; however, expert curation remains resource-intensive and uneven across genes </w:t>
      </w:r>
      <w:r w:rsidRPr="006D6EC6">
        <w:rPr>
          <w:szCs w:val="20"/>
        </w:rPr>
        <w:fldChar w:fldCharType="begin" w:fldLock="1"/>
      </w:r>
      <w:r w:rsidR="0066732E" w:rsidRPr="006D6EC6">
        <w:rPr>
          <w:szCs w:val="20"/>
        </w:rPr>
        <w:instrText>ADDIN CSL_CITATION {"citationItems":[{"id":"ITEM-1","itemData":{"DOI":"10.1093/clinchem/hvaf177","ISSN":"0009-9147","PMID":"41499258","abstract":"DOI: 10.1093/clinchem/hvaf177; Clinical Chemistry, 72, 2, 2026-01-7.; Abstract:  Background: Germline loss-of-function variants in BRCA1 and BRCA2 are established drivers of hereditary breast and ovarian cancer, often acting through aberrant splicing. However, not all spliceogenic changes are pathogenic, and many variants remain classified as uncertain due to insufficient experimental evidence and challenges in applying the ACMG/AMP variant interpretation framework to splicing alterations. Methods: In this study, we examined the splicing outcomes of 17 variants—10 in BRCA1 [c.135-2A&gt;G; c.135-5T&gt;C; c.5074+1G&gt;C; c.5332+2_5332+4del; c.5333-8C&gt;T; c.5335C&gt;G p.(Gln1779Glu); c.302-24_302-22del; c.302-23A&gt;G; c.547+57T&gt;C; c.4096+34C&gt;G] and 7 in BRCA2 [c.-39-5delT; c.67+3A&gt;G; c.425G&gt;A p.(Ser142Asn); c.425G&gt;T p.(Ser142Ile); c.517-13_517-9del; c.681+5G&gt;C; c.67+84_67+85del]—identified in families with suspected hereditary breast and/or ovarian cancer. Depending on sample availability, we assessed splicing either on carrier-derived mRNA or via splicing-reporter minigene assay. Results: Eight variants triggered aberrant splicing, while 9 showed no spliceogenic effect. Our findings, combined in some cases with previously published data, allowed us to apply the PVS1_(RNA) criterion at full strength to some variants. For others, residual full-length transcripts or in-frame mis-spliced isoforms precluded full application of PVS1_(RNA). Conclusions: Following ClinGen ENIGMA BRCA1 and BRCA2 Variant Curation Expert Panel specifications based on ACMG/AMP guidelines, we classified 4 variants as pathogenic or likely pathogenic, 10 as benign or likely benign, and 3 as uncertain significance. This comprehensive analysis of splicing defects refines the clinical classification of BRCA1 and BRCA2 variants and highlights the value of combining experimental and computational evidence to enhance genetic risk assessment in hereditary cancer.","author":[{"dropping-particle":"","family":"Santamariña","given":"Marta","non-dropping-particle":"","parse-names":false,"suffix":""},{"dropping-particle":"","family":"Fuentes-Ríos","given":"Olivia","non-dropping-particle":"","parse-names":false,"suffix":""},{"dropping-particle":"","family":"Blanco-Pérez","given":"Ana","non-dropping-particle":"","parse-names":false,"suffix":""},{"dropping-particle":"","family":"Rodríguez-Lage","given":"Belinda","non-dropping-particle":"","parse-names":false,"suffix":""},{"dropping-particle":"","family":"Crujeiras-González","given":"Ana","non-dropping-particle":"","parse-names":false,"suffix":""},{"dropping-particle":"","family":"Sánchez de Abajo","given":"Ana María","non-dropping-particle":"","parse-names":false,"suffix":""},{"dropping-particle":"","family":"Galego-Carro","given":"Javier","non-dropping-particle":"","parse-names":false,"suffix":""},{"dropping-particle":"","family":"Coedo-Costa","given":"Carla","non-dropping-particle":"","parse-names":false,"suffix":""},{"dropping-particle":"","family":"Aguado-Barrera","given":"Miguel E","non-dropping-particle":"","parse-names":false,"suffix":""},{"dropping-particle":"","family":"Sampayo","given":"Victoria","non-dropping-particle":"","parse-names":false,"suffix":""},{"dropping-particle":"","family":"Carracedo","given":"Ángel","non-dropping-particle":"","parse-names":false,"suffix":""},{"dropping-particle":"","family":"la Hoya","given":"Miguel","non-dropping-particle":"de","parse-names":false,"suffix":""},{"dropping-particle":"","family":"Vega","given":"Ana","non-dropping-particle":"","parse-names":false,"suffix":""}],"container-title":"Clinical Chemistry","id":"ITEM-1","issue":"2","issued":{"date-parts":[["2026"]]},"page":"266-280","publisher":"Oxford University Press","title":" Splicing Predictions, Splicing Assays, and Variant Classification Using ACMG/AMP Guidelines: Challenges Observed with BRCA1 and BRCA2 Variants ","type":"article-journal","volume":"72"},"uris":["http://www.mendeley.com/documents/?uuid=2fe08d3d-87d1-407b-a7b6-c463f70a5629"]},{"id":"ITEM-2","itemData":{"DOI":"10.1038/s41467-025-59979-6","ISSN":"20411723","PMID":"40413188","abstract":"Clinical genetic testing identifies variants causal for hereditary cancer, information that is used for risk assessment and clinical management. Unfortunately, some variants identified are of uncertain clinical significance (VUS), complicating patient management. Case-control data is one evidence type used to classify VUS. As an initiative of the Evidence-based Network for the Interpretation of Germline Mutant Alleles (ENIGMA) Analytical Working Group we analyze germline sequencing data of BRCA1 and BRCA2 from 96,691 female breast cancer cases and 302,116 controls from three studies: the BRIDGES study of the Breast Cancer Association Consortium, the Cancer Risk Estimates Related to Susceptibility consortium, and the UK Biobank. We observe 11,207 BRCA1 and BRCA2 variants, with 6909 being coding, covering 23.4% of BRCA1 and BRCA2 VUS in ClinVar and 19.2% of ClinVar curated (likely) benign or pathogenic variants. Case-control likelihood ratio (ccLR) evidence is highly consistent with ClinVar assertions for (likely) benign or pathogenic variants; exhibiting 99.1% sensitivity and 95.3% specificity for BRCA1 and 93.3% sensitivity and 86.6% specificity for BRCA2. This approach provides case-control evidence for 787 unclassified variants; these include 579 with strong or moderate benign evidence and 10 with strong pathogenic evidence for which ccLR evidence is sufficient to alter clinical classification.","author":[{"dropping-particle":"","family":"Zanti","given":"Maria","non-dropping-particle":"","parse-names":false,"suffix":""},{"dropping-particle":"","family":"O’Mahony","given":"Denise G.","non-dropping-particle":"","parse-names":false,"suffix":""},{"dropping-particle":"","family":"Parsons","given":"Michael T.","non-dropping-particle":"","parse-names":false,"suffix":""},{"dropping-particle":"","family":"Dorling","given":"Leila","non-dropping-particle":"","parse-names":false,"suffix":""},{"dropping-particle":"","family":"Dennis","given":"Joe","non-dropping-particle":"","parse-names":false,"suffix":""},{"dropping-particle":"","family":"Boddicker","given":"Nicholas J.","non-dropping-particle":"","parse-names":false,"suffix":""},{"dropping-particle":"","family":"Chen","given":"Wenan","non-dropping-particle":"","parse-names":false,"suffix":""},{"dropping-particle":"","family":"Hu","given":"Chunling","non-dropping-particle":"","parse-names":false,"suffix":""},{"dropping-particle":"","family":"Naven","given":"Marc","non-dropping-particle":"","parse-names":false,"suffix":""},{"dropping-particle":"","family":"Yiangou","given":"Kristia","non-dropping-particle":"","parse-names":false,"suffix":""},{"dropping-particle":"","family":"Ahearn","given":"Thomas U.","non-dropping-particle":"","parse-names":false,"suffix":""},{"dropping-particle":"","family":"Ambrosone","given":"Christine B.","non-dropping-particle":"","parse-names":false,"suffix":""},{"dropping-particle":"","family":"Andrulis","given":"Irene L.","non-dropping-particle":"","parse-names":false,"suffix":""},{"dropping-particle":"","family":"Antoniou","given":"Antonis C.","non-dropping-particle":"","parse-names":false,"suffix":""},{"dropping-particle":"","family":"Auer","given":"Paul L.","non-dropping-particle":"","parse-names":false,"suffix":""},{"dropping-particle":"","family":"Baynes","given":"Caroline","non-dropping-particle":"","parse-names":false,"suffix":""},{"dropping-particle":"","family":"Bodelon","given":"Clara","non-dropping-particle":"","parse-names":false,"suffix":""},{"dropping-particle":"V.","family":"Bogdanova","given":"Natalia","non-dropping-particle":"","parse-names":false,"suffix":""},{"dropping-particle":"","family":"Bojesen","given":"Stig E.","non-dropping-particle":"","parse-names":false,"suffix":""},{"dropping-particle":"","family":"Bolla","given":"Manjeet K.","non-dropping-particle":"","parse-names":false,"suffix":""},{"dropping-particle":"","family":"Brantley","given":"Kristen D.","non-dropping-particle":"","parse-names":false,"suffix":""},{"dropping-particle":"","family":"Camp","given":"Nicola J.","non-dropping-particle":"","parse-names":false,"suffix":""},{"dropping-particle":"","family":"Campbell","given":"Archie","non-dropping-particle":"","parse-names":false,"suffix":""},{"dropping-particle":"","family":"Castelao","given":"Jose E.","non-dropping-particle":"","parse-names":false,"suffix":""},{"dropping-particle":"","family":"Cessna","given":"Melissa H.","non-dropping-particle":"","parse-names":false,"suffix":""},{"dropping-particle":"","family":"Chang-Claude","given":"Jenny","non-dropping-particle":"","parse-names":false,"suffix":""},{"dropping-particle":"","family":"Chen","given":"Fei","non-dropping-particle":"","parse-names":false,"suffix":""},{"dropping-particle":"","family":"Chenevix-Trench","given":"Georgia","non-dropping-particle":"","parse-names":false,"suffix":""},{"dropping-particle":"","family":"Kristensen","given":"Vessela N.","non-dropping-particle":"","parse-names":false,"suffix":""},{"dropping-particle":"","family":"Conroy","given":"Don M.","non-dropping-particle":"","parse-names":false,"suffix":""},{"dropping-particle":"","family":"Czene","given":"Kamila","non-dropping-particle":"","parse-names":false,"suffix":""},{"dropping-particle":"","family":"Nicolo","given":"Arcangela","non-dropping-particle":"De","parse-names":false,"suffix":""},{"dropping-particle":"","family":"Domchek","given":"Susan M.","non-dropping-particle":"","parse-names":false,"suffix":""},{"dropping-particle":"","family":"Dörk","given":"Thilo","non-dropping-particle":"","parse-names":false,"suffix":""},{"dropping-particle":"","family":"Dunning","given":"Alison M.","non-dropping-particle":"","parse-names":false,"suffix":""},{"dropping-particle":"","family":"Eliassen","given":"A. Heather","non-dropping-particle":"","parse-names":false,"suffix":""},{"dropping-particle":"","family":"Evans","given":"D. Gareth","non-dropping-particle":"","parse-names":false,"suffix":""},{"dropping-particle":"","family":"Fasching","given":"Peter A.","non-dropping-particle":"","parse-names":false,"suffix":""},{"dropping-particle":"","family":"Figueroa","given":"Jonine D.","non-dropping-particle":"","parse-names":false,"suffix":""},{"dropping-particle":"","family":"Flyger","given":"Henrik","non-dropping-particle":"","parse-names":false,"suffix":""},{"dropping-particle":"","family":"Gago-Dominguez","given":"Manuela","non-dropping-particle":"","parse-names":false,"suffix":""},{"dropping-particle":"","family":"García-Closas","given":"Montserrat","non-dropping-particle":"","parse-names":false,"suffix":""},{"dropping-particle":"","family":"Glendon","given":"Gord","non-dropping-particle":"","parse-names":false,"suffix":""},{"dropping-particle":"","family":"González-Neira","given":"Anna","non-dropping-particle":"","parse-names":false,"suffix":""},{"dropping-particle":"","family":"Grassmann","given":"Felix","non-dropping-particle":"","parse-names":false,"suffix":""},{"dropping-particle":"","family":"Hadjisavvas","given":"Andreas","non-dropping-particle":"","parse-names":false,"suffix":""},{"dropping-particle":"","family":"Haiman","given":"Christopher A.","non-dropping-particle":"","parse-names":false,"suffix":""},{"dropping-particle":"","family":"Hamann","given":"Ute","non-dropping-particle":"","parse-names":false,"suffix":""},{"dropping-particle":"","family":"Hart","given":"Steven N.","non-dropping-particle":"","parse-names":false,"suffix":""},{"dropping-particle":"","family":"Hartman","given":"Mikael B.A.","non-dropping-particle":"","parse-names":false,"suffix":""},{"dropping-particle":"","family":"Ho","given":"Weang Kee","non-dropping-particle":"","parse-names":false,"suffix":""},{"dropping-particle":"","family":"Hodge","given":"James M.","non-dropping-particle":"","parse-names":false,"suffix":""},{"dropping-particle":"","family":"Hoppe","given":"Reiner","non-dropping-particle":"","parse-names":false,"suffix":""},{"dropping-particle":"","family":"Howell","given":"Sacha J.","non-dropping-particle":"","parse-names":false,"suffix":""},{"dropping-particle":"","family":"Jakubowska","given":"Anna","non-dropping-particle":"","parse-names":false,"suffix":""},{"dropping-particle":"","family":"Khusnutdinova","given":"Elza K.","non-dropping-particle":"","parse-names":false,"suffix":""},{"dropping-particle":"","family":"Ko","given":"Yon Dschun","non-dropping-particle":"","parse-names":false,"suffix":""},{"dropping-particle":"","family":"Kraft","given":"Peter","non-dropping-particle":"","parse-names":false,"suffix":""},{"dropping-particle":"","family":"Kristensen","given":"Vessela N.","non-dropping-particle":"","parse-names":false,"suffix":""},{"dropping-particle":"V.","family":"Lacey","given":"James","non-dropping-particle":"","parse-names":false,"suffix":""},{"dropping-particle":"","family":"Li","given":"Jingmei","non-dropping-particle":"","parse-names":false,"suffix":""},{"dropping-particle":"","family":"Lim","given":"Geok Hoon","non-dropping-particle":"","parse-names":false,"suffix":""},{"dropping-particle":"","family":"Lindström","given":"Sara","non-dropping-particle":"","parse-names":false,"suffix":""},{"dropping-particle":"","family":"Lophatananon","given":"Artitaya","non-dropping-particle":"","parse-names":false,"suffix":""},{"dropping-particle":"","family":"Luccarini","given":"Craig","non-dropping-particle":"","parse-names":false,"suffix":""},{"dropping-particle":"","family":"Mannermaa","given":"Arto","non-dropping-particle":"","parse-names":false,"suffix":""},{"dropping-particle":"","family":"Martinez","given":"Maria Elena","non-dropping-particle":"","parse-names":false,"suffix":""},{"dropping-particle":"","family":"Mavroudis","given":"Dimitrios","non-dropping-particle":"","parse-names":false,"suffix":""},{"dropping-particle":"","family":"Milne","given":"Roger L.","non-dropping-particle":"","parse-names":false,"suffix":""},{"dropping-particle":"","family":"Muir","given":"Kenneth","non-dropping-particle":"","parse-names":false,"suffix":""},{"dropping-particle":"","family":"Nathanson","given":"Katherine L.","non-dropping-particle":"","parse-names":false,"suffix":""},{"dropping-particle":"","family":"Nuñez-Torres","given":"Rocio","non-dropping-particle":"","parse-names":false,"suffix":""},{"dropping-particle":"","family":"Obi","given":"Nadia","non-dropping-particle":"","parse-names":false,"suffix":""},{"dropping-particle":"","family":"Olson","given":"Janet E.","non-dropping-particle":"","parse-names":false,"suffix":""},{"dropping-particle":"","family":"Palmer","given":"Julie R.","non-dropping-particle":"","parse-names":false,"suffix":""},{"dropping-particle":"","family":"Panayiotidis","given":"Mihalis I.","non-dropping-particle":"","parse-names":false,"suffix":""},{"dropping-particle":"V.","family":"Patel","given":"Alpa","non-dropping-particle":"","parse-names":false,"suffix":""},{"dropping-particle":"","family":"Pharoah","given":"Paul D.P.","non-dropping-particle":"","parse-names":false,"suffix":""},{"dropping-particle":"","family":"Polley","given":"Eric C.","non-dropping-particle":"","parse-names":false,"suffix":""},{"dropping-particle":"","family":"Rashid","given":"Muhammad U.","non-dropping-particle":"","parse-names":false,"suffix":""},{"dropping-particle":"","family":"Ruddy","given":"Kathryn J.","non-dropping-particle":"","parse-names":false,"suffix":""},{"dropping-particle":"","family":"Saloustros","given":"Emmanouil","non-dropping-particle":"","parse-names":false,"suffix":""},{"dropping-particle":"","family":"Sawyer","given":"Elinor J.","non-dropping-particle":"","parse-names":false,"suffix":""},{"dropping-particle":"","family":"Schmidt","given":"Marjanka K.","non-dropping-particle":"","parse-names":false,"suffix":""},{"dropping-particle":"","family":"Southey","given":"Melissa C.","non-dropping-particle":"","parse-names":false,"suffix":""},{"dropping-particle":"","family":"Tan","given":"Veronique Kiak Mien","non-dropping-particle":"","parse-names":false,"suffix":""},{"dropping-particle":"","family":"Teo","given":"Soo Hwang","non-dropping-particle":"","parse-names":false,"suffix":""},{"dropping-particle":"","family":"Teras","given":"Lauren R.","non-dropping-particle":"","parse-names":false,"suffix":""},{"dropping-particle":"","family":"Torres","given":"Diana","non-dropping-particle":"","parse-names":false,"suffix":""},{"dropping-particle":"","family":"Trentham-Dietz","given":"Amy","non-dropping-particle":"","parse-names":false,"suffix":""},{"dropping-particle":"","family":"Truong","given":"Thérèse","non-dropping-particle":"","parse-names":false,"suffix":""},{"dropping-particle":"","family":"Vachon","given":"Celine M.","non-dropping-particle":"","parse-names":false,"suffix":""},{"dropping-particle":"","family":"Wang","given":"Qin","non-dropping-particle":"","parse-names":false,"suffix":""},{"dropping-particle":"","family":"Weitzel","given":"Jeffrey N.","non-dropping-particle":"","parse-names":false,"suffix":""},{"dropping-particle":"","family":"Yadav","given":"Siddhartha","non-dropping-particle":"","parse-names":false,"suffix":""},{"dropping-particle":"","family":"Yao","given":"Song","non-dropping-particle":"","parse-names":false,"suffix":""},{"dropping-particle":"","family":"Zirpoli","given":"Gary R.","non-dropping-particle":"","parse-names":false,"suffix":""},{"dropping-particle":"","family":"Cline","given":"Melissa S.","non-dropping-particle":"","parse-names":false,"suffix":""},{"dropping-particle":"","family":"Devilee","given":"Peter","non-dropping-particle":"","parse-names":false,"suffix":""},{"dropping-particle":"V.","family":"Tavtigian","given":"Sean","non-dropping-particle":"","parse-names":false,"suffix":""},{"dropping-particle":"","family":"Goldgar","given":"David E.","non-dropping-particle":"","parse-names":false,"suffix":""},{"dropping-particle":"","family":"Couch","given":"Fergus J.","non-dropping-particle":"","parse-names":false,"suffix":""},{"dropping-particle":"","family":"Easton","given":"Douglas F.","non-dropping-particle":"","parse-names":false,"suffix":""},{"dropping-particle":"","family":"Spurdle","given":"Amanda B.","non-dropping-particle":"","parse-names":false,"suffix":""},{"dropping-particle":"","family":"Michailidou","given":"Kyriaki","non-dropping-particle":"","parse-names":false,"suffix":""}],"container-title":"Nature Communications ","id":"ITEM-2","issue":"1","issued":{"date-parts":[["2025"]]},"page":"1-18","title":"Analysis of more than 400,000 women provides case-control evidence for BRCA1 and BRCA2 variant classification","type":"article-journal","volume":"16"},"uris":["http://www.mendeley.com/documents/?uuid=515650fd-8b89-4372-b8a3-0fe0b36a18c4"]},{"id":"ITEM-3","itemData":{"DOI":"10.1016/j.ajhg.2021.03.010","ISSN":"1537-6605 (Electronic)","PMID":"33761318","abstract":"The increasing scope of genetic testing allowed by next-generation sequencing  (NGS) dramatically increased the number of genetic variants to be interpreted as pathogenic or benign for adequate patient management. Still, the interpretation process often fails to deliver a clear classification, resulting in either variants of unknown significance (VUSs) or variants with conflicting interpretation of pathogenicity (CIP); these represent a major clinical problem because they do not provide useful information for decision-making, causing a large fraction of genetically determined disease to remain undertreated. We developed a machine learning (random forest)-based tool, RENOVO, that classifies variants as pathogenic or benign on the basis of publicly available information and provides a pathogenicity likelihood score (PLS). Using the same feature classes recommended by guidelines, we trained RENOVO on established pathogenic/benign variants in ClinVar (training set accuracy = 99%) and tested its performance on variants whose interpretation has changed over time (test set accuracy = 95%). We further validated the algorithm on additional datasets including unreported variants validated either through expert consensus (ENIGMA) or laboratory-based functional techniques (on BRCA1/2 and SCN5A). On all datasets, RENOVO outperformed existing automated interpretation tools. On the basis of the above validation metrics, we assigned a defined PLS to all existing ClinVar VUSs, proposing a reclassification for 67% with &gt;90% estimated precision. RENOVO provides a validated tool to reduce the fraction of uninterpreted or misinterpreted variants, tackling an area of unmet need in modern clinical genetics.","author":[{"dropping-particle":"","family":"Favalli","given":"Valentina","non-dropping-particle":"","parse-names":false,"suffix":""},{"dropping-particle":"","family":"Tini","given":"Giulia","non-dropping-particle":"","parse-names":false,"suffix":""},{"dropping-particle":"","family":"Bonetti","given":"Emanuele","non-dropping-particle":"","parse-names":false,"suffix":""},{"dropping-particle":"","family":"Vozza","given":"Gianluca","non-dropping-particle":"","parse-names":false,"suffix":""},{"dropping-particle":"","family":"Guida","given":"Alessandro","non-dropping-particle":"","parse-names":false,"suffix":""},{"dropping-particle":"","family":"Gandini","given":"Sara","non-dropping-particle":"","parse-names":false,"suffix":""},{"dropping-particle":"","family":"Pelicci","given":"Pier Giuseppe","non-dropping-particle":"","parse-names":false,"suffix":""},{"dropping-particle":"","family":"Mazzarella","given":"Luca","non-dropping-particle":"","parse-names":false,"suffix":""}],"container-title":"American journal of human genetics","id":"ITEM-3","issue":"4","issued":{"date-parts":[["2021","4"]]},"language":"eng","page":"682-695","title":"Machine learning-based reclassification of germline variants of unknown  significance: The RENOVO algorithm.","type":"article-journal","volume":"108"},"uris":["http://www.mendeley.com/documents/?uuid=418c986e-d6aa-4a2c-8625-14db9bbe0521"]},{"id":"ITEM-4","itemData":{"author":[{"dropping-particle":"","family":"Düzenli","given":"Tarık","non-dropping-particle":"","parse-names":false,"suffix":""},{"dropping-particle":"","family":"Babazade","given":"Ali","non-dropping-particle":"","parse-names":false,"suffix":""},{"dropping-particle":"","family":"Vural","given":"Ozan","non-dropping-particle":"","parse-names":false,"suffix":""},{"dropping-particle":"","family":"Bahap","given":"Yusuf","non-dropping-particle":"","parse-names":false,"suffix":""},{"dropping-particle":"","family":"Ergün","given":"Mehmet Ali","non-dropping-particle":"","parse-names":false,"suffix":""}],"id":"ITEM-4","issued":{"date-parts":[["2026"]]},"title":"HECTOR : A Web-Based Tool for Automated BRCA1 / BRCA2 Variant Classification Under the ClinGen ENIGMA Specifications","type":"article-journal"},"uris":["http://www.mendeley.com/documents/?uuid=66a76f64-9827-4226-b808-69d9dad26046"]}],"mendeley":{"formattedCitation":"[13–16]","plainTextFormattedCitation":"[13–16]","previouslyFormattedCitation":"[13–16]"},"properties":{"noteIndex":0},"schema":"https://github.com/citation-style-language/schema/raw/master/csl-citation.json"}</w:instrText>
      </w:r>
      <w:r w:rsidRPr="006D6EC6">
        <w:rPr>
          <w:szCs w:val="20"/>
        </w:rPr>
        <w:fldChar w:fldCharType="separate"/>
      </w:r>
      <w:r w:rsidR="00A92055" w:rsidRPr="006D6EC6">
        <w:rPr>
          <w:noProof/>
          <w:szCs w:val="20"/>
        </w:rPr>
        <w:t>[13–16]</w:t>
      </w:r>
      <w:r w:rsidRPr="006D6EC6">
        <w:rPr>
          <w:szCs w:val="20"/>
        </w:rPr>
        <w:fldChar w:fldCharType="end"/>
      </w:r>
      <w:r w:rsidRPr="006D6EC6">
        <w:rPr>
          <w:szCs w:val="20"/>
        </w:rPr>
        <w:t xml:space="preserve">. Under the American College of Medical Genetics and Genomics/Association for Molecular Pathology (ACMG/AMP) framework, appropriately calibrated computational predictions may contribute PP3 or BP4 evidence; however, correlated predictors should not be counted as independent lines of evidence </w:t>
      </w:r>
      <w:r w:rsidRPr="006D6EC6">
        <w:rPr>
          <w:szCs w:val="20"/>
        </w:rPr>
        <w:fldChar w:fldCharType="begin" w:fldLock="1"/>
      </w:r>
      <w:r w:rsidR="0066732E" w:rsidRPr="006D6EC6">
        <w:rPr>
          <w:szCs w:val="20"/>
        </w:rPr>
        <w:instrText>ADDIN CSL_CITATION {"citationItems":[{"id":"ITEM-1","itemData":{"DOI":"10.1038/s41431-021-00858-1","ISSN":"1476-5438 (Electronic)","PMID":"33854215","abstract":"The recent Chandos House meeting of the Alport Variant Collaborative extended the  indications for screening for pathogenic variants in the COL4A5, COL4A3 and COL4A4 genes beyond the classical Alport phenotype (haematuria, renal failure; family history of haematuria or renal failure) to include persistent proteinuria, steroid-resistant nephrotic syndrome, focal and segmental glomerulosclerosis (FSGS), familial IgA glomerulonephritis and end-stage kidney failure without an obvious cause. The meeting refined the ACMG criteria for variant assessment for the Alport genes (COL4A3-5). It identified 'mutational hotspots' (PM1) in the collagen IV α5, α3 and α4 chains including position 1 Glycine residues in the Gly-X-Y repeats in the intermediate collagenous domains; and Cysteine residues in the carboxy non-collagenous domain (PP3). It considered that 'well-established' functional assays (PS3, BS3) were still mainly research tools but sequencing and minigene assays were commonly used to confirm splicing variants. It was not possible to define the Minor Allele Frequency (MAF) threshold above which variants were considered Benign (BA1, BS1), because of the different modes of inheritances of Alport syndrome, and the occurrence of hypomorphic variants (often Glycine adjacent to a non-collagenous interruption) and local founder effects. Heterozygous COL4A3 and COL4A4 variants were common 'incidental' findings also present in normal reference databases. The recognition and interpretation of hypomorphic variants in the COL4A3-COL4A5 genes remains a challenge.","author":[{"dropping-particle":"","family":"Savige","given":"Judy","non-dropping-particle":"","parse-names":false,"suffix":""},{"dropping-particle":"","family":"Storey","given":"Helen","non-dropping-particle":"","parse-names":false,"suffix":""},{"dropping-particle":"","family":"Watson","given":"Elizabeth","non-dropping-particle":"","parse-names":false,"suffix":""},{"dropping-particle":"","family":"Hertz","given":"Jens Michael","non-dropping-particle":"","parse-names":false,"suffix":""},{"dropping-particle":"","family":"Deltas","given":"Constantinos","non-dropping-particle":"","parse-names":false,"suffix":""},{"dropping-particle":"","family":"Renieri","given":"Alessandra","non-dropping-particle":"","parse-names":false,"suffix":""},{"dropping-particle":"","family":"Mari","given":"Francesca","non-dropping-particle":"","parse-names":false,"suffix":""},{"dropping-particle":"","family":"Hilbert","given":"Pascale","non-dropping-particle":"","parse-names":false,"suffix":""},{"dropping-particle":"","family":"Plevova","given":"Pavlina","non-dropping-particle":"","parse-names":false,"suffix":""},{"dropping-particle":"","family":"Byers","given":"Peter","non-dropping-particle":"","parse-names":false,"suffix":""},{"dropping-particle":"","family":"Cerkauskaite","given":"Agne","non-dropping-particle":"","parse-names":false,"suffix":""},{"dropping-particle":"","family":"Gregory","given":"Martin","non-dropping-particle":"","parse-names":false,"suffix":""},{"dropping-particle":"","family":"Cerkauskiene","given":"Rimante","non-dropping-particle":"","parse-names":false,"suffix":""},{"dropping-particle":"","family":"Ljubanovic","given":"Danica Galesic","non-dropping-particle":"","parse-names":false,"suffix":""},{"dropping-particle":"","family":"Becherucci","given":"Francesca","non-dropping-particle":"","parse-names":false,"suffix":""},{"dropping-particle":"","family":"Errichiello","given":"Carmela","non-dropping-particle":"","parse-names":false,"suffix":""},{"dropping-particle":"","family":"Massella","given":"Laura","non-dropping-particle":"","parse-names":false,"suffix":""},{"dropping-particle":"","family":"Aiello","given":"Valeria","non-dropping-particle":"","parse-names":false,"suffix":""},{"dropping-particle":"","family":"Lennon","given":"Rachel","non-dropping-particle":"","parse-names":false,"suffix":""},{"dropping-particle":"","family":"Hopkinson","given":"Louise","non-dropping-particle":"","parse-names":false,"suffix":""},{"dropping-particle":"","family":"Koziell","given":"Ania","non-dropping-particle":"","parse-names":false,"suffix":""},{"dropping-particle":"","family":"Lungu","given":"Adrian","non-dropping-particle":"","parse-names":false,"suffix":""},{"dropping-particle":"","family":"Rothe","given":"Hansjorg Martin","non-dropping-particle":"","parse-names":false,"suffix":""},{"dropping-particle":"","family":"Hoefele","given":"Julia","non-dropping-particle":"","parse-names":false,"suffix":""},{"dropping-particle":"","family":"Zacchia","given":"Miriam","non-dropping-particle":"","parse-names":false,"suffix":""},{"dropping-particle":"","family":"Martic","given":"Tamara Nikuseva","non-dropping-particle":"","parse-names":false,"suffix":""},{"dropping-particle":"","family":"Gupta","given":"Asheeta","non-dropping-particle":"","parse-names":false,"suffix":""},{"dropping-particle":"","family":"Eerde","given":"Albertien","non-dropping-particle":"van","parse-names":false,"suffix":""},{"dropping-particle":"","family":"Gear","given":"Susie","non-dropping-particle":"","parse-names":false,"suffix":""},{"dropping-particle":"","family":"Landini","given":"Samuela","non-dropping-particle":"","parse-names":false,"suffix":""},{"dropping-particle":"","family":"Palazzo","given":"Viviana","non-dropping-particle":"","parse-names":false,"suffix":""},{"dropping-particle":"","family":"Al-Rabadi","given":"Laith","non-dropping-particle":"","parse-names":false,"suffix":""},{"dropping-particle":"","family":"Claes","given":"Kathleen","non-dropping-particle":"","parse-names":false,"suffix":""},{"dropping-particle":"","family":"Corveleyn","given":"Anniek","non-dropping-particle":"","parse-names":false,"suffix":""},{"dropping-particle":"","family":"Hoof","given":"Evelien","non-dropping-particle":"Van","parse-names":false,"suffix":""},{"dropping-particle":"","family":"Geel","given":"Micheel","non-dropping-particle":"van","parse-names":false,"suffix":""},{"dropping-particle":"","family":"Williams","given":"Maggie","non-dropping-particle":"","parse-names":false,"suffix":""},{"dropping-particle":"","family":"Ashton","given":"Emma","non-dropping-particle":"","parse-names":false,"suffix":""},{"dropping-particle":"","family":"Belge","given":"Hendica","non-dropping-particle":"","parse-names":false,"suffix":""},{"dropping-particle":"","family":"Ars","given":"Elisabeth","non-dropping-particle":"","parse-names":false,"suffix":""},{"dropping-particle":"","family":"Bierzynska","given":"Agnieszka","non-dropping-particle":"","parse-names":false,"suffix":""},{"dropping-particle":"","family":"Gangemi","given":"Concetta","non-dropping-particle":"","parse-names":false,"suffix":""},{"dropping-particle":"","family":"Lipska-Ziętkiewicz","given":"Beata S","non-dropping-particle":"","parse-names":false,"suffix":""}],"container-title":"European journal of human genetics : EJHG","id":"ITEM-1","issue":"8","issued":{"date-parts":[["2021","8"]]},"language":"eng","page":"1186-1197","publisher-place":"England","title":"Consensus statement on standards and guidelines for the molecular diagnostics of  Alport syndrome: refining the ACMG criteria.","type":"article-journal","volume":"29"},"uris":["http://www.mendeley.com/documents/?uuid=fc62bb53-b636-4b3e-af1c-4a5b1846d05b"]},{"id":"ITEM-2","itemData":{"DOI":"10.1016/j.gim.2021.11.018","ISSN":"1530-0366 (Electronic)","PMID":"34955381","abstract":"PURPOSE: According to the American College of Medical Genetics and  Genomics/Association of Medical Pathology (ACMG/AMP) guidelines, in silico evidence is applied at the supporting strength level for pathogenic (PP3) and benign (BP4) evidence. Although PP3 is commonly used, less is known about the effect of these criteria on variant classification outcomes. METHODS: A total of 727 missense variants curated by Clinical Genome Resource expert groups were analyzed to determine how often PP3 and BP4 were applied and their impact on variant classification. The ACMG/AMP categorical system of variant classification was compared with a quantitative point-based system. The pathogenicity likelihood ratios of REVEL, VEST, FATHMM, and MPC were calibrated using a gold standard set of 237 pathogenic and benign variants (classified independent of the PP3/BP4 criteria). RESULTS: The PP3 and BP4 criteria were applied by Variant Curation Expert Panels to 55% of missense variants. Application of those criteria changed the classification of 15% of missense variants for which either criterion was applied. The point-based system resolved borderline classifications. REVEL and VEST performed best at a strength level consistent with moderate evidence. CONCLUSION: We show that in silico criteria are commonly applied and often affect the final variant classifications. When appropriate thresholds for in silico predictors are established, our results show that PP3 and BP4 can be used at a moderate strength.","author":[{"dropping-particle":"","family":"Wilcox","given":"Emma H","non-dropping-particle":"","parse-names":false,"suffix":""},{"dropping-particle":"","family":"Sarmady","given":"Mahdi","non-dropping-particle":"","parse-names":false,"suffix":""},{"dropping-particle":"","family":"Wulf","given":"Bryan","non-dropping-particle":"","parse-names":false,"suffix":""},{"dropping-particle":"","family":"Wright","given":"Matt W","non-dropping-particle":"","parse-names":false,"suffix":""},{"dropping-particle":"","family":"Rehm","given":"Heidi L","non-dropping-particle":"","parse-names":false,"suffix":""},{"dropping-particle":"","family":"Biesecker","given":"Leslie G","non-dropping-particle":"","parse-names":false,"suffix":""},{"dropping-particle":"","family":"Abou Tayoun","given":"Ahmad N","non-dropping-particle":"","parse-names":false,"suffix":""}],"container-title":"Genetics in medicine : official journal of the American College of Medical  Genetics","id":"ITEM-2","issue":"4","issued":{"date-parts":[["2022","4"]]},"language":"eng","page":"924-930","publisher-place":"United States","title":"Evaluating the impact of in silico predictors on clinical variant classification.","type":"article-journal","volume":"24"},"uris":["http://www.mendeley.com/documents/?uuid=0912a304-605c-41ff-b0b3-79972f929534"]},{"id":"ITEM-3","itemData":{"DOI":"https://doi.org/10.1016/j.gim.2026.102606","ISSN":"1098-3600","abstract":"Purpose Missense variants represent a large proportion of variants of uncertain significance (VUS) in clinical genetics. The ClinGen framework now enables quantitative use of in silico predictors for variant classification (PP3/BP4), but newly developed machine-learning-based tools such as AlphaMissense (AM) and PrimateAI-3D (PAI3D) have not been evaluated in this context using real-world clinical data. Methods We calibrated AM and PAI3D using ClinGen’s quantitative framework and assessed their performance alongside REVEL, a widely used meta-predictor, across three datasets: ClinVar_2023, ClinGen, and Columbia Diagnostic Exome Sequencing (CDEX). Predictive performance was evaluated using area under the curve (AUC), F1 scores, and classification impact on VUS. Results REVEL demonstrated the highest overall performance, particularly for autosomal recessive variants and autosomal dominant variants tolerant to loss-of-function. AM outperformed other tools for autosomal dominant variants in haploinsufficiency genes. Applying updated PP3/BP4 criteria to ClinGen VUS resulted in over 10% being upgraded to likely pathogenic and less than 3% downgraded to likely benign, with REVEL yielding the most LP upgrades and AM the most LB downgrades. Conclusion Our findings highlight the complementary strengths of AM, PAI3D, and REVEL under the ClinGen framework, supporting more accurate and mechanism-aware missense variant classification in clinical settings.","author":[{"dropping-particle":"","family":"Zhuo","given":"Xinming","non-dropping-particle":"","parse-names":false,"suffix":""},{"dropping-particle":"","family":"Bi","given":"Xin","non-dropping-particle":"","parse-names":false,"suffix":""},{"dropping-particle":"","family":"Aggarwal","given":"Vimla","non-dropping-particle":"","parse-names":false,"suffix":""},{"dropping-particle":"","family":"Liao","given":"Jun","non-dropping-particle":"","parse-names":false,"suffix":""}],"container-title":"Genetics in Medicine","id":"ITEM-3","issued":{"date-parts":[["2026"]]},"page":"102606","title":"Calibration and evaluation of machine-learning algorithms for missense variant classification under ACMG/ClinGen recommendations","type":"article-journal"},"uris":["http://www.mendeley.com/documents/?uuid=862bf665-c759-49e8-ae27-32240ca7bb03"]}],"mendeley":{"formattedCitation":"[17–19]","plainTextFormattedCitation":"[17–19]","previouslyFormattedCitation":"[17–19]"},"properties":{"noteIndex":0},"schema":"https://github.com/citation-style-language/schema/raw/master/csl-citation.json"}</w:instrText>
      </w:r>
      <w:r w:rsidRPr="006D6EC6">
        <w:rPr>
          <w:szCs w:val="20"/>
        </w:rPr>
        <w:fldChar w:fldCharType="separate"/>
      </w:r>
      <w:r w:rsidR="00A92055" w:rsidRPr="006D6EC6">
        <w:rPr>
          <w:noProof/>
          <w:szCs w:val="20"/>
        </w:rPr>
        <w:t>[17–19]</w:t>
      </w:r>
      <w:r w:rsidRPr="006D6EC6">
        <w:rPr>
          <w:szCs w:val="20"/>
        </w:rPr>
        <w:fldChar w:fldCharType="end"/>
      </w:r>
      <w:r w:rsidRPr="006D6EC6">
        <w:rPr>
          <w:szCs w:val="20"/>
        </w:rPr>
        <w:t>. Consequently, a substantial proportion of missense variants, particularly in non-</w:t>
      </w:r>
      <w:r w:rsidRPr="006D6EC6">
        <w:rPr>
          <w:i/>
          <w:iCs/>
          <w:szCs w:val="20"/>
        </w:rPr>
        <w:t>BRCA1/2</w:t>
      </w:r>
      <w:r w:rsidRPr="006D6EC6">
        <w:rPr>
          <w:szCs w:val="20"/>
        </w:rPr>
        <w:t xml:space="preserve"> HBOC-associated genes, remains unresolved.</w:t>
      </w:r>
    </w:p>
    <w:p w14:paraId="2B591C2E" w14:textId="77777777" w:rsidR="00083AA0" w:rsidRPr="006D6EC6" w:rsidRDefault="00083AA0" w:rsidP="00CD0244">
      <w:pPr>
        <w:pStyle w:val="MDPI31text"/>
        <w:rPr>
          <w:szCs w:val="20"/>
        </w:rPr>
      </w:pPr>
      <w:r w:rsidRPr="006D6EC6">
        <w:rPr>
          <w:szCs w:val="20"/>
        </w:rPr>
        <w:t xml:space="preserve">The principal challenge is therefore not VUS detection but systematic </w:t>
      </w:r>
      <w:proofErr w:type="spellStart"/>
      <w:r w:rsidRPr="006D6EC6">
        <w:rPr>
          <w:szCs w:val="20"/>
        </w:rPr>
        <w:t>prioritisation</w:t>
      </w:r>
      <w:proofErr w:type="spellEnd"/>
      <w:r w:rsidRPr="006D6EC6">
        <w:rPr>
          <w:szCs w:val="20"/>
        </w:rPr>
        <w:t xml:space="preserve"> for expert review and functional follow-up, particularly because comprehensive gene-specific curation frameworks remain unavailable for many hereditary cancer genes </w:t>
      </w:r>
      <w:r w:rsidRPr="006D6EC6">
        <w:rPr>
          <w:szCs w:val="20"/>
        </w:rPr>
        <w:fldChar w:fldCharType="begin" w:fldLock="1"/>
      </w:r>
      <w:r w:rsidR="0066732E" w:rsidRPr="006D6EC6">
        <w:rPr>
          <w:szCs w:val="20"/>
        </w:rPr>
        <w:instrText>ADDIN CSL_CITATION {"citationItems":[{"id":"ITEM-1","itemData":{"DOI":"10.1038/s41431-026-02073-2","ISSN":"14765438","PMID":"41807735","abstract":"Hereditary cancer syndromes are among the most common inherited disorders and contribute to nearly 10% of solid tumours. While genetic testing is now central to diagnosis, surveillance, and cascade prevention, its impact is constrained by the persistent challenge of variants of uncertain significance (VUS), which comprise almost 40% of reported hereditary cancer syndrome-associated variants in ClinVar. These unresolved classifications undermine the interpretive power of testing, limiting its translational and preventive potential. In this review, we examine the foundations of variant interpretation, the role of expert-guided specifications, and emerging methods for VUS reclassification, including population-level data, RNA- and protein-based functional assays, computational predictors, and long-read sequencing. We further highlight how systematic re-evaluation structures and curation infrastructures translate new evidence into clinical practice. We conclude with an outlook on future directions to reduce the burden of VUS and increase the clinical utility of hereditary cancer syndrome testing.","author":[{"dropping-particle":"","family":"Lucas","given":"Morghan C.","non-dropping-particle":"","parse-names":false,"suffix":""},{"dropping-particle":"","family":"Keßler","given":"Thomas","non-dropping-particle":"","parse-names":false,"suffix":""},{"dropping-particle":"","family":"Benet-Pagès","given":"Anna","non-dropping-particle":"","parse-names":false,"suffix":""},{"dropping-particle":"","family":"Holinski-Feder","given":"Elke","non-dropping-particle":"","parse-names":false,"suffix":""},{"dropping-particle":"","family":"Laner","given":"Andreas","non-dropping-particle":"","parse-names":false,"suffix":""},{"dropping-particle":"","family":"Klink","given":"Barbara","non-dropping-particle":"","parse-names":false,"suffix":""}],"container-title":"European Journal of Human Genetics","id":"ITEM-1","issue":"February","issued":{"date-parts":[["2026"]]},"page":"1-7","publisher":"Springer US","title":"Validation structures for sequence variants of uncertain significance in hereditary cancer","type":"article-journal"},"uris":["http://www.mendeley.com/documents/?uuid=da42c742-0ca8-43f5-882f-cd59b1df1193"]}],"mendeley":{"formattedCitation":"[20]","plainTextFormattedCitation":"[20]","previouslyFormattedCitation":"[20]"},"properties":{"noteIndex":0},"schema":"https://github.com/citation-style-language/schema/raw/master/csl-citation.json"}</w:instrText>
      </w:r>
      <w:r w:rsidRPr="006D6EC6">
        <w:rPr>
          <w:szCs w:val="20"/>
        </w:rPr>
        <w:fldChar w:fldCharType="separate"/>
      </w:r>
      <w:r w:rsidR="00A92055" w:rsidRPr="006D6EC6">
        <w:rPr>
          <w:noProof/>
          <w:szCs w:val="20"/>
        </w:rPr>
        <w:t>[20]</w:t>
      </w:r>
      <w:r w:rsidRPr="006D6EC6">
        <w:rPr>
          <w:szCs w:val="20"/>
        </w:rPr>
        <w:fldChar w:fldCharType="end"/>
      </w:r>
      <w:r w:rsidRPr="006D6EC6">
        <w:rPr>
          <w:szCs w:val="20"/>
        </w:rPr>
        <w:t xml:space="preserve">. Scalable computational approaches may help bridge this gap by directing limited resources towards variants with the strongest benign- or pathogenic-leaning evidence. As a proof of principle, an integrative filter using ten in silico predictors narrowed 153 eligible </w:t>
      </w:r>
      <w:r w:rsidRPr="006D6EC6">
        <w:rPr>
          <w:i/>
          <w:iCs/>
          <w:szCs w:val="20"/>
        </w:rPr>
        <w:t>BRCA1/2</w:t>
      </w:r>
      <w:r w:rsidRPr="006D6EC6">
        <w:rPr>
          <w:szCs w:val="20"/>
        </w:rPr>
        <w:t xml:space="preserve"> VUS to 10 priority candidates </w:t>
      </w:r>
      <w:r w:rsidRPr="006D6EC6">
        <w:rPr>
          <w:szCs w:val="20"/>
        </w:rPr>
        <w:fldChar w:fldCharType="begin" w:fldLock="1"/>
      </w:r>
      <w:r w:rsidR="0066732E" w:rsidRPr="006D6EC6">
        <w:rPr>
          <w:szCs w:val="20"/>
        </w:rPr>
        <w:instrText>ADDIN CSL_CITATION {"citationItems":[{"id":"ITEM-1","itemData":{"DOI":"10.1038/s41431-026-02058-1","ISBN":"4143102602058","ISSN":"14765438","abstract":"Comprehensive genomic profiling (CGP) has significantly advanced cancer genomics by enabling broad detection of clinically relevant genomic alterations across diverse cancers. In the context of BRCA1/2, CGP has expanded analysis beyond conventional testing for hereditary breast and ovarian cancer (HBOC), thereby identifying otherwise unrecognized variants. Nevertheless, the high prevalence of variants of uncertain significance (VUS) remains a major obstacle to clinical implementation. To address this challenge, we analyzed 2172 CGP tests performed at Hiroshima University Hospital and affiliated institutions in Japan. BRCA1/2 VUS identified through CGP were systematically prioritized using an integrative framework combining in silico prediction and functional evidence. From 526 BRCA1/2 variants, 153 were classified as VUS. Our variant prioritization filter based on ten in silico predictors narrowed these to 10 candidates, including two splice-site and eight missense variants, most of which were concordant with prior functional studies. Among these, the significance of BRCA2:c.67 G &gt; C (p.D23H, NM_000059.4) had remained unclear. Functional analysis demonstrated exon 2 skipping consistent with loss of function, and clinical observations from two patients carrying this variant showed that therapeutic responses aligned with the biology of homologous recombination deficiency. These findings present a proof-of-concept framework for prioritizing and interpreting BRCA1/2 VUS detected in real-world CGP testing. By integrating multiple in silico predictors with functional evidence, this approach enables systematic prioritization and interpretation of BRCA1/2 VUS and may be broadly applicable to variant assessment in hereditary cancer predisposition genes. (Figure presented.)","author":[{"dropping-particle":"","family":"Nakahara","given":"Hikaru","non-dropping-particle":"","parse-names":false,"suffix":""},{"dropping-particle":"","family":"Niitsu","given":"Hiroaki","non-dropping-particle":"","parse-names":false,"suffix":""},{"dropping-particle":"","family":"Toshida","given":"Asuka","non-dropping-particle":"","parse-names":false,"suffix":""},{"dropping-particle":"","family":"Goto","given":"Keisuke","non-dropping-particle":"","parse-names":false,"suffix":""},{"dropping-particle":"","family":"Yamauchi","given":"Masami","non-dropping-particle":"","parse-names":false,"suffix":""},{"dropping-particle":"","family":"Saipova","given":"Khilola Madaminovna","non-dropping-particle":"","parse-names":false,"suffix":""},{"dropping-particle":"","family":"Hayes","given":"C. Nelson","non-dropping-particle":"","parse-names":false,"suffix":""},{"dropping-particle":"","family":"Hinata","given":"Nobuyuki","non-dropping-particle":"","parse-names":false,"suffix":""},{"dropping-particle":"","family":"Oka","given":"Shiro","non-dropping-particle":"","parse-names":false,"suffix":""},{"dropping-particle":"","family":"Hinoi","given":"Takao","non-dropping-particle":"","parse-names":false,"suffix":""}],"container-title":"European Journal of Human Genetics","id":"ITEM-1","issue":"February","issued":{"date-parts":[["2026"]]},"page":"1-8","title":"A prioritization framework for BRCA1/2 variants of uncertain significance identified by comprehensive genomic profiling","type":"article-journal"},"uris":["http://www.mendeley.com/documents/?uuid=a52f4e37-97f0-4746-8726-70979e2eb195"]}],"mendeley":{"formattedCitation":"[21]","plainTextFormattedCitation":"[21]","previouslyFormattedCitation":"[21]"},"properties":{"noteIndex":0},"schema":"https://github.com/citation-style-language/schema/raw/master/csl-citation.json"}</w:instrText>
      </w:r>
      <w:r w:rsidRPr="006D6EC6">
        <w:rPr>
          <w:szCs w:val="20"/>
        </w:rPr>
        <w:fldChar w:fldCharType="separate"/>
      </w:r>
      <w:r w:rsidR="00A92055" w:rsidRPr="006D6EC6">
        <w:rPr>
          <w:noProof/>
          <w:szCs w:val="20"/>
        </w:rPr>
        <w:t>[21]</w:t>
      </w:r>
      <w:r w:rsidRPr="006D6EC6">
        <w:rPr>
          <w:szCs w:val="20"/>
        </w:rPr>
        <w:fldChar w:fldCharType="end"/>
      </w:r>
      <w:r w:rsidRPr="006D6EC6">
        <w:rPr>
          <w:szCs w:val="20"/>
        </w:rPr>
        <w:t xml:space="preserve">. However, most established predictors were developed for genome-wide application and may not capture disease-, gene- or domain-specific mechanisms </w:t>
      </w:r>
      <w:r w:rsidRPr="006D6EC6">
        <w:rPr>
          <w:szCs w:val="20"/>
        </w:rPr>
        <w:fldChar w:fldCharType="begin" w:fldLock="1"/>
      </w:r>
      <w:r w:rsidR="0066732E" w:rsidRPr="006D6EC6">
        <w:rPr>
          <w:szCs w:val="20"/>
        </w:rPr>
        <w:instrText>ADDIN CSL_CITATION {"citationItems":[{"id":"ITEM-1","itemData":{"DOI":"10.1038/s41598-025-94142-7","ISSN":"2045-2322","abstract":"There is a great discrepancy between the clinical categorization of MEFV gene variants and in silico tool predictions. In this study, we developed a seven-tier classification system for MEFV missense variants of unknown significance and recommended a generalized pipeline for other gene classifications. We extracted 12,017 human MEFV gene variants from the Ensembl database. After extraction, we detected 6034 missense variants. In the next step, we selected 42 in silico tools for our classification model. We determined the optimal value via the scores from three in silico tools. For the implementation of machine learning methods, we used two bagging methods and two boosting methods. After predicting known variants, we applied our model to 5507 variants of unknown significance. In the final stage, we applied the developed framework to the entire dataset to rigorously evaluate its classification performance and validate its potential clinical utility. The XGBoost model achieved the highest accuracy at 0.9882 (± 0.0295), followed by Extremely Randomized Trees (0.9835 ± 0.0335), Random Forest (0.9788 ± 0.0158), and AdaBoost (0.9671 ± 0.0815). Following the refinement of the dataset and the introduction of a novel classification and clustering methodology, the proportion of known variants increased from 6.9 to 29.4%, marking a 4.3-fold relative improvement. Furthermore, we identified two novel hotspot regions and one tolerant site, offering valuable insights into the functional structure of the pyrin protein. Rigid and adaptive classifiers offer an innovative framework for VOUS classification, integrating a grayscale interpretation system with cutting-edge in silico tools and machine learning algorithms. This approach not only improves the accuracy of MEFV gene variant classification but also identifies new hotspot regions for functional studies, paving the way for scalable applications to other genes and might contribute to advancing precision genomic medicine in the future.","author":[{"dropping-particle":"","family":"Alay","given":"Mustafa Tarık","non-dropping-particle":"","parse-names":false,"suffix":""}],"container-title":"Scientific Reports","id":"ITEM-1","issue":"1","issued":{"date-parts":[["2025"]]},"page":"9054","title":"A novel seven-tier framework for the classification of MEFV missense variants using adaptive and rigid classifiers","type":"article-journal","volume":"15"},"uris":["http://www.mendeley.com/documents/?uuid=916782be-785a-4ae4-8bf4-226b18a4921c"]},{"id":"ITEM-2","itemData":{"DOI":"10.59537/saupress.2415","author":[{"dropping-particle":"","family":"Alay","given":"Mustafa Tarık","non-dropping-particle":"","parse-names":false,"suffix":""}],"container-title":"Digital Healtcare Technologies -Innovative Technologies and Changing ProcesessChanging Procesess","id":"ITEM-2","issued":{"date-parts":[["2025"]]},"page":"147-160","title":"Integrative Classifiers for Variant Interpretation: Supervised Votes Meet Unsupervised Cluster Dominance","type":"article-journal"},"uris":["http://www.mendeley.com/documents/?uuid=f882936b-b3ac-4924-bd3c-63daa78a02b3"]}],"mendeley":{"formattedCitation":"[22,23]","plainTextFormattedCitation":"[22,23]","previouslyFormattedCitation":"[22,23]"},"properties":{"noteIndex":0},"schema":"https://github.com/citation-style-language/schema/raw/master/csl-citation.json"}</w:instrText>
      </w:r>
      <w:r w:rsidRPr="006D6EC6">
        <w:rPr>
          <w:szCs w:val="20"/>
        </w:rPr>
        <w:fldChar w:fldCharType="separate"/>
      </w:r>
      <w:r w:rsidR="00A92055" w:rsidRPr="006D6EC6">
        <w:rPr>
          <w:noProof/>
          <w:szCs w:val="20"/>
        </w:rPr>
        <w:t>[22,23]</w:t>
      </w:r>
      <w:r w:rsidRPr="006D6EC6">
        <w:rPr>
          <w:szCs w:val="20"/>
        </w:rPr>
        <w:fldChar w:fldCharType="end"/>
      </w:r>
      <w:r w:rsidRPr="006D6EC6">
        <w:rPr>
          <w:szCs w:val="20"/>
        </w:rPr>
        <w:t xml:space="preserve">; disease-focused models may therefore offer greater contextual relevance for HBOC-associated missense variants </w:t>
      </w:r>
      <w:r w:rsidRPr="006D6EC6">
        <w:rPr>
          <w:szCs w:val="20"/>
        </w:rPr>
        <w:fldChar w:fldCharType="begin" w:fldLock="1"/>
      </w:r>
      <w:r w:rsidR="0066732E" w:rsidRPr="006D6EC6">
        <w:rPr>
          <w:szCs w:val="20"/>
        </w:rPr>
        <w:instrText>ADDIN CSL_CITATION {"citationItems":[{"id":"ITEM-1","itemData":{"DOI":"10.3390/ijms27052453","ISSN":"14220067","abstract":"HerCanPred, a machine-learning-based pathogenicity classifier specifically optimized for 63 cancer-predisposition genes, was developed to improve the interpretation of missense variants in hereditary cancer syndromes. This model integrates sequence conservation with structural features derived from AlphaFold2 (AF2) structures. HerCanPred achieved a strong performance, outperforming 23 established predictors. SHAP analysis identified AF2-derived structural features, specifically local pLDDT confidence scores and relative solvent accessible area, as the strongest predictors of variant impact. Benchmarking the strengths and limitations of HerCanPred against existing methods showed that misclassification of pathogenic variants was concentrated in disordered and surface-exposed regions, whereas benign failures were more broadly distributed. HerCanPred and three established predictors were also applied to over 57,000 variants of uncertain significance (VUS) from the same gene set. Notably, 166 VUS were reassigned as pathogenic and 75 as benign, with an enrichment of the NF1, FH, and MLH1 genes. By combining gene-specific training with 3D structural information, HerCanPred provides a robust framework for reducing diagnostic uncertainty. Our findings demonstrate that targeted, structure-aware tools can contribute to resolving VUS, providing a rational basis for systematic variant reinterpretation and more informed medical management in hereditary cancer care.","author":[{"dropping-particle":"","family":"Akyerli","given":"Cemaliye B.","non-dropping-particle":"","parse-names":false,"suffix":""},{"dropping-particle":"","family":"Gerdan","given":"Gizel","non-dropping-particle":"","parse-names":false,"suffix":""},{"dropping-particle":"","family":"Bülbül","given":"Alper","non-dropping-particle":"","parse-names":false,"suffix":""},{"dropping-particle":"","family":"Keskin-Karakoyun","given":"Hilal","non-dropping-particle":"","parse-names":false,"suffix":""},{"dropping-particle":"","family":"Yüksel","given":"Şirin K.","non-dropping-particle":"","parse-names":false,"suffix":""},{"dropping-particle":"","family":"Timucin","given":"Emel","non-dropping-particle":"","parse-names":false,"suffix":""}],"container-title":"International Journal of Molecular Sciences","id":"ITEM-1","issue":"5","issued":{"date-parts":[["2026"]]},"page":"1-17","title":"Pathogenicity Prediction of Missense Variations in Hereditary Cancer Genes","type":"article-journal","volume":"27"},"uris":["http://www.mendeley.com/documents/?uuid=1a723b11-80bc-4028-8cf6-7d6dab84c530"]}],"mendeley":{"formattedCitation":"[24]","plainTextFormattedCitation":"[24]","previouslyFormattedCitation":"[24]"},"properties":{"noteIndex":0},"schema":"https://github.com/citation-style-language/schema/raw/master/csl-citation.json"}</w:instrText>
      </w:r>
      <w:r w:rsidRPr="006D6EC6">
        <w:rPr>
          <w:szCs w:val="20"/>
        </w:rPr>
        <w:fldChar w:fldCharType="separate"/>
      </w:r>
      <w:r w:rsidR="00A92055" w:rsidRPr="006D6EC6">
        <w:rPr>
          <w:noProof/>
          <w:szCs w:val="20"/>
        </w:rPr>
        <w:t>[24]</w:t>
      </w:r>
      <w:r w:rsidRPr="006D6EC6">
        <w:rPr>
          <w:szCs w:val="20"/>
        </w:rPr>
        <w:fldChar w:fldCharType="end"/>
      </w:r>
      <w:r w:rsidRPr="006D6EC6">
        <w:rPr>
          <w:szCs w:val="20"/>
        </w:rPr>
        <w:t>.</w:t>
      </w:r>
    </w:p>
    <w:p w14:paraId="149AEBE3" w14:textId="77777777" w:rsidR="004520D2" w:rsidRPr="006D6EC6" w:rsidRDefault="004520D2" w:rsidP="00CD0244">
      <w:pPr>
        <w:pStyle w:val="MDPI31text"/>
        <w:rPr>
          <w:szCs w:val="20"/>
        </w:rPr>
      </w:pPr>
      <w:proofErr w:type="spellStart"/>
      <w:r w:rsidRPr="006D6EC6">
        <w:rPr>
          <w:szCs w:val="20"/>
        </w:rPr>
        <w:lastRenderedPageBreak/>
        <w:t>HBOCpred</w:t>
      </w:r>
      <w:proofErr w:type="spellEnd"/>
      <w:r w:rsidRPr="006D6EC6">
        <w:rPr>
          <w:szCs w:val="20"/>
        </w:rPr>
        <w:t xml:space="preserve"> uses two conventional non-tree learners, one bagging learner and one boosting learner within a family-balanced modified adaptive voting classifier. Its audit output comprises the four learner-specific calibrated probabilities and votes, the com-</w:t>
      </w:r>
      <w:proofErr w:type="spellStart"/>
      <w:r w:rsidRPr="006D6EC6">
        <w:rPr>
          <w:szCs w:val="20"/>
        </w:rPr>
        <w:t>plete</w:t>
      </w:r>
      <w:proofErr w:type="spellEnd"/>
      <w:r w:rsidRPr="006D6EC6">
        <w:rPr>
          <w:szCs w:val="20"/>
        </w:rPr>
        <w:t xml:space="preserve"> four-bit vote vector, the corresponding V0–V4 state and the continuous S_MAC ranking score. The categorical output is interpreted according to record context. For labelled internal and external records, V0 denotes a predicted B/LB output, V1–V3 de-note an Uncertain output and V4 denotes a predicted LP/P output. For unresolved application records only, the same states are displayed as Uncertain-low, Uncertain-mid and Uncertain-high variant-</w:t>
      </w:r>
      <w:proofErr w:type="spellStart"/>
      <w:r w:rsidRPr="006D6EC6">
        <w:rPr>
          <w:szCs w:val="20"/>
        </w:rPr>
        <w:t>prioritisation</w:t>
      </w:r>
      <w:proofErr w:type="spellEnd"/>
      <w:r w:rsidRPr="006D6EC6">
        <w:rPr>
          <w:szCs w:val="20"/>
        </w:rPr>
        <w:t xml:space="preserve"> zones. These outputs are intended for research </w:t>
      </w:r>
      <w:proofErr w:type="spellStart"/>
      <w:r w:rsidRPr="006D6EC6">
        <w:rPr>
          <w:szCs w:val="20"/>
        </w:rPr>
        <w:t>prioritisation</w:t>
      </w:r>
      <w:proofErr w:type="spellEnd"/>
      <w:r w:rsidRPr="006D6EC6">
        <w:rPr>
          <w:szCs w:val="20"/>
        </w:rPr>
        <w:t xml:space="preserve"> and do not constitute ACMG/AMP classifications, PP3/BP4 evidence strengths or clinical posterior probabilities.</w:t>
      </w:r>
    </w:p>
    <w:p w14:paraId="16582897" w14:textId="77777777" w:rsidR="00083AA0" w:rsidRPr="006D6EC6" w:rsidRDefault="00083AA0" w:rsidP="00CD0244">
      <w:pPr>
        <w:pStyle w:val="MDPI21heading1"/>
        <w:rPr>
          <w:szCs w:val="24"/>
        </w:rPr>
      </w:pPr>
      <w:r w:rsidRPr="006D6EC6">
        <w:rPr>
          <w:szCs w:val="24"/>
        </w:rPr>
        <w:t>2. Results</w:t>
      </w:r>
    </w:p>
    <w:p w14:paraId="4F19DEC4" w14:textId="77777777" w:rsidR="00083AA0" w:rsidRPr="006D6EC6" w:rsidRDefault="00CD0244" w:rsidP="00CD0244">
      <w:pPr>
        <w:pStyle w:val="MDPI22heading2"/>
        <w:rPr>
          <w:szCs w:val="20"/>
        </w:rPr>
      </w:pPr>
      <w:r w:rsidRPr="006D6EC6">
        <w:t>2.1 Analytic separation and feature stability</w:t>
      </w:r>
    </w:p>
    <w:p w14:paraId="2E83E659" w14:textId="77777777" w:rsidR="00083AA0" w:rsidRPr="006D6EC6" w:rsidRDefault="00083AA0" w:rsidP="00CD0244">
      <w:pPr>
        <w:pStyle w:val="MDPI31text"/>
        <w:rPr>
          <w:szCs w:val="20"/>
        </w:rPr>
      </w:pPr>
      <w:r w:rsidRPr="006D6EC6">
        <w:rPr>
          <w:szCs w:val="20"/>
        </w:rPr>
        <w:t>Robust consensus feature selection was performed only within each partition of the outer-training data. Candidate predictors were ranked according to five complementary criteria: orientation-independent univariate AUROCs, mutual information, selection frequency in 12 bootstrap fits of L1-penalised logistic regression, importance over permuted shadow features in six fits of Extra Trees, and minimum-redundancy-maximum-relevance (</w:t>
      </w:r>
      <w:proofErr w:type="spellStart"/>
      <w:r w:rsidRPr="006D6EC6">
        <w:rPr>
          <w:szCs w:val="20"/>
        </w:rPr>
        <w:t>mRMR</w:t>
      </w:r>
      <w:proofErr w:type="spellEnd"/>
      <w:r w:rsidRPr="006D6EC6">
        <w:rPr>
          <w:szCs w:val="20"/>
        </w:rPr>
        <w:t xml:space="preserve">) ranking. The consensus order was set by the average rank on these criteria, and the best-ranked predictors (up to 25) were submitted for learner tuning. Following missingness filtering to establish the anchor dataset, the feature space was reduced from 93 to 85, then to 82 using </w:t>
      </w:r>
      <w:proofErr w:type="spellStart"/>
      <w:r w:rsidRPr="006D6EC6">
        <w:rPr>
          <w:szCs w:val="20"/>
        </w:rPr>
        <w:t>SpliceAI</w:t>
      </w:r>
      <w:proofErr w:type="spellEnd"/>
      <w:r w:rsidRPr="006D6EC6">
        <w:rPr>
          <w:szCs w:val="20"/>
        </w:rPr>
        <w:t xml:space="preserve"> aggregation, to 43 semantic representatives, to 33 correlation-cluster representatives and ultimately to 25 consensus predictors when the pipeline was refitted on the whole anchor dataset for deployment. Twenty-three of the 25 final predictors were retained in at least 20 outer folds. All 43,679 unresolved records passed the 80% annotation-completeness flag; the median observed fraction was </w:t>
      </w:r>
      <w:proofErr w:type="gramStart"/>
      <w:r w:rsidRPr="006D6EC6">
        <w:rPr>
          <w:szCs w:val="20"/>
        </w:rPr>
        <w:t>96%</w:t>
      </w:r>
      <w:proofErr w:type="gramEnd"/>
      <w:r w:rsidRPr="006D6EC6">
        <w:rPr>
          <w:szCs w:val="20"/>
        </w:rPr>
        <w:t xml:space="preserve"> and the minimum was 84% (Table </w:t>
      </w:r>
      <w:r w:rsidR="006055B2" w:rsidRPr="006D6EC6">
        <w:rPr>
          <w:szCs w:val="20"/>
        </w:rPr>
        <w:t>3</w:t>
      </w:r>
      <w:r w:rsidRPr="006D6EC6">
        <w:rPr>
          <w:szCs w:val="20"/>
        </w:rPr>
        <w:t>).</w:t>
      </w:r>
    </w:p>
    <w:p w14:paraId="7EDB47AA" w14:textId="77777777" w:rsidR="00083AA0" w:rsidRPr="006D6EC6" w:rsidRDefault="00083AA0" w:rsidP="00CD0244">
      <w:pPr>
        <w:pStyle w:val="MDPI41tablecaption"/>
        <w:rPr>
          <w:rFonts w:ascii="Times New Roman" w:hAnsi="Times New Roman" w:cs="Times New Roman"/>
          <w:snapToGrid w:val="0"/>
          <w:szCs w:val="18"/>
        </w:rPr>
      </w:pPr>
      <w:r w:rsidRPr="006D6EC6">
        <w:rPr>
          <w:rFonts w:cs="Times New Roman"/>
          <w:b/>
          <w:snapToGrid w:val="0"/>
          <w:szCs w:val="18"/>
        </w:rPr>
        <w:t>Tab</w:t>
      </w:r>
      <w:r w:rsidRPr="006D6EC6">
        <w:rPr>
          <w:rFonts w:ascii="Times New Roman" w:hAnsi="Times New Roman" w:cs="Times New Roman"/>
          <w:b/>
          <w:snapToGrid w:val="0"/>
          <w:szCs w:val="18"/>
        </w:rPr>
        <w:t xml:space="preserve">le </w:t>
      </w:r>
      <w:r w:rsidR="006055B2" w:rsidRPr="006D6EC6">
        <w:rPr>
          <w:rFonts w:ascii="Times New Roman" w:hAnsi="Times New Roman" w:cs="Times New Roman"/>
          <w:b/>
          <w:snapToGrid w:val="0"/>
          <w:szCs w:val="18"/>
        </w:rPr>
        <w:t>3</w:t>
      </w:r>
      <w:r w:rsidRPr="006D6EC6">
        <w:rPr>
          <w:rFonts w:ascii="Times New Roman" w:hAnsi="Times New Roman" w:cs="Times New Roman"/>
          <w:b/>
          <w:snapToGrid w:val="0"/>
          <w:szCs w:val="18"/>
        </w:rPr>
        <w:t xml:space="preserve">. </w:t>
      </w:r>
      <w:r w:rsidRPr="006D6EC6">
        <w:rPr>
          <w:rFonts w:ascii="Times New Roman" w:hAnsi="Times New Roman" w:cs="Times New Roman"/>
          <w:snapToGrid w:val="0"/>
          <w:szCs w:val="18"/>
        </w:rPr>
        <w:t>Final 25-predictor panel and outer-fold selection stability.</w:t>
      </w:r>
    </w:p>
    <w:tbl>
      <w:tblPr>
        <w:tblStyle w:val="MDPItable"/>
        <w:tblW w:w="7857" w:type="dxa"/>
        <w:tblInd w:w="2608" w:type="dxa"/>
        <w:tblLayout w:type="fixed"/>
        <w:tblLook w:val="04A0" w:firstRow="1" w:lastRow="0" w:firstColumn="1" w:lastColumn="0" w:noHBand="0" w:noVBand="1"/>
      </w:tblPr>
      <w:tblGrid>
        <w:gridCol w:w="1355"/>
        <w:gridCol w:w="1987"/>
        <w:gridCol w:w="1716"/>
        <w:gridCol w:w="1264"/>
        <w:gridCol w:w="1535"/>
      </w:tblGrid>
      <w:tr w:rsidR="00083AA0" w:rsidRPr="006D6EC6" w14:paraId="28827222" w14:textId="77777777" w:rsidTr="00CD0244">
        <w:trPr>
          <w:cantSplit/>
          <w:tblHeader/>
        </w:trPr>
        <w:tc>
          <w:tcPr>
            <w:tcW w:w="1350" w:type="dxa"/>
            <w:tcBorders>
              <w:top w:val="single" w:sz="8" w:space="0" w:color="auto"/>
              <w:bottom w:val="single" w:sz="4" w:space="0" w:color="auto"/>
            </w:tcBorders>
            <w:tcMar>
              <w:top w:w="80" w:type="dxa"/>
              <w:left w:w="80" w:type="dxa"/>
              <w:bottom w:w="80" w:type="dxa"/>
              <w:right w:w="80" w:type="dxa"/>
            </w:tcMar>
            <w:vAlign w:val="center"/>
          </w:tcPr>
          <w:p w14:paraId="3D593CA5" w14:textId="77777777" w:rsidR="00083AA0" w:rsidRPr="006D6EC6" w:rsidRDefault="00083AA0" w:rsidP="00CD0244">
            <w:pPr>
              <w:pStyle w:val="MDPI42tablebody"/>
              <w:rPr>
                <w:rFonts w:ascii="Times New Roman" w:hAnsi="Times New Roman"/>
                <w:b/>
                <w:sz w:val="18"/>
                <w:szCs w:val="18"/>
              </w:rPr>
            </w:pPr>
            <w:r w:rsidRPr="006D6EC6">
              <w:rPr>
                <w:rFonts w:ascii="Times New Roman" w:hAnsi="Times New Roman"/>
                <w:b/>
                <w:sz w:val="18"/>
                <w:szCs w:val="18"/>
              </w:rPr>
              <w:t>Consensus rank</w:t>
            </w:r>
          </w:p>
        </w:tc>
        <w:tc>
          <w:tcPr>
            <w:tcW w:w="1980" w:type="dxa"/>
            <w:tcBorders>
              <w:top w:val="single" w:sz="8" w:space="0" w:color="auto"/>
              <w:bottom w:val="single" w:sz="4" w:space="0" w:color="auto"/>
            </w:tcBorders>
            <w:tcMar>
              <w:top w:w="80" w:type="dxa"/>
              <w:left w:w="80" w:type="dxa"/>
              <w:bottom w:w="80" w:type="dxa"/>
              <w:right w:w="80" w:type="dxa"/>
            </w:tcMar>
            <w:vAlign w:val="center"/>
          </w:tcPr>
          <w:p w14:paraId="23785165" w14:textId="77777777" w:rsidR="00083AA0" w:rsidRPr="006D6EC6" w:rsidRDefault="00083AA0" w:rsidP="00CD0244">
            <w:pPr>
              <w:pStyle w:val="MDPI42tablebody"/>
              <w:rPr>
                <w:rFonts w:ascii="Times New Roman" w:hAnsi="Times New Roman"/>
                <w:b/>
                <w:sz w:val="18"/>
                <w:szCs w:val="18"/>
              </w:rPr>
            </w:pPr>
            <w:r w:rsidRPr="006D6EC6">
              <w:rPr>
                <w:rFonts w:ascii="Times New Roman" w:hAnsi="Times New Roman"/>
                <w:b/>
                <w:sz w:val="18"/>
                <w:szCs w:val="18"/>
              </w:rPr>
              <w:t>Predictor</w:t>
            </w:r>
          </w:p>
        </w:tc>
        <w:tc>
          <w:tcPr>
            <w:tcW w:w="1710" w:type="dxa"/>
            <w:tcBorders>
              <w:top w:val="single" w:sz="8" w:space="0" w:color="auto"/>
              <w:bottom w:val="single" w:sz="4" w:space="0" w:color="auto"/>
            </w:tcBorders>
            <w:tcMar>
              <w:top w:w="80" w:type="dxa"/>
              <w:left w:w="80" w:type="dxa"/>
              <w:bottom w:w="80" w:type="dxa"/>
              <w:right w:w="80" w:type="dxa"/>
            </w:tcMar>
            <w:vAlign w:val="center"/>
          </w:tcPr>
          <w:p w14:paraId="59D76628" w14:textId="77777777" w:rsidR="00083AA0" w:rsidRPr="006D6EC6" w:rsidRDefault="00083AA0" w:rsidP="00CD0244">
            <w:pPr>
              <w:pStyle w:val="MDPI42tablebody"/>
              <w:rPr>
                <w:rFonts w:ascii="Times New Roman" w:hAnsi="Times New Roman"/>
                <w:b/>
                <w:sz w:val="18"/>
                <w:szCs w:val="18"/>
              </w:rPr>
            </w:pPr>
            <w:r w:rsidRPr="006D6EC6">
              <w:rPr>
                <w:rFonts w:ascii="Times New Roman" w:hAnsi="Times New Roman"/>
                <w:b/>
                <w:sz w:val="18"/>
                <w:szCs w:val="18"/>
              </w:rPr>
              <w:t>Predictor category</w:t>
            </w:r>
          </w:p>
        </w:tc>
        <w:tc>
          <w:tcPr>
            <w:tcW w:w="1260" w:type="dxa"/>
            <w:tcBorders>
              <w:top w:val="single" w:sz="8" w:space="0" w:color="auto"/>
              <w:bottom w:val="single" w:sz="4" w:space="0" w:color="auto"/>
            </w:tcBorders>
            <w:tcMar>
              <w:top w:w="80" w:type="dxa"/>
              <w:left w:w="80" w:type="dxa"/>
              <w:bottom w:w="80" w:type="dxa"/>
              <w:right w:w="80" w:type="dxa"/>
            </w:tcMar>
            <w:vAlign w:val="center"/>
          </w:tcPr>
          <w:p w14:paraId="3776FDE6" w14:textId="77777777" w:rsidR="00083AA0" w:rsidRPr="006D6EC6" w:rsidRDefault="00083AA0" w:rsidP="00CD0244">
            <w:pPr>
              <w:pStyle w:val="MDPI42tablebody"/>
              <w:rPr>
                <w:rFonts w:ascii="Times New Roman" w:hAnsi="Times New Roman"/>
                <w:b/>
                <w:sz w:val="18"/>
                <w:szCs w:val="18"/>
              </w:rPr>
            </w:pPr>
            <w:r w:rsidRPr="006D6EC6">
              <w:rPr>
                <w:rFonts w:ascii="Times New Roman" w:hAnsi="Times New Roman"/>
                <w:b/>
                <w:sz w:val="18"/>
                <w:szCs w:val="18"/>
              </w:rPr>
              <w:t>Selected outer folds</w:t>
            </w:r>
          </w:p>
        </w:tc>
        <w:tc>
          <w:tcPr>
            <w:tcW w:w="1530" w:type="dxa"/>
            <w:tcBorders>
              <w:top w:val="single" w:sz="8" w:space="0" w:color="auto"/>
              <w:bottom w:val="single" w:sz="4" w:space="0" w:color="auto"/>
            </w:tcBorders>
            <w:tcMar>
              <w:top w:w="80" w:type="dxa"/>
              <w:left w:w="80" w:type="dxa"/>
              <w:bottom w:w="80" w:type="dxa"/>
              <w:right w:w="80" w:type="dxa"/>
            </w:tcMar>
            <w:vAlign w:val="center"/>
          </w:tcPr>
          <w:p w14:paraId="6AF73393" w14:textId="77777777" w:rsidR="00083AA0" w:rsidRPr="006D6EC6" w:rsidRDefault="00083AA0" w:rsidP="00CD0244">
            <w:pPr>
              <w:pStyle w:val="MDPI42tablebody"/>
              <w:rPr>
                <w:rFonts w:ascii="Times New Roman" w:hAnsi="Times New Roman"/>
                <w:b/>
                <w:sz w:val="18"/>
                <w:szCs w:val="18"/>
              </w:rPr>
            </w:pPr>
            <w:r w:rsidRPr="006D6EC6">
              <w:rPr>
                <w:rFonts w:ascii="Times New Roman" w:hAnsi="Times New Roman"/>
                <w:b/>
                <w:sz w:val="18"/>
                <w:szCs w:val="18"/>
              </w:rPr>
              <w:t>Selection frequency</w:t>
            </w:r>
          </w:p>
        </w:tc>
      </w:tr>
      <w:tr w:rsidR="00083AA0" w:rsidRPr="006D6EC6" w14:paraId="6490ED98" w14:textId="77777777" w:rsidTr="00CD0244">
        <w:trPr>
          <w:cantSplit/>
        </w:trPr>
        <w:tc>
          <w:tcPr>
            <w:tcW w:w="135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w:t>
            </w:r>
          </w:p>
        </w:tc>
        <w:tc>
          <w:tcPr>
            <w:tcW w:w="198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BayesDel_addAF_rankscore</w:t>
            </w:r>
            <w:proofErr w:type="spellEnd"/>
          </w:p>
        </w:tc>
        <w:tc>
          <w:tcPr>
            <w:tcW w:w="171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14DD5B1B" w14:textId="77777777" w:rsidTr="00CD0244">
        <w:trPr>
          <w:cantSplit/>
        </w:trPr>
        <w:tc>
          <w:tcPr>
            <w:tcW w:w="1350" w:type="dxa"/>
            <w:tcMar>
              <w:top w:w="80" w:type="dxa"/>
              <w:left w:w="80" w:type="dxa"/>
              <w:bottom w:w="80" w:type="dxa"/>
              <w:right w:w="80" w:type="dxa"/>
            </w:tcMar>
            <w:vAlign w:val="center"/>
          </w:tcPr>
          <w:p w14:paraId="26F7C67F"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w:t>
            </w:r>
          </w:p>
        </w:tc>
        <w:tc>
          <w:tcPr>
            <w:tcW w:w="1980" w:type="dxa"/>
            <w:tcMar>
              <w:top w:w="80" w:type="dxa"/>
              <w:left w:w="80" w:type="dxa"/>
              <w:bottom w:w="80" w:type="dxa"/>
              <w:right w:w="80" w:type="dxa"/>
            </w:tcMar>
            <w:vAlign w:val="center"/>
          </w:tcPr>
          <w:p w14:paraId="0A86CDA8"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ClinPred_rankscore</w:t>
            </w:r>
            <w:proofErr w:type="spellEnd"/>
          </w:p>
        </w:tc>
        <w:tc>
          <w:tcPr>
            <w:tcW w:w="1710" w:type="dxa"/>
            <w:tcMar>
              <w:top w:w="80" w:type="dxa"/>
              <w:left w:w="80" w:type="dxa"/>
              <w:bottom w:w="80" w:type="dxa"/>
              <w:right w:w="80" w:type="dxa"/>
            </w:tcMar>
            <w:vAlign w:val="center"/>
          </w:tcPr>
          <w:p w14:paraId="708C5F80"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5438978D"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1A1AE55A"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2EB0791C" w14:textId="77777777" w:rsidTr="00CD0244">
        <w:trPr>
          <w:cantSplit/>
        </w:trPr>
        <w:tc>
          <w:tcPr>
            <w:tcW w:w="1350" w:type="dxa"/>
            <w:tcMar>
              <w:top w:w="80" w:type="dxa"/>
              <w:left w:w="80" w:type="dxa"/>
              <w:bottom w:w="80" w:type="dxa"/>
              <w:right w:w="80" w:type="dxa"/>
            </w:tcMar>
            <w:vAlign w:val="center"/>
          </w:tcPr>
          <w:p w14:paraId="0AFCD12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3</w:t>
            </w:r>
          </w:p>
        </w:tc>
        <w:tc>
          <w:tcPr>
            <w:tcW w:w="1980" w:type="dxa"/>
            <w:tcMar>
              <w:top w:w="80" w:type="dxa"/>
              <w:left w:w="80" w:type="dxa"/>
              <w:bottom w:w="80" w:type="dxa"/>
              <w:right w:w="80" w:type="dxa"/>
            </w:tcMar>
            <w:vAlign w:val="center"/>
          </w:tcPr>
          <w:p w14:paraId="1FEFD347"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am_pathogenicity</w:t>
            </w:r>
            <w:proofErr w:type="spellEnd"/>
          </w:p>
        </w:tc>
        <w:tc>
          <w:tcPr>
            <w:tcW w:w="1710" w:type="dxa"/>
            <w:tcMar>
              <w:top w:w="80" w:type="dxa"/>
              <w:left w:w="80" w:type="dxa"/>
              <w:bottom w:w="80" w:type="dxa"/>
              <w:right w:w="80" w:type="dxa"/>
            </w:tcMar>
            <w:vAlign w:val="center"/>
          </w:tcPr>
          <w:p w14:paraId="4E892109"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7DC532BA"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11380F52"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5529D11C" w14:textId="77777777" w:rsidTr="00CD0244">
        <w:trPr>
          <w:cantSplit/>
        </w:trPr>
        <w:tc>
          <w:tcPr>
            <w:tcW w:w="1350" w:type="dxa"/>
            <w:tcMar>
              <w:top w:w="80" w:type="dxa"/>
              <w:left w:w="80" w:type="dxa"/>
              <w:bottom w:w="80" w:type="dxa"/>
              <w:right w:w="80" w:type="dxa"/>
            </w:tcMar>
            <w:vAlign w:val="center"/>
          </w:tcPr>
          <w:p w14:paraId="4322E31D"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4</w:t>
            </w:r>
          </w:p>
        </w:tc>
        <w:tc>
          <w:tcPr>
            <w:tcW w:w="1980" w:type="dxa"/>
            <w:tcMar>
              <w:top w:w="80" w:type="dxa"/>
              <w:left w:w="80" w:type="dxa"/>
              <w:bottom w:w="80" w:type="dxa"/>
              <w:right w:w="80" w:type="dxa"/>
            </w:tcMar>
            <w:vAlign w:val="center"/>
          </w:tcPr>
          <w:p w14:paraId="2C6FB55D"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MutationTaster_rankscore</w:t>
            </w:r>
            <w:proofErr w:type="spellEnd"/>
          </w:p>
        </w:tc>
        <w:tc>
          <w:tcPr>
            <w:tcW w:w="1710" w:type="dxa"/>
            <w:tcMar>
              <w:top w:w="80" w:type="dxa"/>
              <w:left w:w="80" w:type="dxa"/>
              <w:bottom w:w="80" w:type="dxa"/>
              <w:right w:w="80" w:type="dxa"/>
            </w:tcMar>
            <w:vAlign w:val="center"/>
          </w:tcPr>
          <w:p w14:paraId="548D84DB"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542E97C1"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1A80AAEC"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45506411" w14:textId="77777777" w:rsidTr="00CD0244">
        <w:trPr>
          <w:cantSplit/>
        </w:trPr>
        <w:tc>
          <w:tcPr>
            <w:tcW w:w="1350" w:type="dxa"/>
            <w:tcMar>
              <w:top w:w="80" w:type="dxa"/>
              <w:left w:w="80" w:type="dxa"/>
              <w:bottom w:w="80" w:type="dxa"/>
              <w:right w:w="80" w:type="dxa"/>
            </w:tcMar>
            <w:vAlign w:val="center"/>
          </w:tcPr>
          <w:p w14:paraId="404813E9"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5</w:t>
            </w:r>
          </w:p>
        </w:tc>
        <w:tc>
          <w:tcPr>
            <w:tcW w:w="1980" w:type="dxa"/>
            <w:tcMar>
              <w:top w:w="80" w:type="dxa"/>
              <w:left w:w="80" w:type="dxa"/>
              <w:bottom w:w="80" w:type="dxa"/>
              <w:right w:w="80" w:type="dxa"/>
            </w:tcMar>
            <w:vAlign w:val="center"/>
          </w:tcPr>
          <w:p w14:paraId="2830AB56"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gMVP_rankscore</w:t>
            </w:r>
            <w:proofErr w:type="spellEnd"/>
          </w:p>
        </w:tc>
        <w:tc>
          <w:tcPr>
            <w:tcW w:w="1710" w:type="dxa"/>
            <w:tcMar>
              <w:top w:w="80" w:type="dxa"/>
              <w:left w:w="80" w:type="dxa"/>
              <w:bottom w:w="80" w:type="dxa"/>
              <w:right w:w="80" w:type="dxa"/>
            </w:tcMar>
            <w:vAlign w:val="center"/>
          </w:tcPr>
          <w:p w14:paraId="6E29C5FA"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539CE97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24</w:t>
            </w:r>
          </w:p>
        </w:tc>
        <w:tc>
          <w:tcPr>
            <w:tcW w:w="1530" w:type="dxa"/>
            <w:tcMar>
              <w:top w:w="80" w:type="dxa"/>
              <w:left w:w="80" w:type="dxa"/>
              <w:bottom w:w="80" w:type="dxa"/>
              <w:right w:w="80" w:type="dxa"/>
            </w:tcMar>
            <w:vAlign w:val="center"/>
          </w:tcPr>
          <w:p w14:paraId="45B4D4B1"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96.0%</w:t>
            </w:r>
          </w:p>
        </w:tc>
      </w:tr>
      <w:tr w:rsidR="00083AA0" w:rsidRPr="006D6EC6" w14:paraId="7DA94FAE" w14:textId="77777777" w:rsidTr="00CD0244">
        <w:trPr>
          <w:cantSplit/>
        </w:trPr>
        <w:tc>
          <w:tcPr>
            <w:tcW w:w="1350" w:type="dxa"/>
            <w:tcMar>
              <w:top w:w="80" w:type="dxa"/>
              <w:left w:w="80" w:type="dxa"/>
              <w:bottom w:w="80" w:type="dxa"/>
              <w:right w:w="80" w:type="dxa"/>
            </w:tcMar>
            <w:vAlign w:val="center"/>
          </w:tcPr>
          <w:p w14:paraId="381BAAE1"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6</w:t>
            </w:r>
          </w:p>
        </w:tc>
        <w:tc>
          <w:tcPr>
            <w:tcW w:w="1980" w:type="dxa"/>
            <w:tcMar>
              <w:top w:w="80" w:type="dxa"/>
              <w:left w:w="80" w:type="dxa"/>
              <w:bottom w:w="80" w:type="dxa"/>
              <w:right w:w="80" w:type="dxa"/>
            </w:tcMar>
            <w:vAlign w:val="center"/>
          </w:tcPr>
          <w:p w14:paraId="18775740"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CADD_PHRED</w:t>
            </w:r>
          </w:p>
        </w:tc>
        <w:tc>
          <w:tcPr>
            <w:tcW w:w="1710" w:type="dxa"/>
            <w:tcMar>
              <w:top w:w="80" w:type="dxa"/>
              <w:left w:w="80" w:type="dxa"/>
              <w:bottom w:w="80" w:type="dxa"/>
              <w:right w:w="80" w:type="dxa"/>
            </w:tcMar>
            <w:vAlign w:val="center"/>
          </w:tcPr>
          <w:p w14:paraId="355B001A"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7F1FB4B7"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7E64D76C"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60BCD224" w14:textId="77777777" w:rsidTr="00CD0244">
        <w:trPr>
          <w:cantSplit/>
        </w:trPr>
        <w:tc>
          <w:tcPr>
            <w:tcW w:w="1350" w:type="dxa"/>
            <w:tcMar>
              <w:top w:w="80" w:type="dxa"/>
              <w:left w:w="80" w:type="dxa"/>
              <w:bottom w:w="80" w:type="dxa"/>
              <w:right w:w="80" w:type="dxa"/>
            </w:tcMar>
            <w:vAlign w:val="center"/>
          </w:tcPr>
          <w:p w14:paraId="6362B361"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7</w:t>
            </w:r>
          </w:p>
        </w:tc>
        <w:tc>
          <w:tcPr>
            <w:tcW w:w="1980" w:type="dxa"/>
            <w:tcMar>
              <w:top w:w="80" w:type="dxa"/>
              <w:left w:w="80" w:type="dxa"/>
              <w:bottom w:w="80" w:type="dxa"/>
              <w:right w:w="80" w:type="dxa"/>
            </w:tcMar>
            <w:vAlign w:val="center"/>
          </w:tcPr>
          <w:p w14:paraId="5C88831A"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MutPred2_rankscore</w:t>
            </w:r>
          </w:p>
        </w:tc>
        <w:tc>
          <w:tcPr>
            <w:tcW w:w="1710" w:type="dxa"/>
            <w:tcMar>
              <w:top w:w="80" w:type="dxa"/>
              <w:left w:w="80" w:type="dxa"/>
              <w:bottom w:w="80" w:type="dxa"/>
              <w:right w:w="80" w:type="dxa"/>
            </w:tcMar>
            <w:vAlign w:val="center"/>
          </w:tcPr>
          <w:p w14:paraId="7C1A67BD"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1C0AC210"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63C391CA"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05359605" w14:textId="77777777" w:rsidTr="00CD0244">
        <w:trPr>
          <w:cantSplit/>
        </w:trPr>
        <w:tc>
          <w:tcPr>
            <w:tcW w:w="1350" w:type="dxa"/>
            <w:tcMar>
              <w:top w:w="80" w:type="dxa"/>
              <w:left w:w="80" w:type="dxa"/>
              <w:bottom w:w="80" w:type="dxa"/>
              <w:right w:w="80" w:type="dxa"/>
            </w:tcMar>
            <w:vAlign w:val="center"/>
          </w:tcPr>
          <w:p w14:paraId="46D68E29"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8</w:t>
            </w:r>
          </w:p>
        </w:tc>
        <w:tc>
          <w:tcPr>
            <w:tcW w:w="1980" w:type="dxa"/>
            <w:tcMar>
              <w:top w:w="80" w:type="dxa"/>
              <w:left w:w="80" w:type="dxa"/>
              <w:bottom w:w="80" w:type="dxa"/>
              <w:right w:w="80" w:type="dxa"/>
            </w:tcMar>
            <w:vAlign w:val="center"/>
          </w:tcPr>
          <w:p w14:paraId="3018A7FE"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ESM1b_converted_rankscore</w:t>
            </w:r>
          </w:p>
        </w:tc>
        <w:tc>
          <w:tcPr>
            <w:tcW w:w="1710" w:type="dxa"/>
            <w:tcMar>
              <w:top w:w="80" w:type="dxa"/>
              <w:left w:w="80" w:type="dxa"/>
              <w:bottom w:w="80" w:type="dxa"/>
              <w:right w:w="80" w:type="dxa"/>
            </w:tcMar>
            <w:vAlign w:val="center"/>
          </w:tcPr>
          <w:p w14:paraId="3CF180BC"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17E46E6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316B8762"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6EF224D1" w14:textId="77777777" w:rsidTr="00CD0244">
        <w:trPr>
          <w:cantSplit/>
        </w:trPr>
        <w:tc>
          <w:tcPr>
            <w:tcW w:w="1350" w:type="dxa"/>
            <w:tcMar>
              <w:top w:w="80" w:type="dxa"/>
              <w:left w:w="80" w:type="dxa"/>
              <w:bottom w:w="80" w:type="dxa"/>
              <w:right w:w="80" w:type="dxa"/>
            </w:tcMar>
            <w:vAlign w:val="center"/>
          </w:tcPr>
          <w:p w14:paraId="73C8E201"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9</w:t>
            </w:r>
          </w:p>
        </w:tc>
        <w:tc>
          <w:tcPr>
            <w:tcW w:w="1980" w:type="dxa"/>
            <w:tcMar>
              <w:top w:w="80" w:type="dxa"/>
              <w:left w:w="80" w:type="dxa"/>
              <w:bottom w:w="80" w:type="dxa"/>
              <w:right w:w="80" w:type="dxa"/>
            </w:tcMar>
            <w:vAlign w:val="center"/>
          </w:tcPr>
          <w:p w14:paraId="7C93364C"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VARITY_R_rankscore</w:t>
            </w:r>
            <w:proofErr w:type="spellEnd"/>
          </w:p>
        </w:tc>
        <w:tc>
          <w:tcPr>
            <w:tcW w:w="1710" w:type="dxa"/>
            <w:tcMar>
              <w:top w:w="80" w:type="dxa"/>
              <w:left w:w="80" w:type="dxa"/>
              <w:bottom w:w="80" w:type="dxa"/>
              <w:right w:w="80" w:type="dxa"/>
            </w:tcMar>
            <w:vAlign w:val="center"/>
          </w:tcPr>
          <w:p w14:paraId="3696FE37"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59A36084"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6BBA8E4E"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6D0B60A4" w14:textId="77777777" w:rsidTr="00CD0244">
        <w:trPr>
          <w:cantSplit/>
        </w:trPr>
        <w:tc>
          <w:tcPr>
            <w:tcW w:w="1350" w:type="dxa"/>
            <w:tcMar>
              <w:top w:w="80" w:type="dxa"/>
              <w:left w:w="80" w:type="dxa"/>
              <w:bottom w:w="80" w:type="dxa"/>
              <w:right w:w="80" w:type="dxa"/>
            </w:tcMar>
            <w:vAlign w:val="center"/>
          </w:tcPr>
          <w:p w14:paraId="5A7B681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w:t>
            </w:r>
          </w:p>
        </w:tc>
        <w:tc>
          <w:tcPr>
            <w:tcW w:w="1980" w:type="dxa"/>
            <w:tcMar>
              <w:top w:w="80" w:type="dxa"/>
              <w:left w:w="80" w:type="dxa"/>
              <w:bottom w:w="80" w:type="dxa"/>
              <w:right w:w="80" w:type="dxa"/>
            </w:tcMar>
            <w:vAlign w:val="center"/>
          </w:tcPr>
          <w:p w14:paraId="4B548E5F"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MVP_rankscore</w:t>
            </w:r>
            <w:proofErr w:type="spellEnd"/>
          </w:p>
        </w:tc>
        <w:tc>
          <w:tcPr>
            <w:tcW w:w="1710" w:type="dxa"/>
            <w:tcMar>
              <w:top w:w="80" w:type="dxa"/>
              <w:left w:w="80" w:type="dxa"/>
              <w:bottom w:w="80" w:type="dxa"/>
              <w:right w:w="80" w:type="dxa"/>
            </w:tcMar>
            <w:vAlign w:val="center"/>
          </w:tcPr>
          <w:p w14:paraId="05E6BAD1"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7F999167"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416C2670"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4794436C" w14:textId="77777777" w:rsidTr="00CD0244">
        <w:trPr>
          <w:cantSplit/>
        </w:trPr>
        <w:tc>
          <w:tcPr>
            <w:tcW w:w="1350" w:type="dxa"/>
            <w:tcMar>
              <w:top w:w="80" w:type="dxa"/>
              <w:left w:w="80" w:type="dxa"/>
              <w:bottom w:w="80" w:type="dxa"/>
              <w:right w:w="80" w:type="dxa"/>
            </w:tcMar>
            <w:vAlign w:val="center"/>
          </w:tcPr>
          <w:p w14:paraId="68875821"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11</w:t>
            </w:r>
          </w:p>
        </w:tc>
        <w:tc>
          <w:tcPr>
            <w:tcW w:w="1980" w:type="dxa"/>
            <w:tcMar>
              <w:top w:w="80" w:type="dxa"/>
              <w:left w:w="80" w:type="dxa"/>
              <w:bottom w:w="80" w:type="dxa"/>
              <w:right w:w="80" w:type="dxa"/>
            </w:tcMar>
            <w:vAlign w:val="center"/>
          </w:tcPr>
          <w:p w14:paraId="2B4CE13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phyloP470way_mammalian_rankscore</w:t>
            </w:r>
          </w:p>
        </w:tc>
        <w:tc>
          <w:tcPr>
            <w:tcW w:w="1710" w:type="dxa"/>
            <w:tcMar>
              <w:top w:w="80" w:type="dxa"/>
              <w:left w:w="80" w:type="dxa"/>
              <w:bottom w:w="80" w:type="dxa"/>
              <w:right w:w="80" w:type="dxa"/>
            </w:tcMar>
            <w:vAlign w:val="center"/>
          </w:tcPr>
          <w:p w14:paraId="3F683AFE"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Conservation</w:t>
            </w:r>
          </w:p>
        </w:tc>
        <w:tc>
          <w:tcPr>
            <w:tcW w:w="1260" w:type="dxa"/>
            <w:tcMar>
              <w:top w:w="80" w:type="dxa"/>
              <w:left w:w="80" w:type="dxa"/>
              <w:bottom w:w="80" w:type="dxa"/>
              <w:right w:w="80" w:type="dxa"/>
            </w:tcMar>
            <w:vAlign w:val="center"/>
          </w:tcPr>
          <w:p w14:paraId="1CABF778"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24</w:t>
            </w:r>
          </w:p>
        </w:tc>
        <w:tc>
          <w:tcPr>
            <w:tcW w:w="1530" w:type="dxa"/>
            <w:tcMar>
              <w:top w:w="80" w:type="dxa"/>
              <w:left w:w="80" w:type="dxa"/>
              <w:bottom w:w="80" w:type="dxa"/>
              <w:right w:w="80" w:type="dxa"/>
            </w:tcMar>
            <w:vAlign w:val="center"/>
          </w:tcPr>
          <w:p w14:paraId="0C417E3B"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96.0%</w:t>
            </w:r>
          </w:p>
        </w:tc>
      </w:tr>
      <w:tr w:rsidR="00083AA0" w:rsidRPr="006D6EC6" w14:paraId="55822359" w14:textId="77777777" w:rsidTr="00CD0244">
        <w:trPr>
          <w:cantSplit/>
        </w:trPr>
        <w:tc>
          <w:tcPr>
            <w:tcW w:w="1350" w:type="dxa"/>
            <w:tcMar>
              <w:top w:w="80" w:type="dxa"/>
              <w:left w:w="80" w:type="dxa"/>
              <w:bottom w:w="80" w:type="dxa"/>
              <w:right w:w="80" w:type="dxa"/>
            </w:tcMar>
            <w:vAlign w:val="center"/>
          </w:tcPr>
          <w:p w14:paraId="1DEB6399"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lastRenderedPageBreak/>
              <w:t>12</w:t>
            </w:r>
          </w:p>
        </w:tc>
        <w:tc>
          <w:tcPr>
            <w:tcW w:w="1980" w:type="dxa"/>
            <w:tcMar>
              <w:top w:w="80" w:type="dxa"/>
              <w:left w:w="80" w:type="dxa"/>
              <w:bottom w:w="80" w:type="dxa"/>
              <w:right w:w="80" w:type="dxa"/>
            </w:tcMar>
            <w:vAlign w:val="center"/>
          </w:tcPr>
          <w:p w14:paraId="6A58A47E"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fathmm-XF_coding_rankscore</w:t>
            </w:r>
            <w:proofErr w:type="spellEnd"/>
          </w:p>
        </w:tc>
        <w:tc>
          <w:tcPr>
            <w:tcW w:w="1710" w:type="dxa"/>
            <w:tcMar>
              <w:top w:w="80" w:type="dxa"/>
              <w:left w:w="80" w:type="dxa"/>
              <w:bottom w:w="80" w:type="dxa"/>
              <w:right w:w="80" w:type="dxa"/>
            </w:tcMar>
            <w:vAlign w:val="center"/>
          </w:tcPr>
          <w:p w14:paraId="65AB73A7"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7D80AD7F"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4C8CED8D"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79F96D84" w14:textId="77777777" w:rsidTr="00CD0244">
        <w:trPr>
          <w:cantSplit/>
        </w:trPr>
        <w:tc>
          <w:tcPr>
            <w:tcW w:w="1350" w:type="dxa"/>
            <w:tcMar>
              <w:top w:w="80" w:type="dxa"/>
              <w:left w:w="80" w:type="dxa"/>
              <w:bottom w:w="80" w:type="dxa"/>
              <w:right w:w="80" w:type="dxa"/>
            </w:tcMar>
            <w:vAlign w:val="center"/>
          </w:tcPr>
          <w:p w14:paraId="7C92E119"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13</w:t>
            </w:r>
          </w:p>
        </w:tc>
        <w:tc>
          <w:tcPr>
            <w:tcW w:w="1980" w:type="dxa"/>
            <w:tcMar>
              <w:top w:w="80" w:type="dxa"/>
              <w:left w:w="80" w:type="dxa"/>
              <w:bottom w:w="80" w:type="dxa"/>
              <w:right w:w="80" w:type="dxa"/>
            </w:tcMar>
            <w:vAlign w:val="center"/>
          </w:tcPr>
          <w:p w14:paraId="29D27F22"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bStatistic_converted_rankscore</w:t>
            </w:r>
            <w:proofErr w:type="spellEnd"/>
          </w:p>
        </w:tc>
        <w:tc>
          <w:tcPr>
            <w:tcW w:w="1710" w:type="dxa"/>
            <w:tcMar>
              <w:top w:w="80" w:type="dxa"/>
              <w:left w:w="80" w:type="dxa"/>
              <w:bottom w:w="80" w:type="dxa"/>
              <w:right w:w="80" w:type="dxa"/>
            </w:tcMar>
            <w:vAlign w:val="center"/>
          </w:tcPr>
          <w:p w14:paraId="0B64095B"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Context / constraint</w:t>
            </w:r>
          </w:p>
        </w:tc>
        <w:tc>
          <w:tcPr>
            <w:tcW w:w="1260" w:type="dxa"/>
            <w:tcMar>
              <w:top w:w="80" w:type="dxa"/>
              <w:left w:w="80" w:type="dxa"/>
              <w:bottom w:w="80" w:type="dxa"/>
              <w:right w:w="80" w:type="dxa"/>
            </w:tcMar>
            <w:vAlign w:val="center"/>
          </w:tcPr>
          <w:p w14:paraId="17C79EE9"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6028029F"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49B1BA0F" w14:textId="77777777" w:rsidTr="00CD0244">
        <w:trPr>
          <w:cantSplit/>
        </w:trPr>
        <w:tc>
          <w:tcPr>
            <w:tcW w:w="1350" w:type="dxa"/>
            <w:tcMar>
              <w:top w:w="80" w:type="dxa"/>
              <w:left w:w="80" w:type="dxa"/>
              <w:bottom w:w="80" w:type="dxa"/>
              <w:right w:w="80" w:type="dxa"/>
            </w:tcMar>
            <w:vAlign w:val="center"/>
          </w:tcPr>
          <w:p w14:paraId="70EB6666"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14</w:t>
            </w:r>
          </w:p>
        </w:tc>
        <w:tc>
          <w:tcPr>
            <w:tcW w:w="1980" w:type="dxa"/>
            <w:tcMar>
              <w:top w:w="80" w:type="dxa"/>
              <w:left w:w="80" w:type="dxa"/>
              <w:bottom w:w="80" w:type="dxa"/>
              <w:right w:w="80" w:type="dxa"/>
            </w:tcMar>
            <w:vAlign w:val="center"/>
          </w:tcPr>
          <w:p w14:paraId="11C4443A"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phyloP100way_vertebrate_rankscore</w:t>
            </w:r>
          </w:p>
        </w:tc>
        <w:tc>
          <w:tcPr>
            <w:tcW w:w="1710" w:type="dxa"/>
            <w:tcMar>
              <w:top w:w="80" w:type="dxa"/>
              <w:left w:w="80" w:type="dxa"/>
              <w:bottom w:w="80" w:type="dxa"/>
              <w:right w:w="80" w:type="dxa"/>
            </w:tcMar>
            <w:vAlign w:val="center"/>
          </w:tcPr>
          <w:p w14:paraId="317A319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Conservation</w:t>
            </w:r>
          </w:p>
        </w:tc>
        <w:tc>
          <w:tcPr>
            <w:tcW w:w="1260" w:type="dxa"/>
            <w:tcMar>
              <w:top w:w="80" w:type="dxa"/>
              <w:left w:w="80" w:type="dxa"/>
              <w:bottom w:w="80" w:type="dxa"/>
              <w:right w:w="80" w:type="dxa"/>
            </w:tcMar>
            <w:vAlign w:val="center"/>
          </w:tcPr>
          <w:p w14:paraId="37CC9956"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3F235647"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411837D3" w14:textId="77777777" w:rsidTr="00CD0244">
        <w:trPr>
          <w:cantSplit/>
        </w:trPr>
        <w:tc>
          <w:tcPr>
            <w:tcW w:w="1350" w:type="dxa"/>
            <w:tcMar>
              <w:top w:w="80" w:type="dxa"/>
              <w:left w:w="80" w:type="dxa"/>
              <w:bottom w:w="80" w:type="dxa"/>
              <w:right w:w="80" w:type="dxa"/>
            </w:tcMar>
            <w:vAlign w:val="center"/>
          </w:tcPr>
          <w:p w14:paraId="423BAA3D"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15</w:t>
            </w:r>
          </w:p>
        </w:tc>
        <w:tc>
          <w:tcPr>
            <w:tcW w:w="1980" w:type="dxa"/>
            <w:tcMar>
              <w:top w:w="80" w:type="dxa"/>
              <w:left w:w="80" w:type="dxa"/>
              <w:bottom w:w="80" w:type="dxa"/>
              <w:right w:w="80" w:type="dxa"/>
            </w:tcMar>
            <w:vAlign w:val="center"/>
          </w:tcPr>
          <w:p w14:paraId="05FEC95E"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GERP++_</w:t>
            </w:r>
            <w:proofErr w:type="spellStart"/>
            <w:r w:rsidRPr="006D6EC6">
              <w:rPr>
                <w:rFonts w:ascii="Times New Roman" w:hAnsi="Times New Roman"/>
                <w:sz w:val="18"/>
                <w:szCs w:val="18"/>
              </w:rPr>
              <w:t>RS_rankscore</w:t>
            </w:r>
            <w:proofErr w:type="spellEnd"/>
          </w:p>
        </w:tc>
        <w:tc>
          <w:tcPr>
            <w:tcW w:w="1710" w:type="dxa"/>
            <w:tcMar>
              <w:top w:w="80" w:type="dxa"/>
              <w:left w:w="80" w:type="dxa"/>
              <w:bottom w:w="80" w:type="dxa"/>
              <w:right w:w="80" w:type="dxa"/>
            </w:tcMar>
            <w:vAlign w:val="center"/>
          </w:tcPr>
          <w:p w14:paraId="1A7FE182"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Conservation</w:t>
            </w:r>
          </w:p>
        </w:tc>
        <w:tc>
          <w:tcPr>
            <w:tcW w:w="1260" w:type="dxa"/>
            <w:tcMar>
              <w:top w:w="80" w:type="dxa"/>
              <w:left w:w="80" w:type="dxa"/>
              <w:bottom w:w="80" w:type="dxa"/>
              <w:right w:w="80" w:type="dxa"/>
            </w:tcMar>
            <w:vAlign w:val="center"/>
          </w:tcPr>
          <w:p w14:paraId="36FB0135"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566A24F2"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4672809B" w14:textId="77777777" w:rsidTr="00CD0244">
        <w:trPr>
          <w:cantSplit/>
        </w:trPr>
        <w:tc>
          <w:tcPr>
            <w:tcW w:w="1350" w:type="dxa"/>
            <w:tcMar>
              <w:top w:w="80" w:type="dxa"/>
              <w:left w:w="80" w:type="dxa"/>
              <w:bottom w:w="80" w:type="dxa"/>
              <w:right w:w="80" w:type="dxa"/>
            </w:tcMar>
            <w:vAlign w:val="center"/>
          </w:tcPr>
          <w:p w14:paraId="5922604F"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16</w:t>
            </w:r>
          </w:p>
        </w:tc>
        <w:tc>
          <w:tcPr>
            <w:tcW w:w="1980" w:type="dxa"/>
            <w:tcMar>
              <w:top w:w="80" w:type="dxa"/>
              <w:left w:w="80" w:type="dxa"/>
              <w:bottom w:w="80" w:type="dxa"/>
              <w:right w:w="80" w:type="dxa"/>
            </w:tcMar>
            <w:vAlign w:val="center"/>
          </w:tcPr>
          <w:p w14:paraId="16D59B8E"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SpliceAI_DS_max</w:t>
            </w:r>
            <w:proofErr w:type="spellEnd"/>
          </w:p>
        </w:tc>
        <w:tc>
          <w:tcPr>
            <w:tcW w:w="1710" w:type="dxa"/>
            <w:tcMar>
              <w:top w:w="80" w:type="dxa"/>
              <w:left w:w="80" w:type="dxa"/>
              <w:bottom w:w="80" w:type="dxa"/>
              <w:right w:w="80" w:type="dxa"/>
            </w:tcMar>
            <w:vAlign w:val="center"/>
          </w:tcPr>
          <w:p w14:paraId="1BBD5CCC"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Splicing</w:t>
            </w:r>
          </w:p>
        </w:tc>
        <w:tc>
          <w:tcPr>
            <w:tcW w:w="1260" w:type="dxa"/>
            <w:tcMar>
              <w:top w:w="80" w:type="dxa"/>
              <w:left w:w="80" w:type="dxa"/>
              <w:bottom w:w="80" w:type="dxa"/>
              <w:right w:w="80" w:type="dxa"/>
            </w:tcMar>
            <w:vAlign w:val="center"/>
          </w:tcPr>
          <w:p w14:paraId="4A9DB927"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1FD4EC1B"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6CDAAD6A" w14:textId="77777777" w:rsidTr="00CD0244">
        <w:trPr>
          <w:cantSplit/>
        </w:trPr>
        <w:tc>
          <w:tcPr>
            <w:tcW w:w="1350" w:type="dxa"/>
            <w:tcMar>
              <w:top w:w="80" w:type="dxa"/>
              <w:left w:w="80" w:type="dxa"/>
              <w:bottom w:w="80" w:type="dxa"/>
              <w:right w:w="80" w:type="dxa"/>
            </w:tcMar>
            <w:vAlign w:val="center"/>
          </w:tcPr>
          <w:p w14:paraId="31BC880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17</w:t>
            </w:r>
          </w:p>
        </w:tc>
        <w:tc>
          <w:tcPr>
            <w:tcW w:w="1980" w:type="dxa"/>
            <w:tcMar>
              <w:top w:w="80" w:type="dxa"/>
              <w:left w:w="80" w:type="dxa"/>
              <w:bottom w:w="80" w:type="dxa"/>
              <w:right w:w="80" w:type="dxa"/>
            </w:tcMar>
            <w:vAlign w:val="center"/>
          </w:tcPr>
          <w:p w14:paraId="28BA9C6E"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DEOGEN2_rankscore</w:t>
            </w:r>
          </w:p>
        </w:tc>
        <w:tc>
          <w:tcPr>
            <w:tcW w:w="1710" w:type="dxa"/>
            <w:tcMar>
              <w:top w:w="80" w:type="dxa"/>
              <w:left w:w="80" w:type="dxa"/>
              <w:bottom w:w="80" w:type="dxa"/>
              <w:right w:w="80" w:type="dxa"/>
            </w:tcMar>
            <w:vAlign w:val="center"/>
          </w:tcPr>
          <w:p w14:paraId="1A0FEA6D"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6FA10F7E"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10DC41F2"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42C3799A" w14:textId="77777777" w:rsidTr="00CD0244">
        <w:trPr>
          <w:cantSplit/>
        </w:trPr>
        <w:tc>
          <w:tcPr>
            <w:tcW w:w="1350" w:type="dxa"/>
            <w:tcMar>
              <w:top w:w="80" w:type="dxa"/>
              <w:left w:w="80" w:type="dxa"/>
              <w:bottom w:w="80" w:type="dxa"/>
              <w:right w:w="80" w:type="dxa"/>
            </w:tcMar>
            <w:vAlign w:val="center"/>
          </w:tcPr>
          <w:p w14:paraId="1C3BA6CF"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18</w:t>
            </w:r>
          </w:p>
        </w:tc>
        <w:tc>
          <w:tcPr>
            <w:tcW w:w="1980" w:type="dxa"/>
            <w:tcMar>
              <w:top w:w="80" w:type="dxa"/>
              <w:left w:w="80" w:type="dxa"/>
              <w:bottom w:w="80" w:type="dxa"/>
              <w:right w:w="80" w:type="dxa"/>
            </w:tcMar>
            <w:vAlign w:val="center"/>
          </w:tcPr>
          <w:p w14:paraId="377B0ADF"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PrimateAI_rankscore</w:t>
            </w:r>
            <w:proofErr w:type="spellEnd"/>
          </w:p>
        </w:tc>
        <w:tc>
          <w:tcPr>
            <w:tcW w:w="1710" w:type="dxa"/>
            <w:tcMar>
              <w:top w:w="80" w:type="dxa"/>
              <w:left w:w="80" w:type="dxa"/>
              <w:bottom w:w="80" w:type="dxa"/>
              <w:right w:w="80" w:type="dxa"/>
            </w:tcMar>
            <w:vAlign w:val="center"/>
          </w:tcPr>
          <w:p w14:paraId="065CE548"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34D4AD96"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5E141055"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1A62B724" w14:textId="77777777" w:rsidTr="00CD0244">
        <w:trPr>
          <w:cantSplit/>
        </w:trPr>
        <w:tc>
          <w:tcPr>
            <w:tcW w:w="1350" w:type="dxa"/>
            <w:tcMar>
              <w:top w:w="80" w:type="dxa"/>
              <w:left w:w="80" w:type="dxa"/>
              <w:bottom w:w="80" w:type="dxa"/>
              <w:right w:w="80" w:type="dxa"/>
            </w:tcMar>
            <w:vAlign w:val="center"/>
          </w:tcPr>
          <w:p w14:paraId="601CD1ED"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19</w:t>
            </w:r>
          </w:p>
        </w:tc>
        <w:tc>
          <w:tcPr>
            <w:tcW w:w="1980" w:type="dxa"/>
            <w:tcMar>
              <w:top w:w="80" w:type="dxa"/>
              <w:left w:w="80" w:type="dxa"/>
              <w:bottom w:w="80" w:type="dxa"/>
              <w:right w:w="80" w:type="dxa"/>
            </w:tcMar>
            <w:vAlign w:val="center"/>
          </w:tcPr>
          <w:p w14:paraId="4CAE47CA"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MutationAssessor_rankscore</w:t>
            </w:r>
            <w:proofErr w:type="spellEnd"/>
          </w:p>
        </w:tc>
        <w:tc>
          <w:tcPr>
            <w:tcW w:w="1710" w:type="dxa"/>
            <w:tcMar>
              <w:top w:w="80" w:type="dxa"/>
              <w:left w:w="80" w:type="dxa"/>
              <w:bottom w:w="80" w:type="dxa"/>
              <w:right w:w="80" w:type="dxa"/>
            </w:tcMar>
            <w:vAlign w:val="center"/>
          </w:tcPr>
          <w:p w14:paraId="5504F04A"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398333E7"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530" w:type="dxa"/>
            <w:tcMar>
              <w:top w:w="80" w:type="dxa"/>
              <w:left w:w="80" w:type="dxa"/>
              <w:bottom w:w="80" w:type="dxa"/>
              <w:right w:w="80" w:type="dxa"/>
            </w:tcMar>
            <w:vAlign w:val="center"/>
          </w:tcPr>
          <w:p w14:paraId="796B09C5"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100.0%</w:t>
            </w:r>
          </w:p>
        </w:tc>
      </w:tr>
      <w:tr w:rsidR="00083AA0" w:rsidRPr="006D6EC6" w14:paraId="29C13FAA" w14:textId="77777777" w:rsidTr="00CD0244">
        <w:trPr>
          <w:cantSplit/>
        </w:trPr>
        <w:tc>
          <w:tcPr>
            <w:tcW w:w="1350" w:type="dxa"/>
            <w:tcMar>
              <w:top w:w="80" w:type="dxa"/>
              <w:left w:w="80" w:type="dxa"/>
              <w:bottom w:w="80" w:type="dxa"/>
              <w:right w:w="80" w:type="dxa"/>
            </w:tcMar>
            <w:vAlign w:val="center"/>
          </w:tcPr>
          <w:p w14:paraId="58189B32"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20</w:t>
            </w:r>
          </w:p>
        </w:tc>
        <w:tc>
          <w:tcPr>
            <w:tcW w:w="1980" w:type="dxa"/>
            <w:tcMar>
              <w:top w:w="80" w:type="dxa"/>
              <w:left w:w="80" w:type="dxa"/>
              <w:bottom w:w="80" w:type="dxa"/>
              <w:right w:w="80" w:type="dxa"/>
            </w:tcMar>
            <w:vAlign w:val="center"/>
          </w:tcPr>
          <w:p w14:paraId="4306B311"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MetaLR_rankscore</w:t>
            </w:r>
            <w:proofErr w:type="spellEnd"/>
          </w:p>
        </w:tc>
        <w:tc>
          <w:tcPr>
            <w:tcW w:w="1710" w:type="dxa"/>
            <w:tcMar>
              <w:top w:w="80" w:type="dxa"/>
              <w:left w:w="80" w:type="dxa"/>
              <w:bottom w:w="80" w:type="dxa"/>
              <w:right w:w="80" w:type="dxa"/>
            </w:tcMar>
            <w:vAlign w:val="center"/>
          </w:tcPr>
          <w:p w14:paraId="73106E36"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5861020E"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22</w:t>
            </w:r>
          </w:p>
        </w:tc>
        <w:tc>
          <w:tcPr>
            <w:tcW w:w="1530" w:type="dxa"/>
            <w:tcMar>
              <w:top w:w="80" w:type="dxa"/>
              <w:left w:w="80" w:type="dxa"/>
              <w:bottom w:w="80" w:type="dxa"/>
              <w:right w:w="80" w:type="dxa"/>
            </w:tcMar>
            <w:vAlign w:val="center"/>
          </w:tcPr>
          <w:p w14:paraId="1C98B76B"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88.0%</w:t>
            </w:r>
          </w:p>
        </w:tc>
      </w:tr>
      <w:tr w:rsidR="00083AA0" w:rsidRPr="006D6EC6" w14:paraId="47E61115" w14:textId="77777777" w:rsidTr="00CD0244">
        <w:trPr>
          <w:cantSplit/>
        </w:trPr>
        <w:tc>
          <w:tcPr>
            <w:tcW w:w="1350" w:type="dxa"/>
            <w:tcMar>
              <w:top w:w="80" w:type="dxa"/>
              <w:left w:w="80" w:type="dxa"/>
              <w:bottom w:w="80" w:type="dxa"/>
              <w:right w:w="80" w:type="dxa"/>
            </w:tcMar>
            <w:vAlign w:val="center"/>
          </w:tcPr>
          <w:p w14:paraId="75B434A5"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21</w:t>
            </w:r>
          </w:p>
        </w:tc>
        <w:tc>
          <w:tcPr>
            <w:tcW w:w="1980" w:type="dxa"/>
            <w:tcMar>
              <w:top w:w="80" w:type="dxa"/>
              <w:left w:w="80" w:type="dxa"/>
              <w:bottom w:w="80" w:type="dxa"/>
              <w:right w:w="80" w:type="dxa"/>
            </w:tcMar>
            <w:vAlign w:val="center"/>
          </w:tcPr>
          <w:p w14:paraId="1D54A09E"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phastCons100way_vertebrate_rankscore</w:t>
            </w:r>
          </w:p>
        </w:tc>
        <w:tc>
          <w:tcPr>
            <w:tcW w:w="1710" w:type="dxa"/>
            <w:tcMar>
              <w:top w:w="80" w:type="dxa"/>
              <w:left w:w="80" w:type="dxa"/>
              <w:bottom w:w="80" w:type="dxa"/>
              <w:right w:w="80" w:type="dxa"/>
            </w:tcMar>
            <w:vAlign w:val="center"/>
          </w:tcPr>
          <w:p w14:paraId="52A29ED8"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Conservation</w:t>
            </w:r>
          </w:p>
        </w:tc>
        <w:tc>
          <w:tcPr>
            <w:tcW w:w="1260" w:type="dxa"/>
            <w:tcMar>
              <w:top w:w="80" w:type="dxa"/>
              <w:left w:w="80" w:type="dxa"/>
              <w:bottom w:w="80" w:type="dxa"/>
              <w:right w:w="80" w:type="dxa"/>
            </w:tcMar>
            <w:vAlign w:val="center"/>
          </w:tcPr>
          <w:p w14:paraId="43B4AF51"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24</w:t>
            </w:r>
          </w:p>
        </w:tc>
        <w:tc>
          <w:tcPr>
            <w:tcW w:w="1530" w:type="dxa"/>
            <w:tcMar>
              <w:top w:w="80" w:type="dxa"/>
              <w:left w:w="80" w:type="dxa"/>
              <w:bottom w:w="80" w:type="dxa"/>
              <w:right w:w="80" w:type="dxa"/>
            </w:tcMar>
            <w:vAlign w:val="center"/>
          </w:tcPr>
          <w:p w14:paraId="05B69105"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96.0%</w:t>
            </w:r>
          </w:p>
        </w:tc>
      </w:tr>
      <w:tr w:rsidR="00083AA0" w:rsidRPr="006D6EC6" w14:paraId="1D0BC038" w14:textId="77777777" w:rsidTr="00CD0244">
        <w:trPr>
          <w:cantSplit/>
        </w:trPr>
        <w:tc>
          <w:tcPr>
            <w:tcW w:w="1350" w:type="dxa"/>
            <w:tcMar>
              <w:top w:w="80" w:type="dxa"/>
              <w:left w:w="80" w:type="dxa"/>
              <w:bottom w:w="80" w:type="dxa"/>
              <w:right w:w="80" w:type="dxa"/>
            </w:tcMar>
            <w:vAlign w:val="center"/>
          </w:tcPr>
          <w:p w14:paraId="602A292B"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22</w:t>
            </w:r>
          </w:p>
        </w:tc>
        <w:tc>
          <w:tcPr>
            <w:tcW w:w="1980" w:type="dxa"/>
            <w:tcMar>
              <w:top w:w="80" w:type="dxa"/>
              <w:left w:w="80" w:type="dxa"/>
              <w:bottom w:w="80" w:type="dxa"/>
              <w:right w:w="80" w:type="dxa"/>
            </w:tcMar>
            <w:vAlign w:val="center"/>
          </w:tcPr>
          <w:p w14:paraId="4C7A4EF5"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MutFormer_rankscore</w:t>
            </w:r>
            <w:proofErr w:type="spellEnd"/>
          </w:p>
        </w:tc>
        <w:tc>
          <w:tcPr>
            <w:tcW w:w="1710" w:type="dxa"/>
            <w:tcMar>
              <w:top w:w="80" w:type="dxa"/>
              <w:left w:w="80" w:type="dxa"/>
              <w:bottom w:w="80" w:type="dxa"/>
              <w:right w:w="80" w:type="dxa"/>
            </w:tcMar>
            <w:vAlign w:val="center"/>
          </w:tcPr>
          <w:p w14:paraId="0B33DBE8"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5F881105"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24</w:t>
            </w:r>
          </w:p>
        </w:tc>
        <w:tc>
          <w:tcPr>
            <w:tcW w:w="1530" w:type="dxa"/>
            <w:tcMar>
              <w:top w:w="80" w:type="dxa"/>
              <w:left w:w="80" w:type="dxa"/>
              <w:bottom w:w="80" w:type="dxa"/>
              <w:right w:w="80" w:type="dxa"/>
            </w:tcMar>
            <w:vAlign w:val="center"/>
          </w:tcPr>
          <w:p w14:paraId="0201E06F"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96.0%</w:t>
            </w:r>
          </w:p>
        </w:tc>
      </w:tr>
      <w:tr w:rsidR="00083AA0" w:rsidRPr="006D6EC6" w14:paraId="1C55F505" w14:textId="77777777" w:rsidTr="00CD0244">
        <w:trPr>
          <w:cantSplit/>
        </w:trPr>
        <w:tc>
          <w:tcPr>
            <w:tcW w:w="1350" w:type="dxa"/>
            <w:tcMar>
              <w:top w:w="80" w:type="dxa"/>
              <w:left w:w="80" w:type="dxa"/>
              <w:bottom w:w="80" w:type="dxa"/>
              <w:right w:w="80" w:type="dxa"/>
            </w:tcMar>
            <w:vAlign w:val="center"/>
          </w:tcPr>
          <w:p w14:paraId="66D9D92B"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23</w:t>
            </w:r>
          </w:p>
        </w:tc>
        <w:tc>
          <w:tcPr>
            <w:tcW w:w="1980" w:type="dxa"/>
            <w:tcMar>
              <w:top w:w="80" w:type="dxa"/>
              <w:left w:w="80" w:type="dxa"/>
              <w:bottom w:w="80" w:type="dxa"/>
              <w:right w:w="80" w:type="dxa"/>
            </w:tcMar>
            <w:vAlign w:val="center"/>
          </w:tcPr>
          <w:p w14:paraId="4E6D39A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GERP_91_mammals_rankscore</w:t>
            </w:r>
          </w:p>
        </w:tc>
        <w:tc>
          <w:tcPr>
            <w:tcW w:w="1710" w:type="dxa"/>
            <w:tcMar>
              <w:top w:w="80" w:type="dxa"/>
              <w:left w:w="80" w:type="dxa"/>
              <w:bottom w:w="80" w:type="dxa"/>
              <w:right w:w="80" w:type="dxa"/>
            </w:tcMar>
            <w:vAlign w:val="center"/>
          </w:tcPr>
          <w:p w14:paraId="4F48F516"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Conservation</w:t>
            </w:r>
          </w:p>
        </w:tc>
        <w:tc>
          <w:tcPr>
            <w:tcW w:w="1260" w:type="dxa"/>
            <w:tcMar>
              <w:top w:w="80" w:type="dxa"/>
              <w:left w:w="80" w:type="dxa"/>
              <w:bottom w:w="80" w:type="dxa"/>
              <w:right w:w="80" w:type="dxa"/>
            </w:tcMar>
            <w:vAlign w:val="center"/>
          </w:tcPr>
          <w:p w14:paraId="3CEF22C9"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11</w:t>
            </w:r>
          </w:p>
        </w:tc>
        <w:tc>
          <w:tcPr>
            <w:tcW w:w="1530" w:type="dxa"/>
            <w:tcMar>
              <w:top w:w="80" w:type="dxa"/>
              <w:left w:w="80" w:type="dxa"/>
              <w:bottom w:w="80" w:type="dxa"/>
              <w:right w:w="80" w:type="dxa"/>
            </w:tcMar>
            <w:vAlign w:val="center"/>
          </w:tcPr>
          <w:p w14:paraId="3D165209"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44.0%</w:t>
            </w:r>
          </w:p>
        </w:tc>
      </w:tr>
      <w:tr w:rsidR="00083AA0" w:rsidRPr="006D6EC6" w14:paraId="30AA6F4D" w14:textId="77777777" w:rsidTr="00CD0244">
        <w:trPr>
          <w:cantSplit/>
        </w:trPr>
        <w:tc>
          <w:tcPr>
            <w:tcW w:w="1350" w:type="dxa"/>
            <w:tcMar>
              <w:top w:w="80" w:type="dxa"/>
              <w:left w:w="80" w:type="dxa"/>
              <w:bottom w:w="80" w:type="dxa"/>
              <w:right w:w="80" w:type="dxa"/>
            </w:tcMar>
            <w:vAlign w:val="center"/>
          </w:tcPr>
          <w:p w14:paraId="28A57AD0"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24</w:t>
            </w:r>
          </w:p>
        </w:tc>
        <w:tc>
          <w:tcPr>
            <w:tcW w:w="1980" w:type="dxa"/>
            <w:tcMar>
              <w:top w:w="80" w:type="dxa"/>
              <w:left w:w="80" w:type="dxa"/>
              <w:bottom w:w="80" w:type="dxa"/>
              <w:right w:w="80" w:type="dxa"/>
            </w:tcMar>
            <w:vAlign w:val="center"/>
          </w:tcPr>
          <w:p w14:paraId="6F6547AA"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PROVEAN_converted_rankscore</w:t>
            </w:r>
            <w:proofErr w:type="spellEnd"/>
          </w:p>
        </w:tc>
        <w:tc>
          <w:tcPr>
            <w:tcW w:w="1710" w:type="dxa"/>
            <w:tcMar>
              <w:top w:w="80" w:type="dxa"/>
              <w:left w:w="80" w:type="dxa"/>
              <w:bottom w:w="80" w:type="dxa"/>
              <w:right w:w="80" w:type="dxa"/>
            </w:tcMar>
            <w:vAlign w:val="center"/>
          </w:tcPr>
          <w:p w14:paraId="1B7B3740"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Pathogenicity</w:t>
            </w:r>
          </w:p>
        </w:tc>
        <w:tc>
          <w:tcPr>
            <w:tcW w:w="1260" w:type="dxa"/>
            <w:tcMar>
              <w:top w:w="80" w:type="dxa"/>
              <w:left w:w="80" w:type="dxa"/>
              <w:bottom w:w="80" w:type="dxa"/>
              <w:right w:w="80" w:type="dxa"/>
            </w:tcMar>
            <w:vAlign w:val="center"/>
          </w:tcPr>
          <w:p w14:paraId="61035AB4"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17</w:t>
            </w:r>
          </w:p>
        </w:tc>
        <w:tc>
          <w:tcPr>
            <w:tcW w:w="1530" w:type="dxa"/>
            <w:tcMar>
              <w:top w:w="80" w:type="dxa"/>
              <w:left w:w="80" w:type="dxa"/>
              <w:bottom w:w="80" w:type="dxa"/>
              <w:right w:w="80" w:type="dxa"/>
            </w:tcMar>
            <w:vAlign w:val="center"/>
          </w:tcPr>
          <w:p w14:paraId="58BB9E08"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68.0%</w:t>
            </w:r>
          </w:p>
        </w:tc>
      </w:tr>
      <w:tr w:rsidR="00083AA0" w:rsidRPr="006D6EC6" w14:paraId="1D33E5CC" w14:textId="77777777" w:rsidTr="00CD0244">
        <w:trPr>
          <w:cantSplit/>
        </w:trPr>
        <w:tc>
          <w:tcPr>
            <w:tcW w:w="1350" w:type="dxa"/>
            <w:tcBorders>
              <w:bottom w:val="single" w:sz="8" w:space="0" w:color="auto"/>
            </w:tcBorders>
            <w:tcMar>
              <w:top w:w="80" w:type="dxa"/>
              <w:left w:w="80" w:type="dxa"/>
              <w:bottom w:w="80" w:type="dxa"/>
              <w:right w:w="80" w:type="dxa"/>
            </w:tcMar>
            <w:vAlign w:val="center"/>
          </w:tcPr>
          <w:p w14:paraId="157CA10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25</w:t>
            </w:r>
          </w:p>
        </w:tc>
        <w:tc>
          <w:tcPr>
            <w:tcW w:w="1980" w:type="dxa"/>
            <w:tcBorders>
              <w:bottom w:val="single" w:sz="8" w:space="0" w:color="auto"/>
            </w:tcBorders>
            <w:tcMar>
              <w:top w:w="80" w:type="dxa"/>
              <w:left w:w="80" w:type="dxa"/>
              <w:bottom w:w="80" w:type="dxa"/>
              <w:right w:w="80" w:type="dxa"/>
            </w:tcMar>
            <w:vAlign w:val="center"/>
          </w:tcPr>
          <w:p w14:paraId="6939A0DE" w14:textId="77777777" w:rsidR="00083AA0" w:rsidRPr="006D6EC6" w:rsidRDefault="00083AA0" w:rsidP="00CD0244">
            <w:pPr>
              <w:pStyle w:val="MDPI42tablebody"/>
              <w:rPr>
                <w:rFonts w:ascii="Times New Roman" w:hAnsi="Times New Roman"/>
                <w:sz w:val="18"/>
                <w:szCs w:val="18"/>
              </w:rPr>
            </w:pPr>
            <w:proofErr w:type="spellStart"/>
            <w:r w:rsidRPr="006D6EC6">
              <w:rPr>
                <w:rFonts w:ascii="Times New Roman" w:hAnsi="Times New Roman"/>
                <w:sz w:val="18"/>
                <w:szCs w:val="18"/>
              </w:rPr>
              <w:t>Reliability_index</w:t>
            </w:r>
            <w:proofErr w:type="spellEnd"/>
          </w:p>
        </w:tc>
        <w:tc>
          <w:tcPr>
            <w:tcW w:w="1710" w:type="dxa"/>
            <w:tcBorders>
              <w:bottom w:val="single" w:sz="8" w:space="0" w:color="auto"/>
            </w:tcBorders>
            <w:tcMar>
              <w:top w:w="80" w:type="dxa"/>
              <w:left w:w="80" w:type="dxa"/>
              <w:bottom w:w="80" w:type="dxa"/>
              <w:right w:w="80" w:type="dxa"/>
            </w:tcMar>
            <w:vAlign w:val="center"/>
          </w:tcPr>
          <w:p w14:paraId="62DD4800"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Context / quality</w:t>
            </w:r>
          </w:p>
        </w:tc>
        <w:tc>
          <w:tcPr>
            <w:tcW w:w="1260" w:type="dxa"/>
            <w:tcBorders>
              <w:bottom w:val="single" w:sz="8" w:space="0" w:color="auto"/>
            </w:tcBorders>
            <w:tcMar>
              <w:top w:w="80" w:type="dxa"/>
              <w:left w:w="80" w:type="dxa"/>
              <w:bottom w:w="80" w:type="dxa"/>
              <w:right w:w="80" w:type="dxa"/>
            </w:tcMar>
            <w:vAlign w:val="center"/>
          </w:tcPr>
          <w:p w14:paraId="5E2022A8"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24</w:t>
            </w:r>
          </w:p>
        </w:tc>
        <w:tc>
          <w:tcPr>
            <w:tcW w:w="1530" w:type="dxa"/>
            <w:tcBorders>
              <w:bottom w:val="single" w:sz="8" w:space="0" w:color="auto"/>
            </w:tcBorders>
            <w:tcMar>
              <w:top w:w="80" w:type="dxa"/>
              <w:left w:w="80" w:type="dxa"/>
              <w:bottom w:w="80" w:type="dxa"/>
              <w:right w:w="80" w:type="dxa"/>
            </w:tcMar>
            <w:vAlign w:val="center"/>
          </w:tcPr>
          <w:p w14:paraId="11DE6E23" w14:textId="77777777" w:rsidR="00083AA0" w:rsidRPr="006D6EC6" w:rsidRDefault="00083AA0" w:rsidP="00CD0244">
            <w:pPr>
              <w:pStyle w:val="MDPI42tablebody"/>
              <w:rPr>
                <w:rFonts w:ascii="Times New Roman" w:hAnsi="Times New Roman"/>
                <w:sz w:val="18"/>
                <w:szCs w:val="18"/>
              </w:rPr>
            </w:pPr>
            <w:r w:rsidRPr="006D6EC6">
              <w:rPr>
                <w:rFonts w:ascii="Times New Roman" w:hAnsi="Times New Roman"/>
                <w:sz w:val="18"/>
                <w:szCs w:val="18"/>
              </w:rPr>
              <w:t>96.0%</w:t>
            </w:r>
          </w:p>
        </w:tc>
      </w:tr>
    </w:tbl>
    <w:p w14:paraId="6B03759C" w14:textId="77777777" w:rsidR="00083AA0" w:rsidRPr="006D6EC6" w:rsidRDefault="00CD0244" w:rsidP="00CD0244">
      <w:pPr>
        <w:pStyle w:val="MDPI22heading2"/>
        <w:spacing w:before="240"/>
        <w:rPr>
          <w:szCs w:val="20"/>
        </w:rPr>
      </w:pPr>
      <w:r w:rsidRPr="006D6EC6">
        <w:t>2.2 Family-constrained selection and repeated nested validation</w:t>
      </w:r>
    </w:p>
    <w:p w14:paraId="7EC3CBD7" w14:textId="77777777" w:rsidR="00083AA0" w:rsidRPr="006D6EC6" w:rsidRDefault="00083AA0" w:rsidP="00CD0244">
      <w:pPr>
        <w:pStyle w:val="MDPI31text"/>
        <w:rPr>
          <w:szCs w:val="20"/>
        </w:rPr>
      </w:pPr>
      <w:r w:rsidRPr="006D6EC6">
        <w:rPr>
          <w:szCs w:val="20"/>
        </w:rPr>
        <w:t>Nine candidate learners were evaluated. Aggregate family-wise ranking selected a support vector machine with a radial basis function kernel (SVM-RBF) and elastic-net logistic regression from the classical family, Extra Trees from the bagging family and histogram gradient boosting from the boosting family</w:t>
      </w:r>
      <w:r w:rsidR="006055B2" w:rsidRPr="006D6EC6">
        <w:rPr>
          <w:szCs w:val="20"/>
        </w:rPr>
        <w:t xml:space="preserve">. </w:t>
      </w:r>
      <w:r w:rsidRPr="006D6EC6">
        <w:rPr>
          <w:szCs w:val="20"/>
        </w:rPr>
        <w:t xml:space="preserve">Their descriptive outer-fold selection frequencies were SVM-RBF (25/25), elastic-net logistic regression (20/25), Extra Trees (19/25) and histogram gradient boosting (17/25) (Fig. 2A). The final thresholds were SVM-RBF 0.5460, elastic-net logistic regression 0.6722, Extra Trees 0.4821 and histogram gradient boosting 0.5134; complete deployment parameters are reported in Table </w:t>
      </w:r>
      <w:r w:rsidR="006055B2" w:rsidRPr="006D6EC6">
        <w:rPr>
          <w:szCs w:val="20"/>
        </w:rPr>
        <w:t>4</w:t>
      </w:r>
      <w:r w:rsidRPr="006D6EC6">
        <w:rPr>
          <w:szCs w:val="20"/>
        </w:rPr>
        <w:t>.</w:t>
      </w:r>
    </w:p>
    <w:p w14:paraId="38700625" w14:textId="77777777" w:rsidR="00083AA0" w:rsidRPr="006D6EC6" w:rsidRDefault="00083AA0" w:rsidP="00CD0244">
      <w:pPr>
        <w:pStyle w:val="MDPI41tablecaption"/>
        <w:rPr>
          <w:rFonts w:cs="Times New Roman"/>
          <w:snapToGrid w:val="0"/>
          <w:szCs w:val="18"/>
        </w:rPr>
      </w:pPr>
      <w:r w:rsidRPr="006D6EC6">
        <w:rPr>
          <w:rFonts w:cs="Times New Roman"/>
          <w:b/>
          <w:snapToGrid w:val="0"/>
          <w:szCs w:val="18"/>
        </w:rPr>
        <w:t xml:space="preserve">Table </w:t>
      </w:r>
      <w:r w:rsidR="006055B2" w:rsidRPr="006D6EC6">
        <w:rPr>
          <w:rFonts w:cs="Times New Roman"/>
          <w:b/>
          <w:snapToGrid w:val="0"/>
          <w:szCs w:val="18"/>
        </w:rPr>
        <w:t>4</w:t>
      </w:r>
      <w:r w:rsidRPr="006D6EC6">
        <w:rPr>
          <w:rFonts w:cs="Times New Roman"/>
          <w:b/>
          <w:snapToGrid w:val="0"/>
          <w:szCs w:val="18"/>
        </w:rPr>
        <w:t xml:space="preserve">. </w:t>
      </w:r>
      <w:r w:rsidRPr="006D6EC6">
        <w:rPr>
          <w:rFonts w:cs="Times New Roman"/>
          <w:bCs/>
          <w:snapToGrid w:val="0"/>
          <w:szCs w:val="18"/>
        </w:rPr>
        <w:t>Best hyperparameters, selected deployment, calibration and continuous-score parameters.</w:t>
      </w:r>
    </w:p>
    <w:p w14:paraId="3CA889D7" w14:textId="77777777" w:rsidR="00083AA0" w:rsidRPr="006D6EC6" w:rsidRDefault="00083AA0" w:rsidP="00083AA0">
      <w:pPr>
        <w:pStyle w:val="MDPI31text"/>
        <w:rPr>
          <w:sz w:val="22"/>
        </w:rPr>
      </w:pPr>
    </w:p>
    <w:tbl>
      <w:tblPr>
        <w:tblStyle w:val="MDPItable"/>
        <w:tblW w:w="0" w:type="auto"/>
        <w:jc w:val="center"/>
        <w:tblLayout w:type="fixed"/>
        <w:tblLook w:val="04A0" w:firstRow="1" w:lastRow="0" w:firstColumn="1" w:lastColumn="0" w:noHBand="0" w:noVBand="1"/>
      </w:tblPr>
      <w:tblGrid>
        <w:gridCol w:w="1123"/>
        <w:gridCol w:w="1224"/>
        <w:gridCol w:w="2448"/>
        <w:gridCol w:w="950"/>
        <w:gridCol w:w="1180"/>
        <w:gridCol w:w="792"/>
        <w:gridCol w:w="1800"/>
      </w:tblGrid>
      <w:tr w:rsidR="00E302D1" w:rsidRPr="006D6EC6" w14:paraId="4F573137" w14:textId="77777777" w:rsidTr="00EC41F7">
        <w:trPr>
          <w:cantSplit/>
          <w:tblHeader/>
          <w:jc w:val="center"/>
        </w:trPr>
        <w:tc>
          <w:tcPr>
            <w:tcW w:w="1123" w:type="dxa"/>
            <w:tcBorders>
              <w:top w:val="single" w:sz="4" w:space="0" w:color="auto"/>
              <w:bottom w:val="single" w:sz="4" w:space="0" w:color="auto"/>
            </w:tcBorders>
            <w:vAlign w:val="center"/>
          </w:tcPr>
          <w:p w14:paraId="28BCD320"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b/>
                <w:sz w:val="18"/>
                <w:szCs w:val="18"/>
              </w:rPr>
              <w:t>Component</w:t>
            </w:r>
          </w:p>
        </w:tc>
        <w:tc>
          <w:tcPr>
            <w:tcW w:w="1224" w:type="dxa"/>
            <w:tcBorders>
              <w:top w:val="single" w:sz="4" w:space="0" w:color="auto"/>
              <w:bottom w:val="single" w:sz="4" w:space="0" w:color="auto"/>
            </w:tcBorders>
            <w:vAlign w:val="center"/>
          </w:tcPr>
          <w:p w14:paraId="6EFC3A2E"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b/>
                <w:sz w:val="18"/>
                <w:szCs w:val="18"/>
              </w:rPr>
              <w:t>Role</w:t>
            </w:r>
          </w:p>
        </w:tc>
        <w:tc>
          <w:tcPr>
            <w:tcW w:w="2448" w:type="dxa"/>
            <w:tcBorders>
              <w:top w:val="single" w:sz="4" w:space="0" w:color="auto"/>
              <w:bottom w:val="single" w:sz="4" w:space="0" w:color="auto"/>
            </w:tcBorders>
            <w:vAlign w:val="center"/>
          </w:tcPr>
          <w:p w14:paraId="5D50E275"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b/>
                <w:sz w:val="18"/>
                <w:szCs w:val="18"/>
              </w:rPr>
              <w:t>Best hyperparameters</w:t>
            </w:r>
          </w:p>
        </w:tc>
        <w:tc>
          <w:tcPr>
            <w:tcW w:w="950" w:type="dxa"/>
            <w:tcBorders>
              <w:top w:val="single" w:sz="4" w:space="0" w:color="auto"/>
              <w:bottom w:val="single" w:sz="4" w:space="0" w:color="auto"/>
            </w:tcBorders>
            <w:vAlign w:val="center"/>
          </w:tcPr>
          <w:p w14:paraId="030C8424"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b/>
                <w:sz w:val="18"/>
                <w:szCs w:val="18"/>
              </w:rPr>
              <w:t>Calibration intercept</w:t>
            </w:r>
          </w:p>
        </w:tc>
        <w:tc>
          <w:tcPr>
            <w:tcW w:w="1180" w:type="dxa"/>
            <w:tcBorders>
              <w:top w:val="single" w:sz="4" w:space="0" w:color="auto"/>
              <w:bottom w:val="single" w:sz="4" w:space="0" w:color="auto"/>
            </w:tcBorders>
            <w:vAlign w:val="center"/>
          </w:tcPr>
          <w:p w14:paraId="12360032"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b/>
                <w:sz w:val="18"/>
                <w:szCs w:val="18"/>
              </w:rPr>
              <w:t>Calibration slope / coefficients</w:t>
            </w:r>
          </w:p>
        </w:tc>
        <w:tc>
          <w:tcPr>
            <w:tcW w:w="792" w:type="dxa"/>
            <w:tcBorders>
              <w:top w:val="single" w:sz="4" w:space="0" w:color="auto"/>
              <w:bottom w:val="single" w:sz="4" w:space="0" w:color="auto"/>
            </w:tcBorders>
            <w:vAlign w:val="center"/>
          </w:tcPr>
          <w:p w14:paraId="3CB22A99"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b/>
                <w:sz w:val="18"/>
                <w:szCs w:val="18"/>
              </w:rPr>
              <w:t>Threshold</w:t>
            </w:r>
          </w:p>
        </w:tc>
        <w:tc>
          <w:tcPr>
            <w:tcW w:w="1800" w:type="dxa"/>
            <w:tcBorders>
              <w:top w:val="single" w:sz="4" w:space="0" w:color="auto"/>
              <w:bottom w:val="single" w:sz="4" w:space="0" w:color="auto"/>
            </w:tcBorders>
            <w:vAlign w:val="center"/>
          </w:tcPr>
          <w:p w14:paraId="1A19156A"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b/>
                <w:sz w:val="18"/>
                <w:szCs w:val="18"/>
              </w:rPr>
              <w:t>Interpretation</w:t>
            </w:r>
          </w:p>
        </w:tc>
      </w:tr>
      <w:tr w:rsidR="00E302D1" w:rsidRPr="006D6EC6" w14:paraId="263D243D" w14:textId="77777777" w:rsidTr="00EC41F7">
        <w:trPr>
          <w:cantSplit/>
          <w:jc w:val="center"/>
        </w:trPr>
        <w:tc>
          <w:tcPr>
            <w:tcW w:w="1123" w:type="dxa"/>
            <w:tcBorders>
              <w:top w:val="single" w:sz="4" w:space="0" w:color="auto"/>
            </w:tcBorders>
            <w:vAlign w:val="center"/>
          </w:tcPr>
          <w:p w14:paraId="5F07DD2D" w14:textId="77777777" w:rsidR="00E302D1" w:rsidRPr="006D6EC6" w:rsidRDefault="00000000">
            <w:pPr>
              <w:spacing w:line="240" w:lineRule="auto"/>
              <w:jc w:val="left"/>
              <w:rPr>
                <w:rFonts w:ascii="Times New Roman" w:hAnsi="Times New Roman"/>
                <w:sz w:val="18"/>
                <w:szCs w:val="18"/>
              </w:rPr>
            </w:pPr>
            <w:r w:rsidRPr="006D6EC6">
              <w:rPr>
                <w:rFonts w:ascii="Times New Roman" w:eastAsia="Arial" w:hAnsi="Times New Roman"/>
                <w:sz w:val="18"/>
                <w:szCs w:val="18"/>
              </w:rPr>
              <w:t>SVM–RBF</w:t>
            </w:r>
          </w:p>
        </w:tc>
        <w:tc>
          <w:tcPr>
            <w:tcW w:w="1224" w:type="dxa"/>
            <w:tcBorders>
              <w:top w:val="single" w:sz="4" w:space="0" w:color="auto"/>
            </w:tcBorders>
            <w:vAlign w:val="center"/>
          </w:tcPr>
          <w:p w14:paraId="4BBCEB27" w14:textId="77777777" w:rsidR="00E302D1" w:rsidRPr="006D6EC6" w:rsidRDefault="00000000">
            <w:pPr>
              <w:spacing w:line="240" w:lineRule="auto"/>
              <w:jc w:val="left"/>
              <w:rPr>
                <w:rFonts w:ascii="Times New Roman" w:hAnsi="Times New Roman"/>
                <w:sz w:val="18"/>
                <w:szCs w:val="18"/>
              </w:rPr>
            </w:pPr>
            <w:r w:rsidRPr="006D6EC6">
              <w:rPr>
                <w:rFonts w:ascii="Times New Roman" w:eastAsia="Arial" w:hAnsi="Times New Roman"/>
                <w:sz w:val="18"/>
                <w:szCs w:val="18"/>
              </w:rPr>
              <w:t>Base learner</w:t>
            </w:r>
          </w:p>
        </w:tc>
        <w:tc>
          <w:tcPr>
            <w:tcW w:w="2448" w:type="dxa"/>
            <w:tcBorders>
              <w:top w:val="single" w:sz="4" w:space="0" w:color="auto"/>
            </w:tcBorders>
            <w:vAlign w:val="center"/>
          </w:tcPr>
          <w:p w14:paraId="29960EE9"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C=16; gamma=0.03</w:t>
            </w:r>
          </w:p>
        </w:tc>
        <w:tc>
          <w:tcPr>
            <w:tcW w:w="950" w:type="dxa"/>
            <w:tcBorders>
              <w:top w:val="single" w:sz="4" w:space="0" w:color="auto"/>
            </w:tcBorders>
            <w:vAlign w:val="center"/>
          </w:tcPr>
          <w:p w14:paraId="7CC6CF04"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0.080</w:t>
            </w:r>
          </w:p>
        </w:tc>
        <w:tc>
          <w:tcPr>
            <w:tcW w:w="1180" w:type="dxa"/>
            <w:tcBorders>
              <w:top w:val="single" w:sz="4" w:space="0" w:color="auto"/>
            </w:tcBorders>
            <w:vAlign w:val="center"/>
          </w:tcPr>
          <w:p w14:paraId="7200CC81"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2.480</w:t>
            </w:r>
          </w:p>
        </w:tc>
        <w:tc>
          <w:tcPr>
            <w:tcW w:w="792" w:type="dxa"/>
            <w:tcBorders>
              <w:top w:val="single" w:sz="4" w:space="0" w:color="auto"/>
            </w:tcBorders>
            <w:vAlign w:val="center"/>
          </w:tcPr>
          <w:p w14:paraId="23B25B0A"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0.5460</w:t>
            </w:r>
          </w:p>
        </w:tc>
        <w:tc>
          <w:tcPr>
            <w:tcW w:w="1800" w:type="dxa"/>
            <w:tcBorders>
              <w:top w:val="single" w:sz="4" w:space="0" w:color="auto"/>
            </w:tcBorders>
            <w:vAlign w:val="center"/>
          </w:tcPr>
          <w:p w14:paraId="0C5B50F3"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Selected classical learner</w:t>
            </w:r>
          </w:p>
        </w:tc>
      </w:tr>
      <w:tr w:rsidR="00E302D1" w:rsidRPr="006D6EC6" w14:paraId="7EF1CD7C" w14:textId="77777777">
        <w:trPr>
          <w:cantSplit/>
          <w:jc w:val="center"/>
        </w:trPr>
        <w:tc>
          <w:tcPr>
            <w:tcW w:w="1123" w:type="dxa"/>
            <w:vAlign w:val="center"/>
          </w:tcPr>
          <w:p w14:paraId="12A40736" w14:textId="77777777" w:rsidR="00E302D1" w:rsidRPr="006D6EC6" w:rsidRDefault="00000000">
            <w:pPr>
              <w:spacing w:line="240" w:lineRule="auto"/>
              <w:jc w:val="left"/>
              <w:rPr>
                <w:rFonts w:ascii="Times New Roman" w:hAnsi="Times New Roman"/>
                <w:sz w:val="18"/>
                <w:szCs w:val="18"/>
              </w:rPr>
            </w:pPr>
            <w:r w:rsidRPr="006D6EC6">
              <w:rPr>
                <w:rFonts w:ascii="Times New Roman" w:eastAsia="Arial" w:hAnsi="Times New Roman"/>
                <w:sz w:val="18"/>
                <w:szCs w:val="18"/>
              </w:rPr>
              <w:t>L2 logistic regression</w:t>
            </w:r>
          </w:p>
        </w:tc>
        <w:tc>
          <w:tcPr>
            <w:tcW w:w="1224" w:type="dxa"/>
            <w:vAlign w:val="center"/>
          </w:tcPr>
          <w:p w14:paraId="39B56E4C" w14:textId="77777777" w:rsidR="00E302D1" w:rsidRPr="006D6EC6" w:rsidRDefault="00000000">
            <w:pPr>
              <w:spacing w:line="240" w:lineRule="auto"/>
              <w:jc w:val="left"/>
              <w:rPr>
                <w:rFonts w:ascii="Times New Roman" w:hAnsi="Times New Roman"/>
                <w:sz w:val="18"/>
                <w:szCs w:val="18"/>
              </w:rPr>
            </w:pPr>
            <w:r w:rsidRPr="006D6EC6">
              <w:rPr>
                <w:rFonts w:ascii="Times New Roman" w:eastAsia="Arial" w:hAnsi="Times New Roman"/>
                <w:sz w:val="18"/>
                <w:szCs w:val="18"/>
              </w:rPr>
              <w:t>Base learner</w:t>
            </w:r>
          </w:p>
        </w:tc>
        <w:tc>
          <w:tcPr>
            <w:tcW w:w="2448" w:type="dxa"/>
            <w:vAlign w:val="center"/>
          </w:tcPr>
          <w:p w14:paraId="00551E9F"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C=0.3; L1 ratio=0</w:t>
            </w:r>
          </w:p>
        </w:tc>
        <w:tc>
          <w:tcPr>
            <w:tcW w:w="950" w:type="dxa"/>
            <w:vAlign w:val="center"/>
          </w:tcPr>
          <w:p w14:paraId="5C847866"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−0.204</w:t>
            </w:r>
          </w:p>
        </w:tc>
        <w:tc>
          <w:tcPr>
            <w:tcW w:w="1180" w:type="dxa"/>
            <w:vAlign w:val="center"/>
          </w:tcPr>
          <w:p w14:paraId="610BDB90"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1.036</w:t>
            </w:r>
          </w:p>
        </w:tc>
        <w:tc>
          <w:tcPr>
            <w:tcW w:w="792" w:type="dxa"/>
            <w:vAlign w:val="center"/>
          </w:tcPr>
          <w:p w14:paraId="1EF30ADE"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0.6722</w:t>
            </w:r>
          </w:p>
        </w:tc>
        <w:tc>
          <w:tcPr>
            <w:tcW w:w="1800" w:type="dxa"/>
            <w:vAlign w:val="center"/>
          </w:tcPr>
          <w:p w14:paraId="6CF49B2C"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Selected classical learner</w:t>
            </w:r>
          </w:p>
        </w:tc>
      </w:tr>
      <w:tr w:rsidR="00E302D1" w:rsidRPr="006D6EC6" w14:paraId="658A851C" w14:textId="77777777">
        <w:trPr>
          <w:cantSplit/>
          <w:jc w:val="center"/>
        </w:trPr>
        <w:tc>
          <w:tcPr>
            <w:tcW w:w="1123" w:type="dxa"/>
            <w:vAlign w:val="center"/>
          </w:tcPr>
          <w:p w14:paraId="1D64FA78" w14:textId="77777777" w:rsidR="00E302D1" w:rsidRPr="006D6EC6" w:rsidRDefault="00000000">
            <w:pPr>
              <w:spacing w:line="240" w:lineRule="auto"/>
              <w:jc w:val="left"/>
              <w:rPr>
                <w:rFonts w:ascii="Times New Roman" w:hAnsi="Times New Roman"/>
                <w:sz w:val="18"/>
                <w:szCs w:val="18"/>
              </w:rPr>
            </w:pPr>
            <w:r w:rsidRPr="006D6EC6">
              <w:rPr>
                <w:rFonts w:ascii="Times New Roman" w:eastAsia="Arial" w:hAnsi="Times New Roman"/>
                <w:sz w:val="18"/>
                <w:szCs w:val="18"/>
              </w:rPr>
              <w:t>Extra Trees</w:t>
            </w:r>
          </w:p>
        </w:tc>
        <w:tc>
          <w:tcPr>
            <w:tcW w:w="1224" w:type="dxa"/>
            <w:vAlign w:val="center"/>
          </w:tcPr>
          <w:p w14:paraId="45E9A124" w14:textId="77777777" w:rsidR="00E302D1" w:rsidRPr="006D6EC6" w:rsidRDefault="00000000">
            <w:pPr>
              <w:spacing w:line="240" w:lineRule="auto"/>
              <w:jc w:val="left"/>
              <w:rPr>
                <w:rFonts w:ascii="Times New Roman" w:hAnsi="Times New Roman"/>
                <w:sz w:val="18"/>
                <w:szCs w:val="18"/>
              </w:rPr>
            </w:pPr>
            <w:r w:rsidRPr="006D6EC6">
              <w:rPr>
                <w:rFonts w:ascii="Times New Roman" w:eastAsia="Arial" w:hAnsi="Times New Roman"/>
                <w:sz w:val="18"/>
                <w:szCs w:val="18"/>
              </w:rPr>
              <w:t>Base learner</w:t>
            </w:r>
          </w:p>
        </w:tc>
        <w:tc>
          <w:tcPr>
            <w:tcW w:w="2448" w:type="dxa"/>
            <w:vAlign w:val="center"/>
          </w:tcPr>
          <w:p w14:paraId="2ED7A9DC"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max depth=None; max features=0.7; min leaf=1</w:t>
            </w:r>
          </w:p>
        </w:tc>
        <w:tc>
          <w:tcPr>
            <w:tcW w:w="950" w:type="dxa"/>
            <w:vAlign w:val="center"/>
          </w:tcPr>
          <w:p w14:paraId="229C3736"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0.008</w:t>
            </w:r>
          </w:p>
        </w:tc>
        <w:tc>
          <w:tcPr>
            <w:tcW w:w="1180" w:type="dxa"/>
            <w:vAlign w:val="center"/>
          </w:tcPr>
          <w:p w14:paraId="5DFEE7BC"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1.096</w:t>
            </w:r>
          </w:p>
        </w:tc>
        <w:tc>
          <w:tcPr>
            <w:tcW w:w="792" w:type="dxa"/>
            <w:vAlign w:val="center"/>
          </w:tcPr>
          <w:p w14:paraId="170CFE53"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0.4821</w:t>
            </w:r>
          </w:p>
        </w:tc>
        <w:tc>
          <w:tcPr>
            <w:tcW w:w="1800" w:type="dxa"/>
            <w:vAlign w:val="center"/>
          </w:tcPr>
          <w:p w14:paraId="688586A0"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Selected bagging learner</w:t>
            </w:r>
          </w:p>
        </w:tc>
      </w:tr>
      <w:tr w:rsidR="00E302D1" w:rsidRPr="006D6EC6" w14:paraId="3EEB9C46" w14:textId="77777777" w:rsidTr="00EC41F7">
        <w:trPr>
          <w:cantSplit/>
          <w:jc w:val="center"/>
        </w:trPr>
        <w:tc>
          <w:tcPr>
            <w:tcW w:w="1123" w:type="dxa"/>
            <w:vAlign w:val="center"/>
          </w:tcPr>
          <w:p w14:paraId="0E216CF9" w14:textId="77777777" w:rsidR="00E302D1" w:rsidRPr="006D6EC6" w:rsidRDefault="00000000">
            <w:pPr>
              <w:spacing w:line="240" w:lineRule="auto"/>
              <w:jc w:val="left"/>
              <w:rPr>
                <w:rFonts w:ascii="Times New Roman" w:hAnsi="Times New Roman"/>
                <w:sz w:val="18"/>
                <w:szCs w:val="18"/>
              </w:rPr>
            </w:pPr>
            <w:r w:rsidRPr="006D6EC6">
              <w:rPr>
                <w:rFonts w:ascii="Times New Roman" w:eastAsia="Arial" w:hAnsi="Times New Roman"/>
                <w:sz w:val="18"/>
                <w:szCs w:val="18"/>
              </w:rPr>
              <w:lastRenderedPageBreak/>
              <w:t>Histogram gradient boosting</w:t>
            </w:r>
          </w:p>
        </w:tc>
        <w:tc>
          <w:tcPr>
            <w:tcW w:w="1224" w:type="dxa"/>
            <w:vAlign w:val="center"/>
          </w:tcPr>
          <w:p w14:paraId="335E5237" w14:textId="77777777" w:rsidR="00E302D1" w:rsidRPr="006D6EC6" w:rsidRDefault="00000000">
            <w:pPr>
              <w:spacing w:line="240" w:lineRule="auto"/>
              <w:jc w:val="left"/>
              <w:rPr>
                <w:rFonts w:ascii="Times New Roman" w:hAnsi="Times New Roman"/>
                <w:sz w:val="18"/>
                <w:szCs w:val="18"/>
              </w:rPr>
            </w:pPr>
            <w:r w:rsidRPr="006D6EC6">
              <w:rPr>
                <w:rFonts w:ascii="Times New Roman" w:eastAsia="Arial" w:hAnsi="Times New Roman"/>
                <w:sz w:val="18"/>
                <w:szCs w:val="18"/>
              </w:rPr>
              <w:t>Base learner</w:t>
            </w:r>
          </w:p>
        </w:tc>
        <w:tc>
          <w:tcPr>
            <w:tcW w:w="2448" w:type="dxa"/>
            <w:vAlign w:val="center"/>
          </w:tcPr>
          <w:p w14:paraId="4484E5F1"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learning rate=0.1; iterations=200; max leaves=15; min leaf=20; L2=0</w:t>
            </w:r>
          </w:p>
        </w:tc>
        <w:tc>
          <w:tcPr>
            <w:tcW w:w="950" w:type="dxa"/>
            <w:vAlign w:val="center"/>
          </w:tcPr>
          <w:p w14:paraId="39761FD9"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−0.013</w:t>
            </w:r>
          </w:p>
        </w:tc>
        <w:tc>
          <w:tcPr>
            <w:tcW w:w="1180" w:type="dxa"/>
            <w:vAlign w:val="center"/>
          </w:tcPr>
          <w:p w14:paraId="03B0A4BF"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0.410</w:t>
            </w:r>
          </w:p>
        </w:tc>
        <w:tc>
          <w:tcPr>
            <w:tcW w:w="792" w:type="dxa"/>
            <w:vAlign w:val="center"/>
          </w:tcPr>
          <w:p w14:paraId="2AACEFDB"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0.5134</w:t>
            </w:r>
          </w:p>
        </w:tc>
        <w:tc>
          <w:tcPr>
            <w:tcW w:w="1800" w:type="dxa"/>
            <w:vAlign w:val="center"/>
          </w:tcPr>
          <w:p w14:paraId="477A6E70"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Selected boosting learner</w:t>
            </w:r>
          </w:p>
        </w:tc>
      </w:tr>
      <w:tr w:rsidR="00E302D1" w:rsidRPr="006D6EC6" w14:paraId="3361BE20" w14:textId="77777777" w:rsidTr="000E406D">
        <w:trPr>
          <w:cantSplit/>
          <w:jc w:val="center"/>
        </w:trPr>
        <w:tc>
          <w:tcPr>
            <w:tcW w:w="1123" w:type="dxa"/>
            <w:tcBorders>
              <w:bottom w:val="single" w:sz="4" w:space="0" w:color="auto"/>
            </w:tcBorders>
            <w:vAlign w:val="center"/>
          </w:tcPr>
          <w:p w14:paraId="6FD6FE3F" w14:textId="77777777" w:rsidR="00E302D1" w:rsidRPr="006D6EC6" w:rsidRDefault="00000000">
            <w:pPr>
              <w:spacing w:line="240" w:lineRule="auto"/>
              <w:jc w:val="left"/>
              <w:rPr>
                <w:rFonts w:ascii="Times New Roman" w:hAnsi="Times New Roman"/>
                <w:sz w:val="18"/>
                <w:szCs w:val="18"/>
              </w:rPr>
            </w:pPr>
            <w:r w:rsidRPr="006D6EC6">
              <w:rPr>
                <w:rFonts w:ascii="Times New Roman" w:eastAsia="Arial" w:hAnsi="Times New Roman"/>
                <w:sz w:val="18"/>
                <w:szCs w:val="18"/>
              </w:rPr>
              <w:t>S_MAC meta-calibration</w:t>
            </w:r>
          </w:p>
        </w:tc>
        <w:tc>
          <w:tcPr>
            <w:tcW w:w="1224" w:type="dxa"/>
            <w:tcBorders>
              <w:bottom w:val="single" w:sz="4" w:space="0" w:color="auto"/>
            </w:tcBorders>
            <w:vAlign w:val="center"/>
          </w:tcPr>
          <w:p w14:paraId="25E4A868" w14:textId="77777777" w:rsidR="00E302D1" w:rsidRPr="006D6EC6" w:rsidRDefault="00000000">
            <w:pPr>
              <w:spacing w:line="240" w:lineRule="auto"/>
              <w:jc w:val="left"/>
              <w:rPr>
                <w:rFonts w:ascii="Times New Roman" w:hAnsi="Times New Roman"/>
                <w:sz w:val="18"/>
                <w:szCs w:val="18"/>
              </w:rPr>
            </w:pPr>
            <w:r w:rsidRPr="006D6EC6">
              <w:rPr>
                <w:rFonts w:ascii="Times New Roman" w:eastAsia="Arial" w:hAnsi="Times New Roman"/>
                <w:sz w:val="18"/>
                <w:szCs w:val="18"/>
              </w:rPr>
              <w:t>Continuous ranking score</w:t>
            </w:r>
          </w:p>
        </w:tc>
        <w:tc>
          <w:tcPr>
            <w:tcW w:w="2448" w:type="dxa"/>
            <w:tcBorders>
              <w:bottom w:val="single" w:sz="4" w:space="0" w:color="auto"/>
            </w:tcBorders>
            <w:vAlign w:val="center"/>
          </w:tcPr>
          <w:p w14:paraId="501D5873"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 xml:space="preserve">Logistic calibration of </w:t>
            </w:r>
            <w:proofErr w:type="gramStart"/>
            <w:r w:rsidRPr="006D6EC6">
              <w:rPr>
                <w:rFonts w:ascii="Times New Roman" w:eastAsia="Arial" w:hAnsi="Times New Roman"/>
                <w:sz w:val="18"/>
                <w:szCs w:val="18"/>
              </w:rPr>
              <w:t>logit(</w:t>
            </w:r>
            <w:proofErr w:type="gramEnd"/>
            <w:r w:rsidRPr="006D6EC6">
              <w:rPr>
                <w:rFonts w:ascii="Times New Roman" w:eastAsia="Arial" w:hAnsi="Times New Roman"/>
                <w:sz w:val="18"/>
                <w:szCs w:val="18"/>
              </w:rPr>
              <w:t>Mean4)</w:t>
            </w:r>
          </w:p>
        </w:tc>
        <w:tc>
          <w:tcPr>
            <w:tcW w:w="950" w:type="dxa"/>
            <w:tcBorders>
              <w:bottom w:val="single" w:sz="4" w:space="0" w:color="auto"/>
            </w:tcBorders>
            <w:vAlign w:val="center"/>
          </w:tcPr>
          <w:p w14:paraId="10D7163C"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0.074</w:t>
            </w:r>
          </w:p>
        </w:tc>
        <w:tc>
          <w:tcPr>
            <w:tcW w:w="1180" w:type="dxa"/>
            <w:tcBorders>
              <w:bottom w:val="single" w:sz="4" w:space="0" w:color="auto"/>
            </w:tcBorders>
            <w:vAlign w:val="center"/>
          </w:tcPr>
          <w:p w14:paraId="267CC933"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1.206</w:t>
            </w:r>
          </w:p>
        </w:tc>
        <w:tc>
          <w:tcPr>
            <w:tcW w:w="792" w:type="dxa"/>
            <w:tcBorders>
              <w:bottom w:val="single" w:sz="4" w:space="0" w:color="auto"/>
            </w:tcBorders>
            <w:vAlign w:val="center"/>
          </w:tcPr>
          <w:p w14:paraId="1C3F755B"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w:t>
            </w:r>
          </w:p>
        </w:tc>
        <w:tc>
          <w:tcPr>
            <w:tcW w:w="1800" w:type="dxa"/>
            <w:tcBorders>
              <w:bottom w:val="single" w:sz="4" w:space="0" w:color="auto"/>
            </w:tcBorders>
            <w:vAlign w:val="center"/>
          </w:tcPr>
          <w:p w14:paraId="4985F701" w14:textId="77777777" w:rsidR="00E302D1" w:rsidRPr="006D6EC6" w:rsidRDefault="00000000">
            <w:pPr>
              <w:spacing w:line="240" w:lineRule="auto"/>
              <w:jc w:val="center"/>
              <w:rPr>
                <w:rFonts w:ascii="Times New Roman" w:hAnsi="Times New Roman"/>
                <w:sz w:val="18"/>
                <w:szCs w:val="18"/>
              </w:rPr>
            </w:pPr>
            <w:r w:rsidRPr="006D6EC6">
              <w:rPr>
                <w:rFonts w:ascii="Times New Roman" w:eastAsia="Arial" w:hAnsi="Times New Roman"/>
                <w:sz w:val="18"/>
                <w:szCs w:val="18"/>
              </w:rPr>
              <w:t>No additional vote or clinical probability claim</w:t>
            </w:r>
          </w:p>
        </w:tc>
      </w:tr>
      <w:tr w:rsidR="00AB17DB" w:rsidRPr="006D6EC6" w14:paraId="514C0E70" w14:textId="77777777" w:rsidTr="00AB17DB">
        <w:trPr>
          <w:cantSplit/>
          <w:trHeight w:val="607"/>
          <w:jc w:val="center"/>
        </w:trPr>
        <w:tc>
          <w:tcPr>
            <w:tcW w:w="9517" w:type="dxa"/>
            <w:gridSpan w:val="7"/>
            <w:tcBorders>
              <w:top w:val="single" w:sz="4" w:space="0" w:color="auto"/>
              <w:bottom w:val="single" w:sz="4" w:space="0" w:color="auto"/>
            </w:tcBorders>
            <w:vAlign w:val="center"/>
          </w:tcPr>
          <w:p w14:paraId="47C7A685" w14:textId="77777777" w:rsidR="00AB17DB" w:rsidRPr="006D6EC6" w:rsidRDefault="00AB17DB" w:rsidP="00AB17DB">
            <w:pPr>
              <w:pStyle w:val="MDPI43tablefooter"/>
              <w:spacing w:after="240"/>
              <w:ind w:left="0"/>
              <w:jc w:val="both"/>
              <w:rPr>
                <w:rFonts w:cs="Times New Roman"/>
                <w:snapToGrid w:val="0"/>
                <w:szCs w:val="18"/>
              </w:rPr>
            </w:pPr>
            <w:r w:rsidRPr="006D6EC6">
              <w:rPr>
                <w:rFonts w:ascii="Times New Roman" w:hAnsi="Times New Roman" w:cs="Times New Roman"/>
                <w:szCs w:val="18"/>
              </w:rPr>
              <w:t>Note. Base-learner Platt parameters, locked thresholds and S_MAC meta-calibration</w:t>
            </w:r>
            <w:r w:rsidRPr="006D6EC6">
              <w:t xml:space="preserve"> parameters are reported for the deployment fit.</w:t>
            </w:r>
          </w:p>
        </w:tc>
      </w:tr>
    </w:tbl>
    <w:p w14:paraId="6DD2BB85" w14:textId="77777777" w:rsidR="00213838" w:rsidRPr="006D6EC6" w:rsidRDefault="00213838" w:rsidP="00CD0244">
      <w:pPr>
        <w:pStyle w:val="MDPI31text"/>
        <w:rPr>
          <w:szCs w:val="20"/>
        </w:rPr>
      </w:pPr>
      <w:r w:rsidRPr="006D6EC6">
        <w:rPr>
          <w:szCs w:val="20"/>
        </w:rPr>
        <w:t>The continuous HBOCpred score (S_MAC) was calculated by logistic meta-calibration of Mean4, the arithmetic mean of the four calibrated learner probabilities, and did not contribute an additional vote. No global S_MAC threshold was applied; all five V0–V4 audit states remained vote-defined. Across five complete repeat-level outer-test evaluations, the prespecified ≥3-of-4 endpoint achieved balanced accuracy 0.9527 ± 0.0022, sensitivity 0.9287 ± 0.0049 and specificity 0.9767 ± 0.0027. Mean PPV, NPV, F1 and MCC were 0.9704, 0.9435, 0.9491 and 0.9097, respectively. Continuous S_MAC discrimination yielded AUROC 0.9900 ± 0.0008, AUPRC 0.9903 ± 0.0006 and a Brier score of 0.0317 ± 0.0006 (Fig. 2B). These ± values are sample standard deviations across repeat-level estimates and describe split stability rather than sampling-based uncertainty.</w:t>
      </w:r>
    </w:p>
    <w:p w14:paraId="4870DF8B" w14:textId="77777777" w:rsidR="00213838" w:rsidRPr="006D6EC6" w:rsidRDefault="00213838" w:rsidP="00CD0244">
      <w:pPr>
        <w:pStyle w:val="MDPI31text"/>
        <w:rPr>
          <w:szCs w:val="20"/>
        </w:rPr>
      </w:pPr>
      <w:r w:rsidRPr="006D6EC6">
        <w:rPr>
          <w:szCs w:val="20"/>
        </w:rPr>
        <w:t>At the more stringent four-of-four binary endpoint, specificity and PPV climbed to 0.9875 and 0.9836, while sensitivity and NPV were 0.9094 and 0.9300; balanced accuracy was 0.9484 ± 0.0022. These binary metrics consider V0-V3 together as the negative class, and hence measure V4 capture, but do not assess the complete three-output B/LB-Uncertain-LP/P rule. Calibration slopes among repeats were from 0.979 to 1.020 and intercepts were from −0.037 to 0.040 (Fig. 2C). These are internal nested-validation estimates, not external clinical validation.</w:t>
      </w:r>
    </w:p>
    <w:p w14:paraId="2D3CA5A6" w14:textId="77777777" w:rsidR="00E66B10" w:rsidRPr="006D6EC6" w:rsidRDefault="00E66B10">
      <w:pPr>
        <w:pStyle w:val="MDPI31text"/>
      </w:pPr>
      <w:r w:rsidRPr="006D6EC6">
        <w:t xml:space="preserve">In the out-of-fold evaluation, </w:t>
      </w:r>
      <w:proofErr w:type="spellStart"/>
      <w:r w:rsidRPr="006D6EC6">
        <w:t>HBOCpred</w:t>
      </w:r>
      <w:proofErr w:type="spellEnd"/>
      <w:r w:rsidRPr="006D6EC6">
        <w:t xml:space="preserve"> assigned 1,151 anchors to predicted B/LB (1,117 B/LB and 34 LP/P), 111 to Uncertain (53 B/LB and 58 LP/P), and 898 to predicted LP/P (17 B/LB and 881 LP/P) (Table 5). Overall, 2,049 of 2,160 anchors received a B/LB or LP/P output (94.86%; Wilson 95% CI, 93.85–95.72%), whereas 111 received an Uncertain output (5.14%; 4.28–6.15%). Among the 2,049 non-Uncertain outputs, 1,998 agreed with the source label (97.51%; 96.74–98.10%). Among B/LB anchors, 94.10% received a B/LB output, 4.47% an Uncertain output, and 1.43% an LP/P output. Among LP/P anchors, 90.54% received an LP/P output, 5.96% an Uncertain output, and 3.49% a B/LB output.</w:t>
      </w:r>
    </w:p>
    <w:p w14:paraId="0AAB9618" w14:textId="77777777" w:rsidR="00083AA0" w:rsidRPr="006D6EC6" w:rsidRDefault="00083AA0" w:rsidP="00CD0244">
      <w:pPr>
        <w:pStyle w:val="MDPI52figure"/>
      </w:pPr>
      <w:r w:rsidRPr="006D6EC6">
        <w:rPr>
          <w:noProof/>
          <w:snapToGrid/>
        </w:rPr>
        <w:lastRenderedPageBreak/>
        <w:drawing>
          <wp:inline distT="0" distB="0" distL="0" distR="0" wp14:anchorId="5889F680" wp14:editId="3FC2802E">
            <wp:extent cx="6447155" cy="2612390"/>
            <wp:effectExtent l="0" t="0" r="0" b="0"/>
            <wp:docPr id="104" name="Picture 2" descr="HBOCpred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BOCpred Fig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7155" cy="2612390"/>
                    </a:xfrm>
                    <a:prstGeom prst="rect">
                      <a:avLst/>
                    </a:prstGeom>
                    <a:noFill/>
                    <a:ln>
                      <a:noFill/>
                    </a:ln>
                  </pic:spPr>
                </pic:pic>
              </a:graphicData>
            </a:graphic>
          </wp:inline>
        </w:drawing>
      </w:r>
    </w:p>
    <w:p w14:paraId="73A9C073" w14:textId="77777777" w:rsidR="00083AA0" w:rsidRPr="006D6EC6" w:rsidRDefault="00083AA0" w:rsidP="00CD0244">
      <w:pPr>
        <w:pStyle w:val="MDPI51figurecaption"/>
        <w:jc w:val="both"/>
        <w:rPr>
          <w:snapToGrid w:val="0"/>
          <w:szCs w:val="18"/>
        </w:rPr>
      </w:pPr>
      <w:r w:rsidRPr="006D6EC6">
        <w:rPr>
          <w:b/>
          <w:bCs/>
        </w:rPr>
        <w:t>Figure 2.</w:t>
      </w:r>
      <w:r w:rsidRPr="006D6EC6">
        <w:t xml:space="preserve"> Family-constrained learner selection and repeated nested-validation performance. (A) Learner-selection frequencies across 25 outer folds; teal bars identify the four deployment learners. Frequencies are descriptive, whereas deployment membership was determined by aggregate within-family ranking. (B) ROC and precision–recall curves from the continuous S_MAC score in five complete outer-test repeats. Thin curves show individual repeats, solid curves show the mean and ribbons show ±1 sample SD. Dashed lines denote chance discrimination and the 45.05% LP/P anchor prevalence, respectively. The lower annotations show AUROC = 0.990 and AUPRC = 0.990; full estimates are 0.9900 ± 0.0008 and 0.9903 ± 0.0006. (C) Decile-based calibration curves for each outer-test repeat; the dashed line denotes perfect calibration. Calibration slopes ranged from 0.979 to 1.020, intercepts from −0.037 to 0.040 and the mean Brier score was 0.0317 ± 0.0006.</w:t>
      </w:r>
    </w:p>
    <w:p w14:paraId="524902A6" w14:textId="49D4F8B7" w:rsidR="00666642" w:rsidRPr="006D6EC6" w:rsidRDefault="00000000">
      <w:pPr>
        <w:pStyle w:val="MDPI41tablecaption"/>
      </w:pPr>
      <w:r w:rsidRPr="006D6EC6">
        <w:rPr>
          <w:b/>
          <w:bCs/>
        </w:rPr>
        <w:t>Table 5.</w:t>
      </w:r>
      <w:r w:rsidRPr="006D6EC6">
        <w:t xml:space="preserve"> </w:t>
      </w:r>
      <w:r w:rsidR="000F5B73">
        <w:t>Fi</w:t>
      </w:r>
      <w:r w:rsidRPr="006D6EC6">
        <w:t>xed out-of-fold three-output audit of labelled anchors.</w:t>
      </w:r>
    </w:p>
    <w:tbl>
      <w:tblPr>
        <w:tblStyle w:val="MDPItable"/>
        <w:tblW w:w="0" w:type="auto"/>
        <w:jc w:val="center"/>
        <w:tblLook w:val="04A0" w:firstRow="1" w:lastRow="0" w:firstColumn="1" w:lastColumn="0" w:noHBand="0" w:noVBand="1"/>
      </w:tblPr>
      <w:tblGrid>
        <w:gridCol w:w="2093"/>
        <w:gridCol w:w="2093"/>
        <w:gridCol w:w="2093"/>
        <w:gridCol w:w="2093"/>
        <w:gridCol w:w="2093"/>
      </w:tblGrid>
      <w:tr w:rsidR="00666642" w:rsidRPr="006D6EC6" w14:paraId="394D6194" w14:textId="77777777" w:rsidTr="00AB17DB">
        <w:trPr>
          <w:tblHeader/>
          <w:jc w:val="center"/>
        </w:trPr>
        <w:tc>
          <w:tcPr>
            <w:tcW w:w="2093" w:type="dxa"/>
            <w:tcBorders>
              <w:top w:val="single" w:sz="4" w:space="0" w:color="auto"/>
              <w:bottom w:val="single" w:sz="4" w:space="0" w:color="auto"/>
            </w:tcBorders>
            <w:shd w:val="clear" w:color="auto" w:fill="FFF2CC"/>
            <w:vAlign w:val="center"/>
          </w:tcPr>
          <w:p w14:paraId="55F77258" w14:textId="77777777" w:rsidR="00666642" w:rsidRPr="00A7390A" w:rsidRDefault="00000000">
            <w:pPr>
              <w:jc w:val="left"/>
              <w:rPr>
                <w:rFonts w:eastAsia="Times New Roman"/>
                <w:sz w:val="18"/>
                <w:lang w:val="en-US" w:eastAsia="de-DE" w:bidi="en-US"/>
              </w:rPr>
            </w:pPr>
            <w:r w:rsidRPr="00A7390A">
              <w:rPr>
                <w:rFonts w:eastAsia="Times New Roman"/>
                <w:sz w:val="18"/>
                <w:lang w:val="en-US" w:eastAsia="de-DE" w:bidi="en-US"/>
              </w:rPr>
              <w:t>Source label</w:t>
            </w:r>
          </w:p>
        </w:tc>
        <w:tc>
          <w:tcPr>
            <w:tcW w:w="2093" w:type="dxa"/>
            <w:tcBorders>
              <w:top w:val="single" w:sz="4" w:space="0" w:color="auto"/>
              <w:bottom w:val="single" w:sz="4" w:space="0" w:color="auto"/>
            </w:tcBorders>
            <w:shd w:val="clear" w:color="auto" w:fill="FFF2CC"/>
            <w:vAlign w:val="center"/>
          </w:tcPr>
          <w:p w14:paraId="10EA8438"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Predicted B/LB (V0)</w:t>
            </w:r>
          </w:p>
        </w:tc>
        <w:tc>
          <w:tcPr>
            <w:tcW w:w="2093" w:type="dxa"/>
            <w:tcBorders>
              <w:top w:val="single" w:sz="4" w:space="0" w:color="auto"/>
              <w:bottom w:val="single" w:sz="4" w:space="0" w:color="auto"/>
            </w:tcBorders>
            <w:shd w:val="clear" w:color="auto" w:fill="FFF2CC"/>
            <w:vAlign w:val="center"/>
          </w:tcPr>
          <w:p w14:paraId="0FDF218D"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Uncertain (V1–V3)</w:t>
            </w:r>
          </w:p>
        </w:tc>
        <w:tc>
          <w:tcPr>
            <w:tcW w:w="2093" w:type="dxa"/>
            <w:tcBorders>
              <w:top w:val="single" w:sz="4" w:space="0" w:color="auto"/>
              <w:bottom w:val="single" w:sz="4" w:space="0" w:color="auto"/>
            </w:tcBorders>
            <w:shd w:val="clear" w:color="auto" w:fill="FFF2CC"/>
            <w:vAlign w:val="center"/>
          </w:tcPr>
          <w:p w14:paraId="7E16E374"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Predicted LP/P (V4)</w:t>
            </w:r>
          </w:p>
        </w:tc>
        <w:tc>
          <w:tcPr>
            <w:tcW w:w="2093" w:type="dxa"/>
            <w:tcBorders>
              <w:top w:val="single" w:sz="4" w:space="0" w:color="auto"/>
              <w:bottom w:val="single" w:sz="4" w:space="0" w:color="auto"/>
            </w:tcBorders>
            <w:shd w:val="clear" w:color="auto" w:fill="FFF2CC"/>
            <w:vAlign w:val="center"/>
          </w:tcPr>
          <w:p w14:paraId="4F20D30C"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Total</w:t>
            </w:r>
          </w:p>
        </w:tc>
      </w:tr>
      <w:tr w:rsidR="00666642" w:rsidRPr="006D6EC6" w14:paraId="18A42C3E" w14:textId="77777777" w:rsidTr="00AB17DB">
        <w:trPr>
          <w:jc w:val="center"/>
        </w:trPr>
        <w:tc>
          <w:tcPr>
            <w:tcW w:w="2093" w:type="dxa"/>
            <w:tcBorders>
              <w:top w:val="single" w:sz="4" w:space="0" w:color="auto"/>
            </w:tcBorders>
            <w:shd w:val="clear" w:color="auto" w:fill="FFF2CC"/>
            <w:vAlign w:val="center"/>
          </w:tcPr>
          <w:p w14:paraId="68A54C05" w14:textId="77777777" w:rsidR="00666642" w:rsidRPr="00A7390A" w:rsidRDefault="00000000">
            <w:pPr>
              <w:jc w:val="left"/>
              <w:rPr>
                <w:rFonts w:eastAsia="Times New Roman"/>
                <w:sz w:val="18"/>
                <w:lang w:val="en-US" w:eastAsia="de-DE" w:bidi="en-US"/>
              </w:rPr>
            </w:pPr>
            <w:r w:rsidRPr="00A7390A">
              <w:rPr>
                <w:rFonts w:eastAsia="Times New Roman"/>
                <w:sz w:val="18"/>
                <w:lang w:val="en-US" w:eastAsia="de-DE" w:bidi="en-US"/>
              </w:rPr>
              <w:t>B/LB</w:t>
            </w:r>
          </w:p>
        </w:tc>
        <w:tc>
          <w:tcPr>
            <w:tcW w:w="2093" w:type="dxa"/>
            <w:tcBorders>
              <w:top w:val="single" w:sz="4" w:space="0" w:color="auto"/>
            </w:tcBorders>
            <w:shd w:val="clear" w:color="auto" w:fill="FFF2CC"/>
            <w:vAlign w:val="center"/>
          </w:tcPr>
          <w:p w14:paraId="2862532E"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1,117</w:t>
            </w:r>
          </w:p>
        </w:tc>
        <w:tc>
          <w:tcPr>
            <w:tcW w:w="2093" w:type="dxa"/>
            <w:tcBorders>
              <w:top w:val="single" w:sz="4" w:space="0" w:color="auto"/>
            </w:tcBorders>
            <w:shd w:val="clear" w:color="auto" w:fill="FFF2CC"/>
            <w:vAlign w:val="center"/>
          </w:tcPr>
          <w:p w14:paraId="5F1DCCBF"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53</w:t>
            </w:r>
          </w:p>
        </w:tc>
        <w:tc>
          <w:tcPr>
            <w:tcW w:w="2093" w:type="dxa"/>
            <w:tcBorders>
              <w:top w:val="single" w:sz="4" w:space="0" w:color="auto"/>
            </w:tcBorders>
            <w:shd w:val="clear" w:color="auto" w:fill="FFF2CC"/>
            <w:vAlign w:val="center"/>
          </w:tcPr>
          <w:p w14:paraId="1544AEB4"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17</w:t>
            </w:r>
          </w:p>
        </w:tc>
        <w:tc>
          <w:tcPr>
            <w:tcW w:w="2093" w:type="dxa"/>
            <w:tcBorders>
              <w:top w:val="single" w:sz="4" w:space="0" w:color="auto"/>
            </w:tcBorders>
            <w:shd w:val="clear" w:color="auto" w:fill="FFF2CC"/>
            <w:vAlign w:val="center"/>
          </w:tcPr>
          <w:p w14:paraId="06EEF7C6"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1,187</w:t>
            </w:r>
          </w:p>
        </w:tc>
      </w:tr>
      <w:tr w:rsidR="00666642" w:rsidRPr="006D6EC6" w14:paraId="71ED115D" w14:textId="77777777" w:rsidTr="00AB17DB">
        <w:trPr>
          <w:jc w:val="center"/>
        </w:trPr>
        <w:tc>
          <w:tcPr>
            <w:tcW w:w="2093" w:type="dxa"/>
            <w:shd w:val="clear" w:color="auto" w:fill="FFF2CC"/>
            <w:vAlign w:val="center"/>
          </w:tcPr>
          <w:p w14:paraId="6D41FAAC" w14:textId="77777777" w:rsidR="00666642" w:rsidRPr="00A7390A" w:rsidRDefault="00000000">
            <w:pPr>
              <w:jc w:val="left"/>
              <w:rPr>
                <w:rFonts w:eastAsia="Times New Roman"/>
                <w:sz w:val="18"/>
                <w:lang w:val="en-US" w:eastAsia="de-DE" w:bidi="en-US"/>
              </w:rPr>
            </w:pPr>
            <w:r w:rsidRPr="00A7390A">
              <w:rPr>
                <w:rFonts w:eastAsia="Times New Roman"/>
                <w:sz w:val="18"/>
                <w:lang w:val="en-US" w:eastAsia="de-DE" w:bidi="en-US"/>
              </w:rPr>
              <w:t>LP/P</w:t>
            </w:r>
          </w:p>
        </w:tc>
        <w:tc>
          <w:tcPr>
            <w:tcW w:w="2093" w:type="dxa"/>
            <w:shd w:val="clear" w:color="auto" w:fill="FFF2CC"/>
            <w:vAlign w:val="center"/>
          </w:tcPr>
          <w:p w14:paraId="173A8283"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34</w:t>
            </w:r>
          </w:p>
        </w:tc>
        <w:tc>
          <w:tcPr>
            <w:tcW w:w="2093" w:type="dxa"/>
            <w:shd w:val="clear" w:color="auto" w:fill="FFF2CC"/>
            <w:vAlign w:val="center"/>
          </w:tcPr>
          <w:p w14:paraId="3AAD8FF7"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58</w:t>
            </w:r>
          </w:p>
        </w:tc>
        <w:tc>
          <w:tcPr>
            <w:tcW w:w="2093" w:type="dxa"/>
            <w:shd w:val="clear" w:color="auto" w:fill="FFF2CC"/>
            <w:vAlign w:val="center"/>
          </w:tcPr>
          <w:p w14:paraId="2F78CF4C"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881</w:t>
            </w:r>
          </w:p>
        </w:tc>
        <w:tc>
          <w:tcPr>
            <w:tcW w:w="2093" w:type="dxa"/>
            <w:shd w:val="clear" w:color="auto" w:fill="FFF2CC"/>
            <w:vAlign w:val="center"/>
          </w:tcPr>
          <w:p w14:paraId="48B564E9"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973</w:t>
            </w:r>
          </w:p>
        </w:tc>
      </w:tr>
      <w:tr w:rsidR="00666642" w:rsidRPr="006D6EC6" w14:paraId="5238B50D" w14:textId="77777777" w:rsidTr="00AB17DB">
        <w:trPr>
          <w:jc w:val="center"/>
        </w:trPr>
        <w:tc>
          <w:tcPr>
            <w:tcW w:w="2093" w:type="dxa"/>
            <w:tcBorders>
              <w:bottom w:val="single" w:sz="4" w:space="0" w:color="auto"/>
            </w:tcBorders>
            <w:shd w:val="clear" w:color="auto" w:fill="FFF2CC"/>
            <w:vAlign w:val="center"/>
          </w:tcPr>
          <w:p w14:paraId="2EC00B02" w14:textId="77777777" w:rsidR="00666642" w:rsidRPr="00A7390A" w:rsidRDefault="00000000">
            <w:pPr>
              <w:jc w:val="left"/>
              <w:rPr>
                <w:rFonts w:eastAsia="Times New Roman"/>
                <w:sz w:val="18"/>
                <w:lang w:val="en-US" w:eastAsia="de-DE" w:bidi="en-US"/>
              </w:rPr>
            </w:pPr>
            <w:r w:rsidRPr="00A7390A">
              <w:rPr>
                <w:rFonts w:eastAsia="Times New Roman"/>
                <w:sz w:val="18"/>
                <w:lang w:val="en-US" w:eastAsia="de-DE" w:bidi="en-US"/>
              </w:rPr>
              <w:t>Total</w:t>
            </w:r>
          </w:p>
        </w:tc>
        <w:tc>
          <w:tcPr>
            <w:tcW w:w="2093" w:type="dxa"/>
            <w:tcBorders>
              <w:bottom w:val="single" w:sz="4" w:space="0" w:color="auto"/>
            </w:tcBorders>
            <w:shd w:val="clear" w:color="auto" w:fill="FFF2CC"/>
            <w:vAlign w:val="center"/>
          </w:tcPr>
          <w:p w14:paraId="187306B3"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1,151</w:t>
            </w:r>
          </w:p>
        </w:tc>
        <w:tc>
          <w:tcPr>
            <w:tcW w:w="2093" w:type="dxa"/>
            <w:tcBorders>
              <w:bottom w:val="single" w:sz="4" w:space="0" w:color="auto"/>
            </w:tcBorders>
            <w:shd w:val="clear" w:color="auto" w:fill="FFF2CC"/>
            <w:vAlign w:val="center"/>
          </w:tcPr>
          <w:p w14:paraId="0FD4B2A2"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111</w:t>
            </w:r>
          </w:p>
        </w:tc>
        <w:tc>
          <w:tcPr>
            <w:tcW w:w="2093" w:type="dxa"/>
            <w:tcBorders>
              <w:bottom w:val="single" w:sz="4" w:space="0" w:color="auto"/>
            </w:tcBorders>
            <w:shd w:val="clear" w:color="auto" w:fill="FFF2CC"/>
            <w:vAlign w:val="center"/>
          </w:tcPr>
          <w:p w14:paraId="6DD5ADC4"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898</w:t>
            </w:r>
          </w:p>
        </w:tc>
        <w:tc>
          <w:tcPr>
            <w:tcW w:w="2093" w:type="dxa"/>
            <w:tcBorders>
              <w:bottom w:val="single" w:sz="4" w:space="0" w:color="auto"/>
            </w:tcBorders>
            <w:shd w:val="clear" w:color="auto" w:fill="FFF2CC"/>
            <w:vAlign w:val="center"/>
          </w:tcPr>
          <w:p w14:paraId="39782BE5" w14:textId="77777777" w:rsidR="00666642" w:rsidRPr="00A7390A" w:rsidRDefault="00000000">
            <w:pPr>
              <w:jc w:val="center"/>
              <w:rPr>
                <w:rFonts w:eastAsia="Times New Roman"/>
                <w:sz w:val="18"/>
                <w:lang w:val="en-US" w:eastAsia="de-DE" w:bidi="en-US"/>
              </w:rPr>
            </w:pPr>
            <w:r w:rsidRPr="00A7390A">
              <w:rPr>
                <w:rFonts w:eastAsia="Times New Roman"/>
                <w:sz w:val="18"/>
                <w:lang w:val="en-US" w:eastAsia="de-DE" w:bidi="en-US"/>
              </w:rPr>
              <w:t>2,160</w:t>
            </w:r>
          </w:p>
        </w:tc>
      </w:tr>
    </w:tbl>
    <w:p w14:paraId="64868ACA" w14:textId="77777777" w:rsidR="00666642" w:rsidRPr="006D6EC6" w:rsidRDefault="00000000">
      <w:pPr>
        <w:pStyle w:val="MDPI43tablefooter"/>
      </w:pPr>
      <w:r w:rsidRPr="006D6EC6">
        <w:t>Note. B/LB and LP/P are model outputs for labelled internal or external records and do not constitute ACMG/AMP reclassification. Definite-output coverage was 2,049/2,160 (94.86%), the Uncertain rate was 111/2,160 (5.14%), and source-direction concordance among definite outputs was 1,998/2,049 (97.51%).</w:t>
      </w:r>
    </w:p>
    <w:p w14:paraId="188743C6" w14:textId="77777777" w:rsidR="00083AA0" w:rsidRPr="006D6EC6" w:rsidRDefault="00CD0244" w:rsidP="00CD0244">
      <w:pPr>
        <w:pStyle w:val="MDPI22heading2"/>
        <w:spacing w:before="240"/>
        <w:rPr>
          <w:szCs w:val="20"/>
        </w:rPr>
      </w:pPr>
      <w:r w:rsidRPr="006D6EC6">
        <w:t>2.3 Context-specific categorical outputs and vote-pattern audit</w:t>
      </w:r>
    </w:p>
    <w:p w14:paraId="183FB4FC" w14:textId="77777777" w:rsidR="00666642" w:rsidRPr="006D6EC6" w:rsidRDefault="00000000" w:rsidP="00151CDC">
      <w:pPr>
        <w:ind w:left="2040" w:firstLine="510"/>
      </w:pPr>
      <w:r w:rsidRPr="006D6EC6">
        <w:t>Application of the four selected learners to 43,679 unresolved records assigned 31,627 to V0, 2,228 to V1, 1,429 to V2, 1,622 to V3 and 6,773 to V4. Because these records were already unresolved, they were not labelled B/LB or LP/P. Instead, V0 was displayed as Uncertain-low (31,627; 72.41%), V1–V3 as Uncertain-mid (5,279; 12.09%) and V4 as Uncertain-high (6,773; 15.51%) (Fig. 3A). Learner LP/P-directed call fractions remained 22.50% for SVM–RBF, 19.87% for L2 logistic regression, 20.86% for Extra Trees and 21.58% for histogram gradient boosting. The exact V-state and four-bit vote vector are retained for every evaluable record; the application-zone labels do not replace the audit layer.</w:t>
      </w:r>
    </w:p>
    <w:p w14:paraId="5F0EE7E9" w14:textId="77777777" w:rsidR="00666642" w:rsidRPr="006D6EC6" w:rsidRDefault="00000000" w:rsidP="00151CDC">
      <w:pPr>
        <w:ind w:left="2040" w:firstLine="510"/>
      </w:pPr>
      <w:r w:rsidRPr="006D6EC6">
        <w:t>The distinction between evaluation and application contexts is shown in Fig. 3B–C. Labelled anchors were evaluated as predicted B/LB, Uncertain or predicted LP/P: the predicted B/LB output had 1,117/1,151 B/LB source-label concordance (97.05%; Wilson 95% CI, 95.90–</w:t>
      </w:r>
      <w:r w:rsidRPr="006D6EC6">
        <w:lastRenderedPageBreak/>
        <w:t>97.88%), the predicted LP/P output had 881/898 LP/P concordance (98.11%; 96.99–98.81%), and the Uncertain output contained 58/111 LP/P anchors (52.25%; 43.04–61.31%). Uncertain-low/mid/high terminology is therefore restricted to the unresolved application catalogue and is not used to describe known anchors.</w:t>
      </w:r>
    </w:p>
    <w:p w14:paraId="59E3B09B" w14:textId="77777777" w:rsidR="00666642" w:rsidRPr="006D6EC6" w:rsidRDefault="00000000" w:rsidP="00151CDC">
      <w:pPr>
        <w:ind w:left="2040" w:firstLine="510"/>
      </w:pPr>
      <w:r w:rsidRPr="006D6EC6">
        <w:t>The mixed-vote output comprised V1 (36 anchors; 10 LP/P), V2 (41 anchors; 29 LP/P) and V3 (34 anchors; 19 LP/P) (Fig. 3C). For labelled records, all three states are reported as Uncertain; for unresolved application records, they form the Uncertain-mid zone. Their component states remain visible because learner configurations differ, but they are not interpreted as ordered pathogenicity levels. In the fixed out-of-fold atlas, the LP/P fractions were 29/41 for V2 (70.7%; Wilson 95% CI, 55.5–82.4%) and 19/34 for V3 (55.9%; 39.5–71.1%). The overlapping intervals and reversal of the repeated-cross-validation point ordering preclude an ordinal interpretation.</w:t>
      </w:r>
    </w:p>
    <w:p w14:paraId="0EFB17C8" w14:textId="77777777" w:rsidR="00666642" w:rsidRDefault="00000000" w:rsidP="00151CDC">
      <w:pPr>
        <w:ind w:left="2040" w:firstLine="510"/>
      </w:pPr>
      <w:r w:rsidRPr="006D6EC6">
        <w:t xml:space="preserve">The exact V2 state remained strongly structured by learner-family identity. </w:t>
      </w:r>
      <w:proofErr w:type="gramStart"/>
      <w:r w:rsidRPr="006D6EC6">
        <w:t>Both tree</w:t>
      </w:r>
      <w:proofErr w:type="gramEnd"/>
      <w:r w:rsidRPr="006D6EC6">
        <w:t xml:space="preserve"> learners supplied the two LP/P-directed votes in 32/41 V2 anchors, one tree plus one classical learner did so in 9/41 and both classical learners did so in 0/41 (Fig. 3D). Of the 32 tree-pair cases, 23 were LP/P-labelled and nine were B/LB-labelled. V2 is therefore retained as an audit of structured model-family disagreement within the Uncertain output, not as a biological class.</w:t>
      </w:r>
    </w:p>
    <w:p w14:paraId="51CC1598" w14:textId="77777777" w:rsidR="00666642" w:rsidRDefault="00CD4674">
      <w:pPr>
        <w:jc w:val="center"/>
      </w:pPr>
      <w:r>
        <w:rPr>
          <w:noProof/>
        </w:rPr>
        <w:drawing>
          <wp:inline distT="0" distB="0" distL="0" distR="0" wp14:anchorId="51A3FC36" wp14:editId="2BEE7680">
            <wp:extent cx="6645910" cy="3562985"/>
            <wp:effectExtent l="0" t="0" r="2540" b="0"/>
            <wp:docPr id="1209417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562985"/>
                    </a:xfrm>
                    <a:prstGeom prst="rect">
                      <a:avLst/>
                    </a:prstGeom>
                    <a:noFill/>
                    <a:ln>
                      <a:noFill/>
                    </a:ln>
                  </pic:spPr>
                </pic:pic>
              </a:graphicData>
            </a:graphic>
          </wp:inline>
        </w:drawing>
      </w:r>
    </w:p>
    <w:p w14:paraId="1D653C11" w14:textId="77777777" w:rsidR="00666642" w:rsidRPr="006D6EC6" w:rsidRDefault="00000000" w:rsidP="009F6ADD">
      <w:pPr>
        <w:ind w:left="1530" w:firstLine="510"/>
      </w:pPr>
      <w:r w:rsidRPr="006D6EC6">
        <w:rPr>
          <w:b/>
          <w:bCs/>
        </w:rPr>
        <w:t>Figure 3.</w:t>
      </w:r>
      <w:r w:rsidRPr="006D6EC6">
        <w:t xml:space="preserve"> Context-specific categorical outputs and fixed-atlas vote-pattern audit. (A) Locked-model application counts for Uncertain-low (V0), Uncertain-mid (V1–V3) and Uncertain-high (V4) among 43,679 unresolved records. These zone labels are used only for the unresolved application catalogue. (B) Fixed out-of-fold matrix for the 2,160 labelled anchors under the three-output rule: predicted B/LB at V0, Uncertain at V1–V3 and predicted LP/P at V4. (C) Within-source-label proportions receiving the correct directional output, an Uncertain output or the opposite directional output. (D) Learner-pair composition among the 41 anchors at exact 2:2 disagreement. “Both tree learners” denotes Extra Trees plus </w:t>
      </w:r>
      <w:proofErr w:type="spellStart"/>
      <w:r w:rsidRPr="006D6EC6">
        <w:t>HistGB</w:t>
      </w:r>
      <w:proofErr w:type="spellEnd"/>
      <w:r w:rsidRPr="006D6EC6">
        <w:t xml:space="preserve"> as the LP/P-directed pair; “both classical learners” denotes SVM–RBF plus L2 logistic regression. </w:t>
      </w:r>
    </w:p>
    <w:p w14:paraId="4FBE1577" w14:textId="77777777" w:rsidR="00083AA0" w:rsidRPr="006D6EC6" w:rsidRDefault="00CD0244" w:rsidP="00CD0244">
      <w:pPr>
        <w:pStyle w:val="MDPI22heading2"/>
        <w:spacing w:before="240"/>
        <w:rPr>
          <w:szCs w:val="20"/>
        </w:rPr>
      </w:pPr>
      <w:r w:rsidRPr="006D6EC6">
        <w:rPr>
          <w:i w:val="0"/>
        </w:rPr>
        <w:lastRenderedPageBreak/>
        <w:t>2.4 Sensitivity analyses and paired constituent-score comparisons</w:t>
      </w:r>
    </w:p>
    <w:p w14:paraId="4A4A6666" w14:textId="77777777" w:rsidR="00083AA0" w:rsidRPr="006D6EC6" w:rsidRDefault="00083AA0" w:rsidP="00CD0244">
      <w:pPr>
        <w:pStyle w:val="MDPI31text"/>
        <w:rPr>
          <w:szCs w:val="20"/>
        </w:rPr>
      </w:pPr>
      <w:r w:rsidRPr="006D6EC6">
        <w:t>Restriction to the embedded-</w:t>
      </w:r>
      <w:proofErr w:type="spellStart"/>
      <w:r w:rsidRPr="006D6EC6">
        <w:t>ClinVar</w:t>
      </w:r>
      <w:proofErr w:type="spellEnd"/>
      <w:r w:rsidRPr="006D6EC6">
        <w:t>-concordant anchors yielded a balanced accuracy of 0.9589 ± 0.0021 and an AUROC of 0.9906 ± 0.0007. In the strict five-fold held-out-gene (gene-grouped) internal sensitivity analysis, with complete genes held outside fold-local feature selection, tuning, calibration and threshold estimation, the pooled balanced accuracy was 0.9368, the AUROC was 0.9787 and the AUPRC was 0.9790; fold AUROC ranged from 0.9657 to 0.9951 (Table 6).</w:t>
      </w:r>
    </w:p>
    <w:p w14:paraId="23472DAD" w14:textId="77777777" w:rsidR="00083AA0" w:rsidRPr="006D6EC6" w:rsidRDefault="00083AA0" w:rsidP="00CD0244">
      <w:pPr>
        <w:pStyle w:val="MDPI41tablecaption"/>
        <w:rPr>
          <w:rFonts w:cs="Times New Roman"/>
          <w:snapToGrid w:val="0"/>
          <w:szCs w:val="18"/>
        </w:rPr>
      </w:pPr>
      <w:r w:rsidRPr="006D6EC6">
        <w:t>Table 6. Internal sensitivity and paired constituent-score benchmarks.</w:t>
      </w:r>
    </w:p>
    <w:tbl>
      <w:tblPr>
        <w:tblStyle w:val="MDPItable"/>
        <w:tblW w:w="0" w:type="auto"/>
        <w:jc w:val="center"/>
        <w:tblLayout w:type="fixed"/>
        <w:tblLook w:val="04A0" w:firstRow="1" w:lastRow="0" w:firstColumn="1" w:lastColumn="0" w:noHBand="0" w:noVBand="1"/>
      </w:tblPr>
      <w:tblGrid>
        <w:gridCol w:w="1710"/>
        <w:gridCol w:w="2034"/>
        <w:gridCol w:w="936"/>
        <w:gridCol w:w="979"/>
        <w:gridCol w:w="892"/>
        <w:gridCol w:w="936"/>
        <w:gridCol w:w="1944"/>
      </w:tblGrid>
      <w:tr w:rsidR="00E302D1" w14:paraId="512712D7" w14:textId="77777777" w:rsidTr="00092FE4">
        <w:trPr>
          <w:cantSplit/>
          <w:tblHeader/>
          <w:jc w:val="center"/>
        </w:trPr>
        <w:tc>
          <w:tcPr>
            <w:tcW w:w="1710" w:type="dxa"/>
            <w:tcBorders>
              <w:top w:val="single" w:sz="4" w:space="0" w:color="auto"/>
              <w:bottom w:val="single" w:sz="4" w:space="0" w:color="auto"/>
            </w:tcBorders>
            <w:vAlign w:val="center"/>
          </w:tcPr>
          <w:p w14:paraId="7CAFF86C" w14:textId="77777777" w:rsidR="00E302D1" w:rsidRPr="006D6EC6" w:rsidRDefault="00000000">
            <w:pPr>
              <w:spacing w:line="240" w:lineRule="auto"/>
              <w:jc w:val="center"/>
              <w:rPr>
                <w:rFonts w:ascii="Times New Roman" w:hAnsi="Times New Roman"/>
              </w:rPr>
            </w:pPr>
            <w:r w:rsidRPr="006D6EC6">
              <w:rPr>
                <w:rFonts w:ascii="Times New Roman" w:eastAsia="Arial" w:hAnsi="Times New Roman"/>
                <w:b/>
                <w:sz w:val="13"/>
              </w:rPr>
              <w:t>Analysis</w:t>
            </w:r>
          </w:p>
        </w:tc>
        <w:tc>
          <w:tcPr>
            <w:tcW w:w="2034" w:type="dxa"/>
            <w:tcBorders>
              <w:top w:val="single" w:sz="4" w:space="0" w:color="auto"/>
              <w:bottom w:val="single" w:sz="4" w:space="0" w:color="auto"/>
            </w:tcBorders>
            <w:vAlign w:val="center"/>
          </w:tcPr>
          <w:p w14:paraId="05DA3861" w14:textId="77777777" w:rsidR="00E302D1" w:rsidRPr="006D6EC6" w:rsidRDefault="00000000">
            <w:pPr>
              <w:spacing w:line="240" w:lineRule="auto"/>
              <w:jc w:val="center"/>
              <w:rPr>
                <w:rFonts w:ascii="Times New Roman" w:hAnsi="Times New Roman"/>
              </w:rPr>
            </w:pPr>
            <w:r w:rsidRPr="006D6EC6">
              <w:rPr>
                <w:rFonts w:ascii="Times New Roman" w:eastAsia="Arial" w:hAnsi="Times New Roman"/>
                <w:b/>
                <w:sz w:val="13"/>
              </w:rPr>
              <w:t>Subset or comparator (n)</w:t>
            </w:r>
          </w:p>
        </w:tc>
        <w:tc>
          <w:tcPr>
            <w:tcW w:w="936" w:type="dxa"/>
            <w:tcBorders>
              <w:top w:val="single" w:sz="4" w:space="0" w:color="auto"/>
              <w:bottom w:val="single" w:sz="4" w:space="0" w:color="auto"/>
            </w:tcBorders>
            <w:vAlign w:val="center"/>
          </w:tcPr>
          <w:p w14:paraId="1FB19F82" w14:textId="77777777" w:rsidR="00E302D1" w:rsidRPr="006D6EC6" w:rsidRDefault="00000000">
            <w:pPr>
              <w:spacing w:line="240" w:lineRule="auto"/>
              <w:jc w:val="center"/>
              <w:rPr>
                <w:rFonts w:ascii="Times New Roman" w:hAnsi="Times New Roman"/>
              </w:rPr>
            </w:pPr>
            <w:r w:rsidRPr="006D6EC6">
              <w:rPr>
                <w:rFonts w:ascii="Times New Roman" w:eastAsia="Arial" w:hAnsi="Times New Roman"/>
                <w:b/>
                <w:sz w:val="13"/>
              </w:rPr>
              <w:t>Metric</w:t>
            </w:r>
          </w:p>
        </w:tc>
        <w:tc>
          <w:tcPr>
            <w:tcW w:w="979" w:type="dxa"/>
            <w:tcBorders>
              <w:top w:val="single" w:sz="4" w:space="0" w:color="auto"/>
              <w:bottom w:val="single" w:sz="4" w:space="0" w:color="auto"/>
            </w:tcBorders>
            <w:vAlign w:val="center"/>
          </w:tcPr>
          <w:p w14:paraId="7C40EF87" w14:textId="77777777" w:rsidR="00E302D1" w:rsidRPr="006D6EC6" w:rsidRDefault="00000000">
            <w:pPr>
              <w:spacing w:line="240" w:lineRule="auto"/>
              <w:jc w:val="center"/>
              <w:rPr>
                <w:rFonts w:ascii="Times New Roman" w:hAnsi="Times New Roman"/>
              </w:rPr>
            </w:pPr>
            <w:proofErr w:type="spellStart"/>
            <w:r w:rsidRPr="006D6EC6">
              <w:rPr>
                <w:rFonts w:ascii="Times New Roman" w:eastAsia="Arial" w:hAnsi="Times New Roman"/>
                <w:b/>
                <w:sz w:val="13"/>
              </w:rPr>
              <w:t>HBOCpred</w:t>
            </w:r>
            <w:proofErr w:type="spellEnd"/>
            <w:r w:rsidRPr="006D6EC6">
              <w:rPr>
                <w:rFonts w:ascii="Times New Roman" w:eastAsia="Arial" w:hAnsi="Times New Roman"/>
                <w:b/>
                <w:sz w:val="13"/>
              </w:rPr>
              <w:t xml:space="preserve"> mean</w:t>
            </w:r>
          </w:p>
        </w:tc>
        <w:tc>
          <w:tcPr>
            <w:tcW w:w="892" w:type="dxa"/>
            <w:tcBorders>
              <w:top w:val="single" w:sz="4" w:space="0" w:color="auto"/>
              <w:bottom w:val="single" w:sz="4" w:space="0" w:color="auto"/>
            </w:tcBorders>
            <w:vAlign w:val="center"/>
          </w:tcPr>
          <w:p w14:paraId="6231FBD0" w14:textId="77777777" w:rsidR="00E302D1" w:rsidRPr="006D6EC6" w:rsidRDefault="00000000">
            <w:pPr>
              <w:spacing w:line="240" w:lineRule="auto"/>
              <w:jc w:val="center"/>
              <w:rPr>
                <w:rFonts w:ascii="Times New Roman" w:hAnsi="Times New Roman"/>
              </w:rPr>
            </w:pPr>
            <w:proofErr w:type="spellStart"/>
            <w:r w:rsidRPr="006D6EC6">
              <w:rPr>
                <w:rFonts w:ascii="Times New Roman" w:eastAsia="Arial" w:hAnsi="Times New Roman"/>
                <w:b/>
                <w:sz w:val="13"/>
              </w:rPr>
              <w:t>HBOCpred</w:t>
            </w:r>
            <w:proofErr w:type="spellEnd"/>
            <w:r w:rsidRPr="006D6EC6">
              <w:rPr>
                <w:rFonts w:ascii="Times New Roman" w:eastAsia="Arial" w:hAnsi="Times New Roman"/>
                <w:b/>
                <w:sz w:val="13"/>
              </w:rPr>
              <w:t xml:space="preserve"> SD</w:t>
            </w:r>
          </w:p>
        </w:tc>
        <w:tc>
          <w:tcPr>
            <w:tcW w:w="936" w:type="dxa"/>
            <w:tcBorders>
              <w:top w:val="single" w:sz="4" w:space="0" w:color="auto"/>
              <w:bottom w:val="single" w:sz="4" w:space="0" w:color="auto"/>
            </w:tcBorders>
            <w:vAlign w:val="center"/>
          </w:tcPr>
          <w:p w14:paraId="32963873" w14:textId="77777777" w:rsidR="00E302D1" w:rsidRPr="006D6EC6" w:rsidRDefault="00000000">
            <w:pPr>
              <w:spacing w:line="240" w:lineRule="auto"/>
              <w:jc w:val="center"/>
              <w:rPr>
                <w:rFonts w:ascii="Times New Roman" w:hAnsi="Times New Roman"/>
              </w:rPr>
            </w:pPr>
            <w:r w:rsidRPr="006D6EC6">
              <w:rPr>
                <w:rFonts w:ascii="Times New Roman" w:eastAsia="Arial" w:hAnsi="Times New Roman"/>
                <w:b/>
                <w:sz w:val="13"/>
              </w:rPr>
              <w:t>Reference</w:t>
            </w:r>
          </w:p>
        </w:tc>
        <w:tc>
          <w:tcPr>
            <w:tcW w:w="1944" w:type="dxa"/>
            <w:tcBorders>
              <w:top w:val="single" w:sz="4" w:space="0" w:color="auto"/>
              <w:bottom w:val="single" w:sz="4" w:space="0" w:color="auto"/>
            </w:tcBorders>
            <w:vAlign w:val="center"/>
          </w:tcPr>
          <w:p w14:paraId="48005E1B" w14:textId="77777777" w:rsidR="00E302D1" w:rsidRPr="006055B2" w:rsidRDefault="00000000">
            <w:pPr>
              <w:spacing w:line="240" w:lineRule="auto"/>
              <w:jc w:val="center"/>
              <w:rPr>
                <w:rFonts w:ascii="Times New Roman" w:hAnsi="Times New Roman"/>
              </w:rPr>
            </w:pPr>
            <w:r w:rsidRPr="006D6EC6">
              <w:rPr>
                <w:rFonts w:ascii="Times New Roman" w:eastAsia="Arial" w:hAnsi="Times New Roman"/>
                <w:b/>
                <w:sz w:val="13"/>
              </w:rPr>
              <w:t>Difference / note</w:t>
            </w:r>
          </w:p>
        </w:tc>
      </w:tr>
      <w:tr w:rsidR="00E302D1" w14:paraId="0F862833" w14:textId="77777777" w:rsidTr="00092FE4">
        <w:trPr>
          <w:cantSplit/>
          <w:jc w:val="center"/>
        </w:trPr>
        <w:tc>
          <w:tcPr>
            <w:tcW w:w="1710" w:type="dxa"/>
            <w:tcBorders>
              <w:top w:val="single" w:sz="4" w:space="0" w:color="auto"/>
            </w:tcBorders>
            <w:vAlign w:val="center"/>
          </w:tcPr>
          <w:p w14:paraId="630AA48F"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Label-concordant sensitivity</w:t>
            </w:r>
          </w:p>
        </w:tc>
        <w:tc>
          <w:tcPr>
            <w:tcW w:w="2034" w:type="dxa"/>
            <w:tcBorders>
              <w:top w:val="single" w:sz="4" w:space="0" w:color="auto"/>
            </w:tcBorders>
            <w:vAlign w:val="center"/>
          </w:tcPr>
          <w:p w14:paraId="2A57F5B7"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Embedded-</w:t>
            </w:r>
            <w:proofErr w:type="spellStart"/>
            <w:r w:rsidRPr="006055B2">
              <w:rPr>
                <w:rFonts w:ascii="Times New Roman" w:eastAsia="Arial" w:hAnsi="Times New Roman"/>
                <w:sz w:val="13"/>
              </w:rPr>
              <w:t>ClinVar</w:t>
            </w:r>
            <w:proofErr w:type="spellEnd"/>
            <w:r w:rsidRPr="006055B2">
              <w:rPr>
                <w:rFonts w:ascii="Times New Roman" w:eastAsia="Arial" w:hAnsi="Times New Roman"/>
                <w:sz w:val="13"/>
              </w:rPr>
              <w:t>-concordant anchors (n=1,998)</w:t>
            </w:r>
          </w:p>
        </w:tc>
        <w:tc>
          <w:tcPr>
            <w:tcW w:w="936" w:type="dxa"/>
            <w:tcBorders>
              <w:top w:val="single" w:sz="4" w:space="0" w:color="auto"/>
            </w:tcBorders>
            <w:vAlign w:val="center"/>
          </w:tcPr>
          <w:p w14:paraId="0B7A3950"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Balanced accuracy</w:t>
            </w:r>
          </w:p>
        </w:tc>
        <w:tc>
          <w:tcPr>
            <w:tcW w:w="979" w:type="dxa"/>
            <w:tcBorders>
              <w:top w:val="single" w:sz="4" w:space="0" w:color="auto"/>
            </w:tcBorders>
            <w:vAlign w:val="center"/>
          </w:tcPr>
          <w:p w14:paraId="6AF55EA4"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0.9589</w:t>
            </w:r>
          </w:p>
        </w:tc>
        <w:tc>
          <w:tcPr>
            <w:tcW w:w="892" w:type="dxa"/>
            <w:tcBorders>
              <w:top w:val="single" w:sz="4" w:space="0" w:color="auto"/>
            </w:tcBorders>
            <w:vAlign w:val="center"/>
          </w:tcPr>
          <w:p w14:paraId="623CBCB3"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0.0021</w:t>
            </w:r>
          </w:p>
        </w:tc>
        <w:tc>
          <w:tcPr>
            <w:tcW w:w="936" w:type="dxa"/>
            <w:tcBorders>
              <w:top w:val="single" w:sz="4" w:space="0" w:color="auto"/>
            </w:tcBorders>
            <w:vAlign w:val="center"/>
          </w:tcPr>
          <w:p w14:paraId="4F201A6F"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0.9527</w:t>
            </w:r>
          </w:p>
        </w:tc>
        <w:tc>
          <w:tcPr>
            <w:tcW w:w="1944" w:type="dxa"/>
            <w:tcBorders>
              <w:top w:val="single" w:sz="4" w:space="0" w:color="auto"/>
            </w:tcBorders>
            <w:vAlign w:val="center"/>
          </w:tcPr>
          <w:p w14:paraId="1DA2F462"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0.0062</w:t>
            </w:r>
          </w:p>
        </w:tc>
      </w:tr>
      <w:tr w:rsidR="00E302D1" w14:paraId="39A6DAA5" w14:textId="77777777" w:rsidTr="00092FE4">
        <w:trPr>
          <w:cantSplit/>
          <w:jc w:val="center"/>
        </w:trPr>
        <w:tc>
          <w:tcPr>
            <w:tcW w:w="1710" w:type="dxa"/>
            <w:vAlign w:val="center"/>
          </w:tcPr>
          <w:p w14:paraId="28C0E2C7"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Label-concordant sensitivity</w:t>
            </w:r>
          </w:p>
        </w:tc>
        <w:tc>
          <w:tcPr>
            <w:tcW w:w="2034" w:type="dxa"/>
            <w:vAlign w:val="center"/>
          </w:tcPr>
          <w:p w14:paraId="0AC8B341"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Embedded-</w:t>
            </w:r>
            <w:proofErr w:type="spellStart"/>
            <w:r w:rsidRPr="006055B2">
              <w:rPr>
                <w:rFonts w:ascii="Times New Roman" w:eastAsia="Arial" w:hAnsi="Times New Roman"/>
                <w:sz w:val="13"/>
              </w:rPr>
              <w:t>ClinVar</w:t>
            </w:r>
            <w:proofErr w:type="spellEnd"/>
            <w:r w:rsidRPr="006055B2">
              <w:rPr>
                <w:rFonts w:ascii="Times New Roman" w:eastAsia="Arial" w:hAnsi="Times New Roman"/>
                <w:sz w:val="13"/>
              </w:rPr>
              <w:t>-concordant anchors (n=1,998)</w:t>
            </w:r>
          </w:p>
        </w:tc>
        <w:tc>
          <w:tcPr>
            <w:tcW w:w="936" w:type="dxa"/>
            <w:vAlign w:val="center"/>
          </w:tcPr>
          <w:p w14:paraId="5091789D"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AUROC</w:t>
            </w:r>
          </w:p>
        </w:tc>
        <w:tc>
          <w:tcPr>
            <w:tcW w:w="979" w:type="dxa"/>
            <w:vAlign w:val="center"/>
          </w:tcPr>
          <w:p w14:paraId="77CCFB1E"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0.9906</w:t>
            </w:r>
          </w:p>
        </w:tc>
        <w:tc>
          <w:tcPr>
            <w:tcW w:w="892" w:type="dxa"/>
            <w:vAlign w:val="center"/>
          </w:tcPr>
          <w:p w14:paraId="0DCAB72C"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0.0007</w:t>
            </w:r>
          </w:p>
        </w:tc>
        <w:tc>
          <w:tcPr>
            <w:tcW w:w="936" w:type="dxa"/>
            <w:vAlign w:val="center"/>
          </w:tcPr>
          <w:p w14:paraId="34E1BD78"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0.9900</w:t>
            </w:r>
          </w:p>
        </w:tc>
        <w:tc>
          <w:tcPr>
            <w:tcW w:w="1944" w:type="dxa"/>
            <w:vAlign w:val="center"/>
          </w:tcPr>
          <w:p w14:paraId="532E7E0F"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0.0007</w:t>
            </w:r>
          </w:p>
        </w:tc>
      </w:tr>
      <w:tr w:rsidR="00E302D1" w14:paraId="2C9DFA80" w14:textId="77777777" w:rsidTr="00092FE4">
        <w:trPr>
          <w:cantSplit/>
          <w:jc w:val="center"/>
        </w:trPr>
        <w:tc>
          <w:tcPr>
            <w:tcW w:w="1710" w:type="dxa"/>
            <w:vAlign w:val="center"/>
          </w:tcPr>
          <w:p w14:paraId="511EB392"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Strict held-out-gene sensitivity</w:t>
            </w:r>
          </w:p>
        </w:tc>
        <w:tc>
          <w:tcPr>
            <w:tcW w:w="2034" w:type="dxa"/>
            <w:vAlign w:val="center"/>
          </w:tcPr>
          <w:p w14:paraId="21DBDAC2"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Five gene-grouped folds (n=2,160)</w:t>
            </w:r>
          </w:p>
        </w:tc>
        <w:tc>
          <w:tcPr>
            <w:tcW w:w="936" w:type="dxa"/>
            <w:vAlign w:val="center"/>
          </w:tcPr>
          <w:p w14:paraId="0A63FB7A"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Balanced accuracy</w:t>
            </w:r>
          </w:p>
        </w:tc>
        <w:tc>
          <w:tcPr>
            <w:tcW w:w="979" w:type="dxa"/>
            <w:vAlign w:val="center"/>
          </w:tcPr>
          <w:p w14:paraId="38B3373C"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0.9368</w:t>
            </w:r>
          </w:p>
        </w:tc>
        <w:tc>
          <w:tcPr>
            <w:tcW w:w="892" w:type="dxa"/>
            <w:vAlign w:val="center"/>
          </w:tcPr>
          <w:p w14:paraId="4E5AD050"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w:t>
            </w:r>
          </w:p>
        </w:tc>
        <w:tc>
          <w:tcPr>
            <w:tcW w:w="936" w:type="dxa"/>
            <w:vAlign w:val="center"/>
          </w:tcPr>
          <w:p w14:paraId="0CF66CE6"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w:t>
            </w:r>
          </w:p>
        </w:tc>
        <w:tc>
          <w:tcPr>
            <w:tcW w:w="1944" w:type="dxa"/>
            <w:vAlign w:val="center"/>
          </w:tcPr>
          <w:p w14:paraId="64BC733E"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Internal sensitivity; not external validation</w:t>
            </w:r>
          </w:p>
        </w:tc>
      </w:tr>
      <w:tr w:rsidR="00E302D1" w14:paraId="0B949514" w14:textId="77777777" w:rsidTr="00092FE4">
        <w:trPr>
          <w:cantSplit/>
          <w:jc w:val="center"/>
        </w:trPr>
        <w:tc>
          <w:tcPr>
            <w:tcW w:w="1710" w:type="dxa"/>
            <w:vAlign w:val="center"/>
          </w:tcPr>
          <w:p w14:paraId="439FC655"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Strict held-out-gene sensitivity</w:t>
            </w:r>
          </w:p>
        </w:tc>
        <w:tc>
          <w:tcPr>
            <w:tcW w:w="2034" w:type="dxa"/>
            <w:vAlign w:val="center"/>
          </w:tcPr>
          <w:p w14:paraId="63888FCE"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Five gene-grouped folds (n=2,160)</w:t>
            </w:r>
          </w:p>
        </w:tc>
        <w:tc>
          <w:tcPr>
            <w:tcW w:w="936" w:type="dxa"/>
            <w:vAlign w:val="center"/>
          </w:tcPr>
          <w:p w14:paraId="0901C561"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Sensitivity</w:t>
            </w:r>
          </w:p>
        </w:tc>
        <w:tc>
          <w:tcPr>
            <w:tcW w:w="979" w:type="dxa"/>
            <w:vAlign w:val="center"/>
          </w:tcPr>
          <w:p w14:paraId="23FDD12A"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0.9209</w:t>
            </w:r>
          </w:p>
        </w:tc>
        <w:tc>
          <w:tcPr>
            <w:tcW w:w="892" w:type="dxa"/>
            <w:vAlign w:val="center"/>
          </w:tcPr>
          <w:p w14:paraId="5B4DF134"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w:t>
            </w:r>
          </w:p>
        </w:tc>
        <w:tc>
          <w:tcPr>
            <w:tcW w:w="936" w:type="dxa"/>
            <w:vAlign w:val="center"/>
          </w:tcPr>
          <w:p w14:paraId="582B338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w:t>
            </w:r>
          </w:p>
        </w:tc>
        <w:tc>
          <w:tcPr>
            <w:tcW w:w="1944" w:type="dxa"/>
            <w:vAlign w:val="center"/>
          </w:tcPr>
          <w:p w14:paraId="0C64A181"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Internal sensitivity; not external validation</w:t>
            </w:r>
          </w:p>
        </w:tc>
      </w:tr>
      <w:tr w:rsidR="00E302D1" w14:paraId="676789AE" w14:textId="77777777" w:rsidTr="00092FE4">
        <w:trPr>
          <w:cantSplit/>
          <w:jc w:val="center"/>
        </w:trPr>
        <w:tc>
          <w:tcPr>
            <w:tcW w:w="1710" w:type="dxa"/>
            <w:vAlign w:val="center"/>
          </w:tcPr>
          <w:p w14:paraId="5E27D11E"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Strict held-out-gene sensitivity</w:t>
            </w:r>
          </w:p>
        </w:tc>
        <w:tc>
          <w:tcPr>
            <w:tcW w:w="2034" w:type="dxa"/>
            <w:vAlign w:val="center"/>
          </w:tcPr>
          <w:p w14:paraId="388E5639"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Five gene-grouped folds (n=2,160)</w:t>
            </w:r>
          </w:p>
        </w:tc>
        <w:tc>
          <w:tcPr>
            <w:tcW w:w="936" w:type="dxa"/>
            <w:vAlign w:val="center"/>
          </w:tcPr>
          <w:p w14:paraId="478E98E1"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Specificity</w:t>
            </w:r>
          </w:p>
        </w:tc>
        <w:tc>
          <w:tcPr>
            <w:tcW w:w="979" w:type="dxa"/>
            <w:vAlign w:val="center"/>
          </w:tcPr>
          <w:p w14:paraId="448BD73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0.9528</w:t>
            </w:r>
          </w:p>
        </w:tc>
        <w:tc>
          <w:tcPr>
            <w:tcW w:w="892" w:type="dxa"/>
            <w:vAlign w:val="center"/>
          </w:tcPr>
          <w:p w14:paraId="43CC2CE6"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w:t>
            </w:r>
          </w:p>
        </w:tc>
        <w:tc>
          <w:tcPr>
            <w:tcW w:w="936" w:type="dxa"/>
            <w:vAlign w:val="center"/>
          </w:tcPr>
          <w:p w14:paraId="0AE35E2E"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w:t>
            </w:r>
          </w:p>
        </w:tc>
        <w:tc>
          <w:tcPr>
            <w:tcW w:w="1944" w:type="dxa"/>
            <w:vAlign w:val="center"/>
          </w:tcPr>
          <w:p w14:paraId="4FA0D065"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Internal sensitivity; not external validation</w:t>
            </w:r>
          </w:p>
        </w:tc>
      </w:tr>
      <w:tr w:rsidR="00E302D1" w14:paraId="0D8719D8" w14:textId="77777777" w:rsidTr="00092FE4">
        <w:trPr>
          <w:cantSplit/>
          <w:jc w:val="center"/>
        </w:trPr>
        <w:tc>
          <w:tcPr>
            <w:tcW w:w="1710" w:type="dxa"/>
            <w:vAlign w:val="center"/>
          </w:tcPr>
          <w:p w14:paraId="0A19D3FF"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Strict held-out-gene sensitivity</w:t>
            </w:r>
          </w:p>
        </w:tc>
        <w:tc>
          <w:tcPr>
            <w:tcW w:w="2034" w:type="dxa"/>
            <w:vAlign w:val="center"/>
          </w:tcPr>
          <w:p w14:paraId="1BE693D0"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Five gene-grouped folds (n=2,160)</w:t>
            </w:r>
          </w:p>
        </w:tc>
        <w:tc>
          <w:tcPr>
            <w:tcW w:w="936" w:type="dxa"/>
            <w:vAlign w:val="center"/>
          </w:tcPr>
          <w:p w14:paraId="77C1528C"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AUROC</w:t>
            </w:r>
          </w:p>
        </w:tc>
        <w:tc>
          <w:tcPr>
            <w:tcW w:w="979" w:type="dxa"/>
            <w:vAlign w:val="center"/>
          </w:tcPr>
          <w:p w14:paraId="4E88C9B5"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0.9787</w:t>
            </w:r>
          </w:p>
        </w:tc>
        <w:tc>
          <w:tcPr>
            <w:tcW w:w="892" w:type="dxa"/>
            <w:vAlign w:val="center"/>
          </w:tcPr>
          <w:p w14:paraId="70AF008A"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w:t>
            </w:r>
          </w:p>
        </w:tc>
        <w:tc>
          <w:tcPr>
            <w:tcW w:w="936" w:type="dxa"/>
            <w:vAlign w:val="center"/>
          </w:tcPr>
          <w:p w14:paraId="04B49B88"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w:t>
            </w:r>
          </w:p>
        </w:tc>
        <w:tc>
          <w:tcPr>
            <w:tcW w:w="1944" w:type="dxa"/>
            <w:vAlign w:val="center"/>
          </w:tcPr>
          <w:p w14:paraId="1FBF6B61"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Internal sensitivity; not external validation</w:t>
            </w:r>
          </w:p>
        </w:tc>
      </w:tr>
      <w:tr w:rsidR="00E302D1" w14:paraId="59F229A4" w14:textId="77777777" w:rsidTr="00092FE4">
        <w:trPr>
          <w:cantSplit/>
          <w:jc w:val="center"/>
        </w:trPr>
        <w:tc>
          <w:tcPr>
            <w:tcW w:w="1710" w:type="dxa"/>
            <w:vAlign w:val="center"/>
          </w:tcPr>
          <w:p w14:paraId="12F73063"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Strict held-out-gene sensitivity</w:t>
            </w:r>
          </w:p>
        </w:tc>
        <w:tc>
          <w:tcPr>
            <w:tcW w:w="2034" w:type="dxa"/>
            <w:vAlign w:val="center"/>
          </w:tcPr>
          <w:p w14:paraId="3008134B"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Five gene-grouped folds (n=2,160)</w:t>
            </w:r>
          </w:p>
        </w:tc>
        <w:tc>
          <w:tcPr>
            <w:tcW w:w="936" w:type="dxa"/>
            <w:vAlign w:val="center"/>
          </w:tcPr>
          <w:p w14:paraId="40D8E91B"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AUPRC</w:t>
            </w:r>
          </w:p>
        </w:tc>
        <w:tc>
          <w:tcPr>
            <w:tcW w:w="979" w:type="dxa"/>
            <w:vAlign w:val="center"/>
          </w:tcPr>
          <w:p w14:paraId="5C7387E0"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0.9790</w:t>
            </w:r>
          </w:p>
        </w:tc>
        <w:tc>
          <w:tcPr>
            <w:tcW w:w="892" w:type="dxa"/>
            <w:vAlign w:val="center"/>
          </w:tcPr>
          <w:p w14:paraId="573078C3"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w:t>
            </w:r>
          </w:p>
        </w:tc>
        <w:tc>
          <w:tcPr>
            <w:tcW w:w="936" w:type="dxa"/>
            <w:vAlign w:val="center"/>
          </w:tcPr>
          <w:p w14:paraId="7995A941"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w:t>
            </w:r>
          </w:p>
        </w:tc>
        <w:tc>
          <w:tcPr>
            <w:tcW w:w="1944" w:type="dxa"/>
            <w:vAlign w:val="center"/>
          </w:tcPr>
          <w:p w14:paraId="7D8B0956"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Internal sensitivity; not external validation</w:t>
            </w:r>
          </w:p>
        </w:tc>
      </w:tr>
      <w:tr w:rsidR="00E302D1" w14:paraId="7FFC2D8C" w14:textId="77777777" w:rsidTr="00092FE4">
        <w:trPr>
          <w:cantSplit/>
          <w:jc w:val="center"/>
        </w:trPr>
        <w:tc>
          <w:tcPr>
            <w:tcW w:w="1710" w:type="dxa"/>
            <w:vAlign w:val="center"/>
          </w:tcPr>
          <w:p w14:paraId="3A346D18"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Paired constituent-score benchmark</w:t>
            </w:r>
          </w:p>
        </w:tc>
        <w:tc>
          <w:tcPr>
            <w:tcW w:w="2034" w:type="dxa"/>
            <w:vAlign w:val="center"/>
          </w:tcPr>
          <w:p w14:paraId="0849F682" w14:textId="77777777" w:rsidR="00E302D1" w:rsidRPr="006055B2" w:rsidRDefault="00000000">
            <w:pPr>
              <w:spacing w:line="240" w:lineRule="auto"/>
              <w:jc w:val="left"/>
              <w:rPr>
                <w:rFonts w:ascii="Times New Roman" w:hAnsi="Times New Roman"/>
              </w:rPr>
            </w:pPr>
            <w:proofErr w:type="spellStart"/>
            <w:r w:rsidRPr="006055B2">
              <w:rPr>
                <w:rFonts w:ascii="Times New Roman" w:eastAsia="Arial" w:hAnsi="Times New Roman"/>
                <w:sz w:val="13"/>
              </w:rPr>
              <w:t>BayesDel</w:t>
            </w:r>
            <w:proofErr w:type="spellEnd"/>
            <w:r w:rsidRPr="006055B2">
              <w:rPr>
                <w:rFonts w:ascii="Times New Roman" w:eastAsia="Arial" w:hAnsi="Times New Roman"/>
                <w:sz w:val="13"/>
              </w:rPr>
              <w:t xml:space="preserve"> </w:t>
            </w:r>
            <w:proofErr w:type="spellStart"/>
            <w:r w:rsidRPr="006055B2">
              <w:rPr>
                <w:rFonts w:ascii="Times New Roman" w:eastAsia="Arial" w:hAnsi="Times New Roman"/>
                <w:sz w:val="13"/>
              </w:rPr>
              <w:t>addAF</w:t>
            </w:r>
            <w:proofErr w:type="spellEnd"/>
            <w:r w:rsidRPr="006055B2">
              <w:rPr>
                <w:rFonts w:ascii="Times New Roman" w:eastAsia="Arial" w:hAnsi="Times New Roman"/>
                <w:sz w:val="13"/>
              </w:rPr>
              <w:t xml:space="preserve"> (n=2,058)</w:t>
            </w:r>
          </w:p>
        </w:tc>
        <w:tc>
          <w:tcPr>
            <w:tcW w:w="936" w:type="dxa"/>
            <w:vAlign w:val="center"/>
          </w:tcPr>
          <w:p w14:paraId="188282F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AUROC</w:t>
            </w:r>
          </w:p>
        </w:tc>
        <w:tc>
          <w:tcPr>
            <w:tcW w:w="979" w:type="dxa"/>
            <w:vAlign w:val="center"/>
          </w:tcPr>
          <w:p w14:paraId="61E6F7E0"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0.9908</w:t>
            </w:r>
          </w:p>
        </w:tc>
        <w:tc>
          <w:tcPr>
            <w:tcW w:w="892" w:type="dxa"/>
            <w:vAlign w:val="center"/>
          </w:tcPr>
          <w:p w14:paraId="74C0246A"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0.0007</w:t>
            </w:r>
          </w:p>
        </w:tc>
        <w:tc>
          <w:tcPr>
            <w:tcW w:w="936" w:type="dxa"/>
            <w:vAlign w:val="center"/>
          </w:tcPr>
          <w:p w14:paraId="0A41E0C2"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0.9632</w:t>
            </w:r>
          </w:p>
        </w:tc>
        <w:tc>
          <w:tcPr>
            <w:tcW w:w="1944" w:type="dxa"/>
            <w:vAlign w:val="center"/>
          </w:tcPr>
          <w:p w14:paraId="1C583BD5"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0.0277</w:t>
            </w:r>
          </w:p>
        </w:tc>
      </w:tr>
      <w:tr w:rsidR="00E302D1" w14:paraId="29F7B7CB" w14:textId="77777777" w:rsidTr="00092FE4">
        <w:trPr>
          <w:cantSplit/>
          <w:jc w:val="center"/>
        </w:trPr>
        <w:tc>
          <w:tcPr>
            <w:tcW w:w="1710" w:type="dxa"/>
            <w:vAlign w:val="center"/>
          </w:tcPr>
          <w:p w14:paraId="086C4588"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Paired constituent-score benchmark</w:t>
            </w:r>
          </w:p>
        </w:tc>
        <w:tc>
          <w:tcPr>
            <w:tcW w:w="2034" w:type="dxa"/>
            <w:vAlign w:val="center"/>
          </w:tcPr>
          <w:p w14:paraId="3CB414A6" w14:textId="77777777" w:rsidR="00E302D1" w:rsidRPr="006055B2" w:rsidRDefault="00000000">
            <w:pPr>
              <w:spacing w:line="240" w:lineRule="auto"/>
              <w:jc w:val="left"/>
              <w:rPr>
                <w:rFonts w:ascii="Times New Roman" w:hAnsi="Times New Roman"/>
              </w:rPr>
            </w:pPr>
            <w:proofErr w:type="spellStart"/>
            <w:r w:rsidRPr="006055B2">
              <w:rPr>
                <w:rFonts w:ascii="Times New Roman" w:eastAsia="Arial" w:hAnsi="Times New Roman"/>
                <w:sz w:val="13"/>
              </w:rPr>
              <w:t>BayesDel</w:t>
            </w:r>
            <w:proofErr w:type="spellEnd"/>
            <w:r w:rsidRPr="006055B2">
              <w:rPr>
                <w:rFonts w:ascii="Times New Roman" w:eastAsia="Arial" w:hAnsi="Times New Roman"/>
                <w:sz w:val="13"/>
              </w:rPr>
              <w:t xml:space="preserve"> </w:t>
            </w:r>
            <w:proofErr w:type="spellStart"/>
            <w:r w:rsidRPr="006055B2">
              <w:rPr>
                <w:rFonts w:ascii="Times New Roman" w:eastAsia="Arial" w:hAnsi="Times New Roman"/>
                <w:sz w:val="13"/>
              </w:rPr>
              <w:t>addAF</w:t>
            </w:r>
            <w:proofErr w:type="spellEnd"/>
            <w:r w:rsidRPr="006055B2">
              <w:rPr>
                <w:rFonts w:ascii="Times New Roman" w:eastAsia="Arial" w:hAnsi="Times New Roman"/>
                <w:sz w:val="13"/>
              </w:rPr>
              <w:t xml:space="preserve"> (n=2,058)</w:t>
            </w:r>
          </w:p>
        </w:tc>
        <w:tc>
          <w:tcPr>
            <w:tcW w:w="936" w:type="dxa"/>
            <w:vAlign w:val="center"/>
          </w:tcPr>
          <w:p w14:paraId="6388FE84"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AUPRC</w:t>
            </w:r>
          </w:p>
        </w:tc>
        <w:tc>
          <w:tcPr>
            <w:tcW w:w="979" w:type="dxa"/>
            <w:vAlign w:val="center"/>
          </w:tcPr>
          <w:p w14:paraId="19990278"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0.9916</w:t>
            </w:r>
          </w:p>
        </w:tc>
        <w:tc>
          <w:tcPr>
            <w:tcW w:w="892" w:type="dxa"/>
            <w:vAlign w:val="center"/>
          </w:tcPr>
          <w:p w14:paraId="1E007A61"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0.0005</w:t>
            </w:r>
          </w:p>
        </w:tc>
        <w:tc>
          <w:tcPr>
            <w:tcW w:w="936" w:type="dxa"/>
            <w:vAlign w:val="center"/>
          </w:tcPr>
          <w:p w14:paraId="1363AB5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0.9623</w:t>
            </w:r>
          </w:p>
        </w:tc>
        <w:tc>
          <w:tcPr>
            <w:tcW w:w="1944" w:type="dxa"/>
            <w:vAlign w:val="center"/>
          </w:tcPr>
          <w:p w14:paraId="71B0E2BF"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0.0293</w:t>
            </w:r>
          </w:p>
        </w:tc>
      </w:tr>
      <w:tr w:rsidR="00E302D1" w14:paraId="2847062B" w14:textId="77777777" w:rsidTr="00092FE4">
        <w:trPr>
          <w:cantSplit/>
          <w:jc w:val="center"/>
        </w:trPr>
        <w:tc>
          <w:tcPr>
            <w:tcW w:w="1710" w:type="dxa"/>
            <w:vAlign w:val="center"/>
          </w:tcPr>
          <w:p w14:paraId="1F52AAB5"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Paired constituent-score benchmark</w:t>
            </w:r>
          </w:p>
        </w:tc>
        <w:tc>
          <w:tcPr>
            <w:tcW w:w="2034" w:type="dxa"/>
            <w:vAlign w:val="center"/>
          </w:tcPr>
          <w:p w14:paraId="416BB1ED"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CADD PHRED (n=2,137)</w:t>
            </w:r>
          </w:p>
        </w:tc>
        <w:tc>
          <w:tcPr>
            <w:tcW w:w="936" w:type="dxa"/>
            <w:vAlign w:val="center"/>
          </w:tcPr>
          <w:p w14:paraId="5B95B893"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AUROC</w:t>
            </w:r>
          </w:p>
        </w:tc>
        <w:tc>
          <w:tcPr>
            <w:tcW w:w="979" w:type="dxa"/>
            <w:vAlign w:val="center"/>
          </w:tcPr>
          <w:p w14:paraId="19D6B353"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0.9907</w:t>
            </w:r>
          </w:p>
        </w:tc>
        <w:tc>
          <w:tcPr>
            <w:tcW w:w="892" w:type="dxa"/>
            <w:vAlign w:val="center"/>
          </w:tcPr>
          <w:p w14:paraId="5CAA3B69"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0.0008</w:t>
            </w:r>
          </w:p>
        </w:tc>
        <w:tc>
          <w:tcPr>
            <w:tcW w:w="936" w:type="dxa"/>
            <w:vAlign w:val="center"/>
          </w:tcPr>
          <w:p w14:paraId="09B61732"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0.9417</w:t>
            </w:r>
          </w:p>
        </w:tc>
        <w:tc>
          <w:tcPr>
            <w:tcW w:w="1944" w:type="dxa"/>
            <w:vAlign w:val="center"/>
          </w:tcPr>
          <w:p w14:paraId="29A489CB"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0.049</w:t>
            </w:r>
          </w:p>
        </w:tc>
      </w:tr>
      <w:tr w:rsidR="00E302D1" w14:paraId="6E69C681" w14:textId="77777777" w:rsidTr="00092FE4">
        <w:trPr>
          <w:cantSplit/>
          <w:jc w:val="center"/>
        </w:trPr>
        <w:tc>
          <w:tcPr>
            <w:tcW w:w="1710" w:type="dxa"/>
            <w:vAlign w:val="center"/>
          </w:tcPr>
          <w:p w14:paraId="47C455CB"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Paired constituent-score benchmark</w:t>
            </w:r>
          </w:p>
        </w:tc>
        <w:tc>
          <w:tcPr>
            <w:tcW w:w="2034" w:type="dxa"/>
            <w:vAlign w:val="center"/>
          </w:tcPr>
          <w:p w14:paraId="521C3319"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CADD PHRED (n=2,137)</w:t>
            </w:r>
          </w:p>
        </w:tc>
        <w:tc>
          <w:tcPr>
            <w:tcW w:w="936" w:type="dxa"/>
            <w:vAlign w:val="center"/>
          </w:tcPr>
          <w:p w14:paraId="1EE12492"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AUPRC</w:t>
            </w:r>
          </w:p>
        </w:tc>
        <w:tc>
          <w:tcPr>
            <w:tcW w:w="979" w:type="dxa"/>
            <w:vAlign w:val="center"/>
          </w:tcPr>
          <w:p w14:paraId="3E44AA63"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0.9912</w:t>
            </w:r>
          </w:p>
        </w:tc>
        <w:tc>
          <w:tcPr>
            <w:tcW w:w="892" w:type="dxa"/>
            <w:vAlign w:val="center"/>
          </w:tcPr>
          <w:p w14:paraId="6B497E64"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0.0005</w:t>
            </w:r>
          </w:p>
        </w:tc>
        <w:tc>
          <w:tcPr>
            <w:tcW w:w="936" w:type="dxa"/>
            <w:vAlign w:val="center"/>
          </w:tcPr>
          <w:p w14:paraId="7D82A7C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0.9255</w:t>
            </w:r>
          </w:p>
        </w:tc>
        <w:tc>
          <w:tcPr>
            <w:tcW w:w="1944" w:type="dxa"/>
            <w:vAlign w:val="center"/>
          </w:tcPr>
          <w:p w14:paraId="186B7B66"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0.0657</w:t>
            </w:r>
          </w:p>
        </w:tc>
      </w:tr>
      <w:tr w:rsidR="00E302D1" w14:paraId="179459D7" w14:textId="77777777" w:rsidTr="00092FE4">
        <w:trPr>
          <w:cantSplit/>
          <w:jc w:val="center"/>
        </w:trPr>
        <w:tc>
          <w:tcPr>
            <w:tcW w:w="1710" w:type="dxa"/>
            <w:vAlign w:val="center"/>
          </w:tcPr>
          <w:p w14:paraId="6AF12385"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Paired constituent-score benchmark</w:t>
            </w:r>
          </w:p>
        </w:tc>
        <w:tc>
          <w:tcPr>
            <w:tcW w:w="2034" w:type="dxa"/>
            <w:vAlign w:val="center"/>
          </w:tcPr>
          <w:p w14:paraId="3FEC8B72" w14:textId="77777777" w:rsidR="00E302D1" w:rsidRPr="006055B2" w:rsidRDefault="00000000">
            <w:pPr>
              <w:spacing w:line="240" w:lineRule="auto"/>
              <w:jc w:val="left"/>
              <w:rPr>
                <w:rFonts w:ascii="Times New Roman" w:hAnsi="Times New Roman"/>
              </w:rPr>
            </w:pPr>
            <w:proofErr w:type="spellStart"/>
            <w:r w:rsidRPr="006055B2">
              <w:rPr>
                <w:rFonts w:ascii="Times New Roman" w:eastAsia="Arial" w:hAnsi="Times New Roman"/>
                <w:sz w:val="13"/>
              </w:rPr>
              <w:t>ClinPred</w:t>
            </w:r>
            <w:proofErr w:type="spellEnd"/>
            <w:r w:rsidRPr="006055B2">
              <w:rPr>
                <w:rFonts w:ascii="Times New Roman" w:eastAsia="Arial" w:hAnsi="Times New Roman"/>
                <w:sz w:val="13"/>
              </w:rPr>
              <w:t xml:space="preserve"> (n=2,055)</w:t>
            </w:r>
          </w:p>
        </w:tc>
        <w:tc>
          <w:tcPr>
            <w:tcW w:w="936" w:type="dxa"/>
            <w:vAlign w:val="center"/>
          </w:tcPr>
          <w:p w14:paraId="70AE5E11"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AUROC</w:t>
            </w:r>
          </w:p>
        </w:tc>
        <w:tc>
          <w:tcPr>
            <w:tcW w:w="979" w:type="dxa"/>
            <w:vAlign w:val="center"/>
          </w:tcPr>
          <w:p w14:paraId="6C5BA138"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0.9908</w:t>
            </w:r>
          </w:p>
        </w:tc>
        <w:tc>
          <w:tcPr>
            <w:tcW w:w="892" w:type="dxa"/>
            <w:vAlign w:val="center"/>
          </w:tcPr>
          <w:p w14:paraId="1244C2AE"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0.0007</w:t>
            </w:r>
          </w:p>
        </w:tc>
        <w:tc>
          <w:tcPr>
            <w:tcW w:w="936" w:type="dxa"/>
            <w:vAlign w:val="center"/>
          </w:tcPr>
          <w:p w14:paraId="72ED3EE3"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0.9624</w:t>
            </w:r>
          </w:p>
        </w:tc>
        <w:tc>
          <w:tcPr>
            <w:tcW w:w="1944" w:type="dxa"/>
            <w:vAlign w:val="center"/>
          </w:tcPr>
          <w:p w14:paraId="129274B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0.0284</w:t>
            </w:r>
          </w:p>
        </w:tc>
      </w:tr>
      <w:tr w:rsidR="00E302D1" w14:paraId="70C35678" w14:textId="77777777" w:rsidTr="00092FE4">
        <w:trPr>
          <w:cantSplit/>
          <w:jc w:val="center"/>
        </w:trPr>
        <w:tc>
          <w:tcPr>
            <w:tcW w:w="1710" w:type="dxa"/>
            <w:vAlign w:val="center"/>
          </w:tcPr>
          <w:p w14:paraId="314739EA"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Paired constituent-score benchmark</w:t>
            </w:r>
          </w:p>
        </w:tc>
        <w:tc>
          <w:tcPr>
            <w:tcW w:w="2034" w:type="dxa"/>
            <w:vAlign w:val="center"/>
          </w:tcPr>
          <w:p w14:paraId="14859150" w14:textId="77777777" w:rsidR="00E302D1" w:rsidRPr="006055B2" w:rsidRDefault="00000000">
            <w:pPr>
              <w:spacing w:line="240" w:lineRule="auto"/>
              <w:jc w:val="left"/>
              <w:rPr>
                <w:rFonts w:ascii="Times New Roman" w:hAnsi="Times New Roman"/>
              </w:rPr>
            </w:pPr>
            <w:proofErr w:type="spellStart"/>
            <w:r w:rsidRPr="006055B2">
              <w:rPr>
                <w:rFonts w:ascii="Times New Roman" w:eastAsia="Arial" w:hAnsi="Times New Roman"/>
                <w:sz w:val="13"/>
              </w:rPr>
              <w:t>ClinPred</w:t>
            </w:r>
            <w:proofErr w:type="spellEnd"/>
            <w:r w:rsidRPr="006055B2">
              <w:rPr>
                <w:rFonts w:ascii="Times New Roman" w:eastAsia="Arial" w:hAnsi="Times New Roman"/>
                <w:sz w:val="13"/>
              </w:rPr>
              <w:t xml:space="preserve"> (n=2,055)</w:t>
            </w:r>
          </w:p>
        </w:tc>
        <w:tc>
          <w:tcPr>
            <w:tcW w:w="936" w:type="dxa"/>
            <w:vAlign w:val="center"/>
          </w:tcPr>
          <w:p w14:paraId="6324729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AUPRC</w:t>
            </w:r>
          </w:p>
        </w:tc>
        <w:tc>
          <w:tcPr>
            <w:tcW w:w="979" w:type="dxa"/>
            <w:vAlign w:val="center"/>
          </w:tcPr>
          <w:p w14:paraId="084D0478"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0.9916</w:t>
            </w:r>
          </w:p>
        </w:tc>
        <w:tc>
          <w:tcPr>
            <w:tcW w:w="892" w:type="dxa"/>
            <w:vAlign w:val="center"/>
          </w:tcPr>
          <w:p w14:paraId="0DB11B81"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0.0005</w:t>
            </w:r>
          </w:p>
        </w:tc>
        <w:tc>
          <w:tcPr>
            <w:tcW w:w="936" w:type="dxa"/>
            <w:vAlign w:val="center"/>
          </w:tcPr>
          <w:p w14:paraId="5E78E845"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0.9522</w:t>
            </w:r>
          </w:p>
        </w:tc>
        <w:tc>
          <w:tcPr>
            <w:tcW w:w="1944" w:type="dxa"/>
            <w:vAlign w:val="center"/>
          </w:tcPr>
          <w:p w14:paraId="5F73990C"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0.0394</w:t>
            </w:r>
          </w:p>
        </w:tc>
      </w:tr>
      <w:tr w:rsidR="00E302D1" w14:paraId="7F4F4527" w14:textId="77777777" w:rsidTr="00092FE4">
        <w:trPr>
          <w:cantSplit/>
          <w:jc w:val="center"/>
        </w:trPr>
        <w:tc>
          <w:tcPr>
            <w:tcW w:w="1710" w:type="dxa"/>
            <w:vAlign w:val="center"/>
          </w:tcPr>
          <w:p w14:paraId="10D93621"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Paired constituent-score benchmark</w:t>
            </w:r>
          </w:p>
        </w:tc>
        <w:tc>
          <w:tcPr>
            <w:tcW w:w="2034" w:type="dxa"/>
            <w:vAlign w:val="center"/>
          </w:tcPr>
          <w:p w14:paraId="77FE3F44"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MutPred2 (n=2,048)</w:t>
            </w:r>
          </w:p>
        </w:tc>
        <w:tc>
          <w:tcPr>
            <w:tcW w:w="936" w:type="dxa"/>
            <w:vAlign w:val="center"/>
          </w:tcPr>
          <w:p w14:paraId="6FCE0524"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AUROC</w:t>
            </w:r>
          </w:p>
        </w:tc>
        <w:tc>
          <w:tcPr>
            <w:tcW w:w="979" w:type="dxa"/>
            <w:vAlign w:val="center"/>
          </w:tcPr>
          <w:p w14:paraId="4DA83694"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0.9908</w:t>
            </w:r>
          </w:p>
        </w:tc>
        <w:tc>
          <w:tcPr>
            <w:tcW w:w="892" w:type="dxa"/>
            <w:vAlign w:val="center"/>
          </w:tcPr>
          <w:p w14:paraId="4942B963"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0.0007</w:t>
            </w:r>
          </w:p>
        </w:tc>
        <w:tc>
          <w:tcPr>
            <w:tcW w:w="936" w:type="dxa"/>
            <w:vAlign w:val="center"/>
          </w:tcPr>
          <w:p w14:paraId="1FCEDAD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0.9540</w:t>
            </w:r>
          </w:p>
        </w:tc>
        <w:tc>
          <w:tcPr>
            <w:tcW w:w="1944" w:type="dxa"/>
            <w:vAlign w:val="center"/>
          </w:tcPr>
          <w:p w14:paraId="5DAE35B5"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0.0367</w:t>
            </w:r>
          </w:p>
        </w:tc>
      </w:tr>
      <w:tr w:rsidR="00E302D1" w14:paraId="08B27FDF" w14:textId="77777777" w:rsidTr="00092FE4">
        <w:trPr>
          <w:cantSplit/>
          <w:jc w:val="center"/>
        </w:trPr>
        <w:tc>
          <w:tcPr>
            <w:tcW w:w="1710" w:type="dxa"/>
            <w:vAlign w:val="center"/>
          </w:tcPr>
          <w:p w14:paraId="1F1CF8A8"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Paired constituent-score benchmark</w:t>
            </w:r>
          </w:p>
        </w:tc>
        <w:tc>
          <w:tcPr>
            <w:tcW w:w="2034" w:type="dxa"/>
            <w:vAlign w:val="center"/>
          </w:tcPr>
          <w:p w14:paraId="357C18E1"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MutPred2 (n=2,048)</w:t>
            </w:r>
          </w:p>
        </w:tc>
        <w:tc>
          <w:tcPr>
            <w:tcW w:w="936" w:type="dxa"/>
            <w:vAlign w:val="center"/>
          </w:tcPr>
          <w:p w14:paraId="74D32D0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AUPRC</w:t>
            </w:r>
          </w:p>
        </w:tc>
        <w:tc>
          <w:tcPr>
            <w:tcW w:w="979" w:type="dxa"/>
            <w:vAlign w:val="center"/>
          </w:tcPr>
          <w:p w14:paraId="647355B5"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0.9915</w:t>
            </w:r>
          </w:p>
        </w:tc>
        <w:tc>
          <w:tcPr>
            <w:tcW w:w="892" w:type="dxa"/>
            <w:vAlign w:val="center"/>
          </w:tcPr>
          <w:p w14:paraId="37ABFDCF"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0.0005</w:t>
            </w:r>
          </w:p>
        </w:tc>
        <w:tc>
          <w:tcPr>
            <w:tcW w:w="936" w:type="dxa"/>
            <w:vAlign w:val="center"/>
          </w:tcPr>
          <w:p w14:paraId="5C34CE1B"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0.9471</w:t>
            </w:r>
          </w:p>
        </w:tc>
        <w:tc>
          <w:tcPr>
            <w:tcW w:w="1944" w:type="dxa"/>
            <w:vAlign w:val="center"/>
          </w:tcPr>
          <w:p w14:paraId="70D3CED4"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0.0444</w:t>
            </w:r>
          </w:p>
        </w:tc>
      </w:tr>
      <w:tr w:rsidR="00E302D1" w14:paraId="1FBFC253" w14:textId="77777777" w:rsidTr="00092FE4">
        <w:trPr>
          <w:cantSplit/>
          <w:jc w:val="center"/>
        </w:trPr>
        <w:tc>
          <w:tcPr>
            <w:tcW w:w="1710" w:type="dxa"/>
            <w:vAlign w:val="center"/>
          </w:tcPr>
          <w:p w14:paraId="42E0545F"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Paired constituent-score benchmark</w:t>
            </w:r>
          </w:p>
        </w:tc>
        <w:tc>
          <w:tcPr>
            <w:tcW w:w="2034" w:type="dxa"/>
            <w:vAlign w:val="center"/>
          </w:tcPr>
          <w:p w14:paraId="3311897E" w14:textId="77777777" w:rsidR="00E302D1" w:rsidRPr="006055B2" w:rsidRDefault="00000000">
            <w:pPr>
              <w:spacing w:line="240" w:lineRule="auto"/>
              <w:jc w:val="left"/>
              <w:rPr>
                <w:rFonts w:ascii="Times New Roman" w:hAnsi="Times New Roman"/>
              </w:rPr>
            </w:pPr>
            <w:proofErr w:type="spellStart"/>
            <w:r w:rsidRPr="006055B2">
              <w:rPr>
                <w:rFonts w:ascii="Times New Roman" w:eastAsia="Arial" w:hAnsi="Times New Roman"/>
                <w:sz w:val="13"/>
              </w:rPr>
              <w:t>AlphaMissense</w:t>
            </w:r>
            <w:proofErr w:type="spellEnd"/>
            <w:r w:rsidRPr="006055B2">
              <w:rPr>
                <w:rFonts w:ascii="Times New Roman" w:eastAsia="Arial" w:hAnsi="Times New Roman"/>
                <w:sz w:val="13"/>
              </w:rPr>
              <w:t xml:space="preserve"> (n=2,017)</w:t>
            </w:r>
          </w:p>
        </w:tc>
        <w:tc>
          <w:tcPr>
            <w:tcW w:w="936" w:type="dxa"/>
            <w:vAlign w:val="center"/>
          </w:tcPr>
          <w:p w14:paraId="42D47D7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AUROC</w:t>
            </w:r>
          </w:p>
        </w:tc>
        <w:tc>
          <w:tcPr>
            <w:tcW w:w="979" w:type="dxa"/>
            <w:vAlign w:val="center"/>
          </w:tcPr>
          <w:p w14:paraId="6CDE1E23"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0.9905</w:t>
            </w:r>
          </w:p>
        </w:tc>
        <w:tc>
          <w:tcPr>
            <w:tcW w:w="892" w:type="dxa"/>
            <w:vAlign w:val="center"/>
          </w:tcPr>
          <w:p w14:paraId="203711BD"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0.0007</w:t>
            </w:r>
          </w:p>
        </w:tc>
        <w:tc>
          <w:tcPr>
            <w:tcW w:w="936" w:type="dxa"/>
            <w:vAlign w:val="center"/>
          </w:tcPr>
          <w:p w14:paraId="7BB03E39"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0.9621</w:t>
            </w:r>
          </w:p>
        </w:tc>
        <w:tc>
          <w:tcPr>
            <w:tcW w:w="1944" w:type="dxa"/>
            <w:vAlign w:val="center"/>
          </w:tcPr>
          <w:p w14:paraId="3350043F"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0.0284</w:t>
            </w:r>
          </w:p>
        </w:tc>
      </w:tr>
      <w:tr w:rsidR="00E302D1" w14:paraId="14A3C93D" w14:textId="77777777" w:rsidTr="00092FE4">
        <w:trPr>
          <w:cantSplit/>
          <w:jc w:val="center"/>
        </w:trPr>
        <w:tc>
          <w:tcPr>
            <w:tcW w:w="1710" w:type="dxa"/>
            <w:tcBorders>
              <w:bottom w:val="single" w:sz="4" w:space="0" w:color="auto"/>
            </w:tcBorders>
            <w:vAlign w:val="center"/>
          </w:tcPr>
          <w:p w14:paraId="1A8EB10A" w14:textId="77777777" w:rsidR="00E302D1" w:rsidRPr="006055B2" w:rsidRDefault="00000000">
            <w:pPr>
              <w:spacing w:line="240" w:lineRule="auto"/>
              <w:jc w:val="left"/>
              <w:rPr>
                <w:rFonts w:ascii="Times New Roman" w:hAnsi="Times New Roman"/>
              </w:rPr>
            </w:pPr>
            <w:r w:rsidRPr="006055B2">
              <w:rPr>
                <w:rFonts w:ascii="Times New Roman" w:eastAsia="Arial" w:hAnsi="Times New Roman"/>
                <w:sz w:val="13"/>
              </w:rPr>
              <w:t>Paired constituent-score benchmark</w:t>
            </w:r>
          </w:p>
        </w:tc>
        <w:tc>
          <w:tcPr>
            <w:tcW w:w="2034" w:type="dxa"/>
            <w:tcBorders>
              <w:bottom w:val="single" w:sz="4" w:space="0" w:color="auto"/>
            </w:tcBorders>
            <w:vAlign w:val="center"/>
          </w:tcPr>
          <w:p w14:paraId="6F2A79AA" w14:textId="77777777" w:rsidR="00E302D1" w:rsidRPr="006055B2" w:rsidRDefault="00000000">
            <w:pPr>
              <w:spacing w:line="240" w:lineRule="auto"/>
              <w:jc w:val="left"/>
              <w:rPr>
                <w:rFonts w:ascii="Times New Roman" w:hAnsi="Times New Roman"/>
              </w:rPr>
            </w:pPr>
            <w:proofErr w:type="spellStart"/>
            <w:r w:rsidRPr="006055B2">
              <w:rPr>
                <w:rFonts w:ascii="Times New Roman" w:eastAsia="Arial" w:hAnsi="Times New Roman"/>
                <w:sz w:val="13"/>
              </w:rPr>
              <w:t>AlphaMissense</w:t>
            </w:r>
            <w:proofErr w:type="spellEnd"/>
            <w:r w:rsidRPr="006055B2">
              <w:rPr>
                <w:rFonts w:ascii="Times New Roman" w:eastAsia="Arial" w:hAnsi="Times New Roman"/>
                <w:sz w:val="13"/>
              </w:rPr>
              <w:t xml:space="preserve"> (n=2,017)</w:t>
            </w:r>
          </w:p>
        </w:tc>
        <w:tc>
          <w:tcPr>
            <w:tcW w:w="936" w:type="dxa"/>
            <w:tcBorders>
              <w:bottom w:val="single" w:sz="4" w:space="0" w:color="auto"/>
            </w:tcBorders>
            <w:vAlign w:val="center"/>
          </w:tcPr>
          <w:p w14:paraId="4B8A4EF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AUPRC</w:t>
            </w:r>
          </w:p>
        </w:tc>
        <w:tc>
          <w:tcPr>
            <w:tcW w:w="979" w:type="dxa"/>
            <w:tcBorders>
              <w:bottom w:val="single" w:sz="4" w:space="0" w:color="auto"/>
            </w:tcBorders>
            <w:vAlign w:val="center"/>
          </w:tcPr>
          <w:p w14:paraId="14043C44"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0.9910</w:t>
            </w:r>
          </w:p>
        </w:tc>
        <w:tc>
          <w:tcPr>
            <w:tcW w:w="892" w:type="dxa"/>
            <w:tcBorders>
              <w:bottom w:val="single" w:sz="4" w:space="0" w:color="auto"/>
            </w:tcBorders>
            <w:vAlign w:val="center"/>
          </w:tcPr>
          <w:p w14:paraId="0188AAB7"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0.0005</w:t>
            </w:r>
          </w:p>
        </w:tc>
        <w:tc>
          <w:tcPr>
            <w:tcW w:w="936" w:type="dxa"/>
            <w:tcBorders>
              <w:bottom w:val="single" w:sz="4" w:space="0" w:color="auto"/>
            </w:tcBorders>
            <w:vAlign w:val="center"/>
          </w:tcPr>
          <w:p w14:paraId="7309CFD2"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0.9643</w:t>
            </w:r>
          </w:p>
        </w:tc>
        <w:tc>
          <w:tcPr>
            <w:tcW w:w="1944" w:type="dxa"/>
            <w:tcBorders>
              <w:bottom w:val="single" w:sz="4" w:space="0" w:color="auto"/>
            </w:tcBorders>
            <w:vAlign w:val="center"/>
          </w:tcPr>
          <w:p w14:paraId="5A76A4F9" w14:textId="77777777" w:rsidR="00E302D1" w:rsidRPr="006055B2" w:rsidRDefault="00000000">
            <w:pPr>
              <w:spacing w:line="240" w:lineRule="auto"/>
              <w:jc w:val="center"/>
              <w:rPr>
                <w:rFonts w:ascii="Times New Roman" w:hAnsi="Times New Roman"/>
              </w:rPr>
            </w:pPr>
            <w:r w:rsidRPr="006055B2">
              <w:rPr>
                <w:rFonts w:ascii="Times New Roman" w:eastAsia="Arial" w:hAnsi="Times New Roman"/>
                <w:sz w:val="13"/>
              </w:rPr>
              <w:t>0.0268</w:t>
            </w:r>
          </w:p>
        </w:tc>
      </w:tr>
      <w:tr w:rsidR="003B0AB4" w:rsidRPr="006D6EC6" w14:paraId="743510B0" w14:textId="77777777" w:rsidTr="00A75354">
        <w:trPr>
          <w:cantSplit/>
          <w:jc w:val="center"/>
        </w:trPr>
        <w:tc>
          <w:tcPr>
            <w:tcW w:w="9431" w:type="dxa"/>
            <w:gridSpan w:val="7"/>
            <w:tcBorders>
              <w:top w:val="single" w:sz="4" w:space="0" w:color="auto"/>
              <w:bottom w:val="single" w:sz="4" w:space="0" w:color="auto"/>
            </w:tcBorders>
            <w:vAlign w:val="center"/>
          </w:tcPr>
          <w:p w14:paraId="6A6BE866" w14:textId="77777777" w:rsidR="003B0AB4" w:rsidRPr="006D6EC6" w:rsidRDefault="003B0AB4" w:rsidP="00A34F9D">
            <w:pPr>
              <w:pStyle w:val="MDPI43tablefooter"/>
              <w:ind w:left="0"/>
              <w:jc w:val="both"/>
            </w:pPr>
            <w:r w:rsidRPr="006D6EC6">
              <w:lastRenderedPageBreak/>
              <w:t xml:space="preserve">The label-concordant reference is the full-anchor nested analysis. Held-out-gene results are strict internal grouped sensitivity estimates. Constituent-score rows compare </w:t>
            </w:r>
            <w:proofErr w:type="spellStart"/>
            <w:r w:rsidRPr="006D6EC6">
              <w:t>HBOCpred</w:t>
            </w:r>
            <w:proofErr w:type="spellEnd"/>
            <w:r w:rsidRPr="006D6EC6">
              <w:t xml:space="preserve"> and each native score on the same non-missing records; matched-record denominators are shown in the second column. All five scores are members of the 25-predictor panel, so these are descriptive paired comparisons rather than independent or external validation.</w:t>
            </w:r>
          </w:p>
          <w:p w14:paraId="48BF7695" w14:textId="77777777" w:rsidR="003B0AB4" w:rsidRPr="006D6EC6" w:rsidRDefault="003B0AB4">
            <w:pPr>
              <w:spacing w:line="240" w:lineRule="auto"/>
              <w:jc w:val="center"/>
              <w:rPr>
                <w:rFonts w:ascii="Arial" w:eastAsia="Arial" w:hAnsi="Arial"/>
                <w:sz w:val="13"/>
                <w:lang w:val="en-US"/>
              </w:rPr>
            </w:pPr>
          </w:p>
        </w:tc>
      </w:tr>
    </w:tbl>
    <w:p w14:paraId="32CE129F" w14:textId="77777777" w:rsidR="00E302D1" w:rsidRPr="006D6EC6" w:rsidRDefault="00000000">
      <w:pPr>
        <w:pStyle w:val="MDPI22heading2"/>
      </w:pPr>
      <w:r w:rsidRPr="006D6EC6">
        <w:t>2.5 Independent external-resource three-output audit</w:t>
      </w:r>
    </w:p>
    <w:p w14:paraId="26AD19C8" w14:textId="77777777" w:rsidR="00666642" w:rsidRPr="006D6EC6" w:rsidRDefault="00000000" w:rsidP="00166C5F">
      <w:pPr>
        <w:ind w:left="1530" w:firstLine="510"/>
      </w:pPr>
      <w:r w:rsidRPr="006D6EC6">
        <w:t xml:space="preserve">An external resource inherited from the </w:t>
      </w:r>
      <w:proofErr w:type="spellStart"/>
      <w:r w:rsidRPr="006D6EC6">
        <w:t>HCSpred</w:t>
      </w:r>
      <w:proofErr w:type="spellEnd"/>
      <w:r w:rsidRPr="006D6EC6">
        <w:t xml:space="preserve"> study was kept fully outside </w:t>
      </w:r>
      <w:proofErr w:type="spellStart"/>
      <w:r w:rsidRPr="006D6EC6">
        <w:t>HBOCpred</w:t>
      </w:r>
      <w:proofErr w:type="spellEnd"/>
      <w:r w:rsidRPr="006D6EC6">
        <w:t xml:space="preserve"> development. The broader hospital source comprised 122 HCS-tested patients and 62 unique LP/P variants across the hereditary-cancer panel. Restriction to HBOC-enriched records yielded 33 patients with 24 unique hospital variants; after the locked 17-gene missense/transcript, deduplication, overlap-screening and score-availability requirements, 16 hospital LP/P variants remained for </w:t>
      </w:r>
      <w:proofErr w:type="spellStart"/>
      <w:r w:rsidRPr="006D6EC6">
        <w:t>HBOCpred</w:t>
      </w:r>
      <w:proofErr w:type="spellEnd"/>
      <w:r w:rsidRPr="006D6EC6">
        <w:t xml:space="preserve"> scoring. Within the </w:t>
      </w:r>
      <w:proofErr w:type="spellStart"/>
      <w:r w:rsidRPr="006D6EC6">
        <w:t>HBOCpred</w:t>
      </w:r>
      <w:proofErr w:type="spellEnd"/>
      <w:r w:rsidRPr="006D6EC6">
        <w:t xml:space="preserve"> scope, 63 common benign variant candidates yielded 50 selected non-anchor variants, of which 49 were evaluable (Fig. 4A). None of these external records contributed to feature selection, model fitting, calibration or threshold selection.</w:t>
      </w:r>
    </w:p>
    <w:p w14:paraId="59C2D416" w14:textId="77777777" w:rsidR="00666642" w:rsidRPr="006D6EC6" w:rsidRDefault="00000000" w:rsidP="00166C5F">
      <w:pPr>
        <w:ind w:left="1530" w:firstLine="510"/>
      </w:pPr>
      <w:r w:rsidRPr="006D6EC6">
        <w:t>Among the 16 hospital LP/P variants, 15 received a predicted LP/P output (V4) and one, ATM c.8122G&gt;A p.(Asp2708Asn), received an Uncertain output (V2; S_MAC = 0.631); no hospital LP/P variant received a predicted B/LB output (Fig. 4B,C). The LP/P-output rate was 15/16 (93.8%; Wilson 95% CI, 71.7–98.9%), the Uncertain rate was 1/16 (6.2%; 1.1–28.3%) and the opposite B/LB-output rate was 0/16 (0%; 0–19.4%). The hospital arm comprised BRCA1 (n = 5), BRCA2 (n = 2), ATM (n = 2), CHEK2 (n = 2), TP53 (n = 4) and RAD51C (n = 1).</w:t>
      </w:r>
    </w:p>
    <w:p w14:paraId="224F464E" w14:textId="77777777" w:rsidR="00666642" w:rsidRPr="006D6EC6" w:rsidRDefault="00000000" w:rsidP="00166C5F">
      <w:pPr>
        <w:ind w:left="1530" w:firstLine="510"/>
      </w:pPr>
      <w:r w:rsidRPr="006D6EC6">
        <w:t xml:space="preserve">All 49 evaluable </w:t>
      </w:r>
      <w:proofErr w:type="spellStart"/>
      <w:r w:rsidRPr="006D6EC6">
        <w:t>gnomAD</w:t>
      </w:r>
      <w:proofErr w:type="spellEnd"/>
      <w:r w:rsidRPr="006D6EC6">
        <w:t xml:space="preserve"> proxies remained below three LP/P-directed votes and therefore lay in V0–V2; none received the final predicted LP/P output (V4). One additional selected TP53 record was non-evaluable (Fig. 4D). The supplied external audit export did not retain the exact V0–V2 decomposition, so the predicted B/LB rate and the Uncertain rate could not be separated. The 50 selected proxies spanned 12 genes: FANCA (n = 15), BRCA1 (n = 9), BARD1 (n = 6), ATM (n = 6), PALB2 (n = 4), BLM (n = 3), BRIP1 (n = 2), and one each in TP53, RAD51D, NBN, FANCC and BRCA2.</w:t>
      </w:r>
    </w:p>
    <w:p w14:paraId="5648F0E8" w14:textId="77777777" w:rsidR="00666642" w:rsidRDefault="00000000" w:rsidP="00166C5F">
      <w:pPr>
        <w:ind w:left="1530" w:firstLine="510"/>
      </w:pPr>
      <w:r w:rsidRPr="006D6EC6">
        <w:t xml:space="preserve">The hospital and </w:t>
      </w:r>
      <w:proofErr w:type="spellStart"/>
      <w:r w:rsidRPr="006D6EC6">
        <w:t>gnomAD</w:t>
      </w:r>
      <w:proofErr w:type="spellEnd"/>
      <w:r w:rsidRPr="006D6EC6">
        <w:t xml:space="preserve"> arms address different directional questions and were not combined into one balanced-accuracy estimate. The hospital arm estimates LP/P-output capture, Uncertain abstention and opposite B/LB-output errors in known LP/P variants. The </w:t>
      </w:r>
      <w:proofErr w:type="spellStart"/>
      <w:r w:rsidRPr="006D6EC6">
        <w:t>gnomAD</w:t>
      </w:r>
      <w:proofErr w:type="spellEnd"/>
      <w:r w:rsidRPr="006D6EC6">
        <w:t xml:space="preserve"> arm establishes that no evaluable benign proxy received an LP/P output, but the unavailable V0-versus-V1–V2 decomposition prevents estimation of predicted B/LB capture or unanimity-based specificity. Small and gene-imbalanced denominators preclude stable per-gene or prospective clinical-validation claims.</w:t>
      </w:r>
    </w:p>
    <w:p w14:paraId="474ED490" w14:textId="77777777" w:rsidR="00666642" w:rsidRDefault="00EF5005">
      <w:pPr>
        <w:jc w:val="center"/>
      </w:pPr>
      <w:r>
        <w:rPr>
          <w:noProof/>
        </w:rPr>
        <w:lastRenderedPageBreak/>
        <w:drawing>
          <wp:inline distT="0" distB="0" distL="0" distR="0" wp14:anchorId="2CD515C2" wp14:editId="6F8CD46D">
            <wp:extent cx="6645910" cy="6394450"/>
            <wp:effectExtent l="0" t="0" r="2540" b="6350"/>
            <wp:docPr id="173020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6394450"/>
                    </a:xfrm>
                    <a:prstGeom prst="rect">
                      <a:avLst/>
                    </a:prstGeom>
                    <a:noFill/>
                    <a:ln>
                      <a:noFill/>
                    </a:ln>
                  </pic:spPr>
                </pic:pic>
              </a:graphicData>
            </a:graphic>
          </wp:inline>
        </w:drawing>
      </w:r>
    </w:p>
    <w:p w14:paraId="363D81D0" w14:textId="77777777" w:rsidR="00666642" w:rsidRPr="006D6EC6" w:rsidRDefault="00000000" w:rsidP="00D55618">
      <w:pPr>
        <w:ind w:left="2550" w:firstLine="510"/>
      </w:pPr>
      <w:r w:rsidRPr="006D6EC6">
        <w:rPr>
          <w:b/>
          <w:bCs/>
        </w:rPr>
        <w:t>Figure 4.</w:t>
      </w:r>
      <w:r w:rsidRPr="006D6EC6">
        <w:t xml:space="preserve"> Independent external-resource audit under the context-specific three-output framework. (A) Resource derivation for the hospital LP/P and </w:t>
      </w:r>
      <w:proofErr w:type="spellStart"/>
      <w:r w:rsidRPr="006D6EC6">
        <w:t>gnomAD</w:t>
      </w:r>
      <w:proofErr w:type="spellEnd"/>
      <w:r w:rsidRPr="006D6EC6">
        <w:t xml:space="preserve"> benign-proxy arms. (B) Categorical outputs for the </w:t>
      </w:r>
      <w:proofErr w:type="gramStart"/>
      <w:r w:rsidRPr="006D6EC6">
        <w:t>16 hospital</w:t>
      </w:r>
      <w:proofErr w:type="gramEnd"/>
      <w:r w:rsidRPr="006D6EC6">
        <w:t xml:space="preserve"> LP/P variants: 15 predicted LP/P, one Uncertain and none predicted B/LB. (C) Variant-level hospital outputs and S_MAC research-ranking scores; ATM c.8122G&gt;A </w:t>
      </w:r>
      <w:proofErr w:type="gramStart"/>
      <w:r w:rsidRPr="006D6EC6">
        <w:t>p.(</w:t>
      </w:r>
      <w:proofErr w:type="gramEnd"/>
      <w:r w:rsidRPr="006D6EC6">
        <w:t xml:space="preserve">Asp2708Asn) was the only Uncertain output. (D) </w:t>
      </w:r>
      <w:proofErr w:type="spellStart"/>
      <w:r w:rsidRPr="006D6EC6">
        <w:t>gnomAD</w:t>
      </w:r>
      <w:proofErr w:type="spellEnd"/>
      <w:r w:rsidRPr="006D6EC6">
        <w:t xml:space="preserve"> audit boundary: all 49 evaluable proxies avoided the predicted LP/P output, but the supplied export did not retain exact V0–V2 states and therefore cannot distinguish predicted B/LB from Uncertain; one proxy was non-evaluable. These analyses assess limited directional transportability and do not reclassify variants or establish prospective clinical utility.</w:t>
      </w:r>
    </w:p>
    <w:p w14:paraId="70A9D8CF" w14:textId="77777777" w:rsidR="00083AA0" w:rsidRPr="00CD0244" w:rsidRDefault="00CD0244" w:rsidP="00CD0244">
      <w:pPr>
        <w:pStyle w:val="MDPI22heading2"/>
        <w:spacing w:before="240"/>
        <w:rPr>
          <w:szCs w:val="20"/>
        </w:rPr>
      </w:pPr>
      <w:r w:rsidRPr="006D6EC6">
        <w:rPr>
          <w:b/>
          <w:i w:val="0"/>
        </w:rPr>
        <w:t>2.6 Secondary binary complementarity relative to individual comparators</w:t>
      </w:r>
    </w:p>
    <w:p w14:paraId="3EEF6BA5" w14:textId="0A4A361D" w:rsidR="00083AA0" w:rsidRPr="006D6EC6" w:rsidRDefault="00083AA0" w:rsidP="00CD0244">
      <w:pPr>
        <w:pStyle w:val="MDPI31text"/>
        <w:rPr>
          <w:szCs w:val="20"/>
        </w:rPr>
      </w:pPr>
      <w:r w:rsidRPr="006D6EC6">
        <w:lastRenderedPageBreak/>
        <w:t xml:space="preserve">As a secondary diagnostic benchmark, variant-level complementarity was assessed for REVEL [27], </w:t>
      </w:r>
      <w:proofErr w:type="spellStart"/>
      <w:r w:rsidRPr="006D6EC6">
        <w:t>MetaLR</w:t>
      </w:r>
      <w:proofErr w:type="spellEnd"/>
      <w:r w:rsidRPr="006D6EC6">
        <w:t xml:space="preserve"> [28], VARITY [29], </w:t>
      </w:r>
      <w:proofErr w:type="spellStart"/>
      <w:r w:rsidRPr="006D6EC6">
        <w:t>BayesDel</w:t>
      </w:r>
      <w:proofErr w:type="spellEnd"/>
      <w:r w:rsidRPr="006D6EC6">
        <w:t xml:space="preserve"> </w:t>
      </w:r>
      <w:proofErr w:type="spellStart"/>
      <w:r w:rsidRPr="006D6EC6">
        <w:t>addAF</w:t>
      </w:r>
      <w:proofErr w:type="spellEnd"/>
      <w:r w:rsidRPr="006D6EC6">
        <w:t xml:space="preserve"> [30] and </w:t>
      </w:r>
      <w:proofErr w:type="spellStart"/>
      <w:r w:rsidRPr="006D6EC6">
        <w:t>AlphaMissense</w:t>
      </w:r>
      <w:proofErr w:type="spellEnd"/>
      <w:r w:rsidRPr="006D6EC6">
        <w:t xml:space="preserve"> [31] using repeat-specific nested outer-test predictions and the prespecified ≥3-of-4 binary endpoint</w:t>
      </w:r>
      <w:r w:rsidR="000C100E">
        <w:t xml:space="preserve"> (Fig 5.)</w:t>
      </w:r>
      <w:r w:rsidRPr="006D6EC6">
        <w:t>. This analysis is separate from the primary three-output rule: labelled records at V1–V3 remain Uncertain, while unresolved application records at V1–V3 remain in Uncertain-mid, even though the secondary binary benchmark treats V3 as LP/P-directed and V0–V2 as B/LB-directed. For each comparator, its cut-point was estimated separately within each repeat and outer fold from available scores among the 1,728 outer-training anchors and then applied to the untouched 432-anchor outer-test fold. Stable rescue was defined only for this secondary binary benchmark.</w:t>
      </w:r>
    </w:p>
    <w:p w14:paraId="020168E5" w14:textId="77777777" w:rsidR="00083AA0" w:rsidRPr="00CD0244" w:rsidRDefault="00083AA0" w:rsidP="00CD0244">
      <w:pPr>
        <w:pStyle w:val="MDPI31text"/>
        <w:rPr>
          <w:szCs w:val="20"/>
        </w:rPr>
      </w:pPr>
      <w:r w:rsidRPr="006D6EC6">
        <w:t xml:space="preserve">Review-status-stratified OOF analysis showed marked learner-family divergence within the NR stratum. NR denoted a review-status value not recorded in the source dataset and was not treated as an ordinal </w:t>
      </w:r>
      <w:proofErr w:type="spellStart"/>
      <w:r w:rsidRPr="006D6EC6">
        <w:t>ClinVar</w:t>
      </w:r>
      <w:proofErr w:type="spellEnd"/>
      <w:r w:rsidRPr="006D6EC6">
        <w:t xml:space="preserve"> category. Of the 101 NR anchors, 78 (77.2%) were B/LB and 23 (22.8%) were LP/P. Among LP/P–NR anchors, Extra Trees and </w:t>
      </w:r>
      <w:proofErr w:type="spellStart"/>
      <w:r w:rsidRPr="006D6EC6">
        <w:t>HistGB</w:t>
      </w:r>
      <w:proofErr w:type="spellEnd"/>
      <w:r w:rsidRPr="006D6EC6">
        <w:t xml:space="preserve"> were concordant with the source anchor direction for 22/23 variants (95.7%) each, whereas SVM–RBF and L2 logistic regression were concordant for 5/23 (21.7%) each; consequently, only 5/23 variants (21.7%) met the prespecified ≥3-of-4 LP/P-directed endpoint. Among B/LB–NR anchors, SVM–RBF and L2 logistic regression were concordant for 78/78 variants (100%), compared with 70/78 (89.7%) for Extra Trees and 71/78 (91.0%) for </w:t>
      </w:r>
      <w:proofErr w:type="spellStart"/>
      <w:r w:rsidRPr="006D6EC6">
        <w:t>HistGB</w:t>
      </w:r>
      <w:proofErr w:type="spellEnd"/>
      <w:r w:rsidRPr="006D6EC6">
        <w:t>; no B/LB–NR anchor crossed the ≥3-of-4 LP/P-directed endpoint. These source-stratified OOF findings are descriptive and remain an internal assessment. The full review-status audit is shown in Fig. 6.</w:t>
      </w:r>
    </w:p>
    <w:p w14:paraId="0B21C567" w14:textId="77777777" w:rsidR="00083AA0" w:rsidRPr="006D6EC6" w:rsidRDefault="00083AA0" w:rsidP="00CD0244">
      <w:pPr>
        <w:pStyle w:val="MDPI52figure"/>
      </w:pPr>
      <w:r w:rsidRPr="006D6EC6">
        <w:rPr>
          <w:noProof/>
          <w:snapToGrid/>
        </w:rPr>
        <w:drawing>
          <wp:inline distT="0" distB="0" distL="0" distR="0" wp14:anchorId="5AB65785" wp14:editId="20486209">
            <wp:extent cx="6447155" cy="2554984"/>
            <wp:effectExtent l="0" t="0" r="0" b="0"/>
            <wp:docPr id="102" name="HBOCpred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OCpred_Unique_Rescue_Nested_OOF.png"/>
                    <pic:cNvPicPr/>
                  </pic:nvPicPr>
                  <pic:blipFill>
                    <a:blip r:embed="rId13"/>
                    <a:stretch>
                      <a:fillRect/>
                    </a:stretch>
                  </pic:blipFill>
                  <pic:spPr>
                    <a:xfrm>
                      <a:off x="0" y="0"/>
                      <a:ext cx="6447155" cy="2554605"/>
                    </a:xfrm>
                    <a:prstGeom prst="rect">
                      <a:avLst/>
                    </a:prstGeom>
                  </pic:spPr>
                </pic:pic>
              </a:graphicData>
            </a:graphic>
          </wp:inline>
        </w:drawing>
      </w:r>
    </w:p>
    <w:p w14:paraId="299EBA57" w14:textId="77777777" w:rsidR="00083AA0" w:rsidRPr="00CD0244" w:rsidRDefault="00083AA0" w:rsidP="00CD0244">
      <w:pPr>
        <w:pStyle w:val="MDPI51figurecaption"/>
        <w:jc w:val="both"/>
        <w:rPr>
          <w:snapToGrid w:val="0"/>
          <w:szCs w:val="18"/>
        </w:rPr>
      </w:pPr>
      <w:r w:rsidRPr="006D6EC6">
        <w:t xml:space="preserve">Figure 5. Secondary ≥3-of-4 binary rescue of anchor variants misclassified by individual in silico comparators. (A) Diverging bars show the proportions of matched B/LB and LP/P anchors for which </w:t>
      </w:r>
      <w:proofErr w:type="spellStart"/>
      <w:r w:rsidRPr="006D6EC6">
        <w:t>HBOCpred</w:t>
      </w:r>
      <w:proofErr w:type="spellEnd"/>
      <w:r w:rsidRPr="006D6EC6">
        <w:t xml:space="preserve"> was correct at the prespecified secondary binary endpoint and the indicated comparator was incorrect in all five repeated nested outer tests; labels give rescued variants/non-missing matched anchors. Comparator cut-points were estimated within each outer-training partition and applied to its untouched outer-test fold. (B) Among all-five complete cases, bars show the numbers of B/LB and LP/P anchors stably rescued against one to five comparators. These results assess internal binary complementarity and do not define either the primary B/LB–Uncertain–LP/P output or the Uncertain-low/mid/high application zones.</w:t>
      </w:r>
    </w:p>
    <w:p w14:paraId="495F75BC" w14:textId="77777777" w:rsidR="00083AA0" w:rsidRPr="00CD0244" w:rsidRDefault="00083AA0" w:rsidP="00CD0244">
      <w:pPr>
        <w:pStyle w:val="MDPI52figure"/>
        <w:ind w:left="2608"/>
        <w:jc w:val="left"/>
      </w:pPr>
      <w:r w:rsidRPr="00CD0244">
        <w:rPr>
          <w:noProof/>
        </w:rPr>
        <w:lastRenderedPageBreak/>
        <w:drawing>
          <wp:inline distT="0" distB="0" distL="0" distR="0" wp14:anchorId="13E5A925" wp14:editId="6C96BAEB">
            <wp:extent cx="3937635" cy="4534535"/>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37635" cy="4534535"/>
                    </a:xfrm>
                    <a:prstGeom prst="rect">
                      <a:avLst/>
                    </a:prstGeom>
                    <a:noFill/>
                    <a:ln>
                      <a:noFill/>
                    </a:ln>
                  </pic:spPr>
                </pic:pic>
              </a:graphicData>
            </a:graphic>
          </wp:inline>
        </w:drawing>
      </w:r>
    </w:p>
    <w:p w14:paraId="6E348B97" w14:textId="77777777" w:rsidR="00083AA0" w:rsidRPr="006D6EC6" w:rsidRDefault="00083AA0" w:rsidP="00CD0244">
      <w:pPr>
        <w:pStyle w:val="MDPI51figurecaption"/>
        <w:jc w:val="both"/>
        <w:rPr>
          <w:snapToGrid w:val="0"/>
          <w:szCs w:val="18"/>
        </w:rPr>
      </w:pPr>
      <w:r w:rsidRPr="006D6EC6">
        <w:rPr>
          <w:b/>
          <w:bCs/>
        </w:rPr>
        <w:t>Figure 6.</w:t>
      </w:r>
      <w:r w:rsidRPr="006D6EC6">
        <w:t xml:space="preserve"> Review-status-stratified distribution and secondary binary performance of </w:t>
      </w:r>
      <w:proofErr w:type="spellStart"/>
      <w:r w:rsidRPr="006D6EC6">
        <w:t>HBOCpred</w:t>
      </w:r>
      <w:proofErr w:type="spellEnd"/>
      <w:r w:rsidRPr="006D6EC6">
        <w:t xml:space="preserve">. (A) Distribution of the 2,160 source anchors across the recorded </w:t>
      </w:r>
      <w:proofErr w:type="spellStart"/>
      <w:r w:rsidRPr="006D6EC6">
        <w:t>ClinVar</w:t>
      </w:r>
      <w:proofErr w:type="spellEnd"/>
      <w:r w:rsidRPr="006D6EC6">
        <w:t xml:space="preserve"> review-status strata, shown separately for LP/P and B/LB anchors. (B) Correct source-direction calls for the two conventional learners, two tree-based learners and the prespecified ≥3-of-4 secondary binary endpoint. This audit does not alter the primary B/LB–Uncertain–LP/P output or the Uncertain-low/mid/high labels used only for unresolved application records. OOF, out-of-fold; B/LB, benign/likely benign; LP/P, likely pathogenic/pathogenic; NR, not recorded; </w:t>
      </w:r>
      <w:proofErr w:type="spellStart"/>
      <w:r w:rsidRPr="006D6EC6">
        <w:t>HistGB</w:t>
      </w:r>
      <w:proofErr w:type="spellEnd"/>
      <w:r w:rsidRPr="006D6EC6">
        <w:t>, histogram-based gradient boosting.</w:t>
      </w:r>
    </w:p>
    <w:p w14:paraId="70DC23BA" w14:textId="77777777" w:rsidR="00083AA0" w:rsidRPr="00CD0244" w:rsidRDefault="00CD0244" w:rsidP="00CD0244">
      <w:pPr>
        <w:pStyle w:val="MDPI22heading2"/>
        <w:spacing w:before="240"/>
        <w:rPr>
          <w:szCs w:val="20"/>
        </w:rPr>
      </w:pPr>
      <w:r w:rsidRPr="006D6EC6">
        <w:rPr>
          <w:b/>
          <w:i w:val="0"/>
        </w:rPr>
        <w:t>2.7 Feature-distribution diagnostics and deployment catalogue</w:t>
      </w:r>
    </w:p>
    <w:p w14:paraId="48538AC9" w14:textId="77777777" w:rsidR="00666642" w:rsidRPr="006D6EC6" w:rsidRDefault="00000000" w:rsidP="00A92055">
      <w:pPr>
        <w:ind w:left="2550" w:firstLine="510"/>
      </w:pPr>
      <w:r w:rsidRPr="006D6EC6">
        <w:t xml:space="preserve">Application-versus-anchor distribution diagnostics showed absolute </w:t>
      </w:r>
      <w:proofErr w:type="spellStart"/>
      <w:r w:rsidRPr="006D6EC6">
        <w:t>standardised</w:t>
      </w:r>
      <w:proofErr w:type="spellEnd"/>
      <w:r w:rsidRPr="006D6EC6">
        <w:t xml:space="preserve"> mean differences (|SMD|) &gt;=0.20 for 17/25 final predictors and &gt;=0.10 for 22/25. Most shifts were negative, indicating lower application-set values on the </w:t>
      </w:r>
      <w:proofErr w:type="spellStart"/>
      <w:r w:rsidRPr="006D6EC6">
        <w:t>standardised</w:t>
      </w:r>
      <w:proofErr w:type="spellEnd"/>
      <w:r w:rsidRPr="006D6EC6">
        <w:t xml:space="preserve"> predictor scale; missingness also varied by feature. These diagnostics did not change any model output and </w:t>
      </w:r>
      <w:proofErr w:type="gramStart"/>
      <w:r w:rsidRPr="006D6EC6">
        <w:t>do</w:t>
      </w:r>
      <w:proofErr w:type="gramEnd"/>
      <w:r w:rsidRPr="006D6EC6">
        <w:t xml:space="preserve"> not establish clinical transportability.</w:t>
      </w:r>
    </w:p>
    <w:p w14:paraId="4800105E" w14:textId="77777777" w:rsidR="00666642" w:rsidRPr="006D6EC6" w:rsidRDefault="00000000" w:rsidP="00A92055">
      <w:pPr>
        <w:ind w:left="2550" w:firstLine="510"/>
      </w:pPr>
      <w:r w:rsidRPr="006D6EC6">
        <w:t>All 43,679 unresolved application records satisfied the prespecified requirement that at least 20 of the 25 final predictors be observed. The deployment catalogue retains the exact V0–V4 audit state, the unresolved-only Uncertain-low/mid/high research-</w:t>
      </w:r>
      <w:proofErr w:type="spellStart"/>
      <w:r w:rsidRPr="006D6EC6">
        <w:t>prioritisation</w:t>
      </w:r>
      <w:proofErr w:type="spellEnd"/>
      <w:r w:rsidRPr="006D6EC6">
        <w:t xml:space="preserve"> zone, the four calibrated learner probabilities and votes, S_MAC, observed-feature count and completeness flag.</w:t>
      </w:r>
    </w:p>
    <w:p w14:paraId="796026EA" w14:textId="5EE5B9B4" w:rsidR="00666642" w:rsidRDefault="00000000" w:rsidP="00A92055">
      <w:pPr>
        <w:ind w:left="2550" w:firstLine="510"/>
      </w:pPr>
      <w:r w:rsidRPr="006D6EC6">
        <w:t xml:space="preserve">A companion R Shiny interface, the </w:t>
      </w:r>
      <w:proofErr w:type="spellStart"/>
      <w:r w:rsidRPr="006D6EC6">
        <w:t>HBOCpred</w:t>
      </w:r>
      <w:proofErr w:type="spellEnd"/>
      <w:r w:rsidRPr="006D6EC6">
        <w:t xml:space="preserve"> Variant Score Atlas (https://alaymd.shinyapps.io/hbocpred/), provides exploratory search and inspection of variant-level audit outputs. The interface is intended for research use only and was not </w:t>
      </w:r>
      <w:r w:rsidRPr="006D6EC6">
        <w:lastRenderedPageBreak/>
        <w:t xml:space="preserve">used for model fitting, feature selection, threshold </w:t>
      </w:r>
      <w:proofErr w:type="spellStart"/>
      <w:r w:rsidRPr="006D6EC6">
        <w:t>optimisation</w:t>
      </w:r>
      <w:proofErr w:type="spellEnd"/>
      <w:r w:rsidRPr="006D6EC6">
        <w:t xml:space="preserve"> or performance evaluation</w:t>
      </w:r>
      <w:r w:rsidR="00A7390A">
        <w:t xml:space="preserve"> (Fig</w:t>
      </w:r>
      <w:r w:rsidR="00DC68F9">
        <w:t xml:space="preserve">. </w:t>
      </w:r>
      <w:r w:rsidR="00A7390A">
        <w:t>7)</w:t>
      </w:r>
      <w:r w:rsidRPr="006D6EC6">
        <w:t>.</w:t>
      </w:r>
    </w:p>
    <w:p w14:paraId="20550A5C" w14:textId="77777777" w:rsidR="00DC68F9" w:rsidRPr="00CD0244" w:rsidRDefault="00DC68F9" w:rsidP="00DC68F9">
      <w:pPr>
        <w:pStyle w:val="MDPI52figure"/>
        <w:ind w:left="2608"/>
        <w:jc w:val="left"/>
      </w:pPr>
      <w:r w:rsidRPr="00CD0244">
        <w:rPr>
          <w:noProof/>
          <w:snapToGrid/>
        </w:rPr>
        <w:drawing>
          <wp:inline distT="0" distB="0" distL="0" distR="0" wp14:anchorId="0746F229" wp14:editId="47C4C478">
            <wp:extent cx="4758690" cy="2397760"/>
            <wp:effectExtent l="0" t="0" r="0" b="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8690" cy="2397760"/>
                    </a:xfrm>
                    <a:prstGeom prst="rect">
                      <a:avLst/>
                    </a:prstGeom>
                    <a:noFill/>
                    <a:ln>
                      <a:noFill/>
                    </a:ln>
                  </pic:spPr>
                </pic:pic>
              </a:graphicData>
            </a:graphic>
          </wp:inline>
        </w:drawing>
      </w:r>
    </w:p>
    <w:p w14:paraId="797B3902" w14:textId="77777777" w:rsidR="00DC68F9" w:rsidRPr="00CD0244" w:rsidRDefault="00DC68F9" w:rsidP="00DC68F9">
      <w:pPr>
        <w:pStyle w:val="MDPI31text"/>
        <w:spacing w:before="120" w:after="240"/>
        <w:ind w:firstLine="0"/>
        <w:jc w:val="left"/>
        <w:rPr>
          <w:sz w:val="18"/>
          <w:szCs w:val="18"/>
        </w:rPr>
      </w:pPr>
      <w:r w:rsidRPr="00CD0244">
        <w:rPr>
          <w:b/>
          <w:sz w:val="18"/>
          <w:szCs w:val="18"/>
        </w:rPr>
        <w:t xml:space="preserve">Figure 7. </w:t>
      </w:r>
      <w:proofErr w:type="spellStart"/>
      <w:r w:rsidRPr="00CD0244">
        <w:rPr>
          <w:bCs/>
          <w:sz w:val="18"/>
          <w:szCs w:val="18"/>
        </w:rPr>
        <w:t>HBOCpred</w:t>
      </w:r>
      <w:proofErr w:type="spellEnd"/>
      <w:r w:rsidRPr="00CD0244">
        <w:rPr>
          <w:bCs/>
          <w:sz w:val="18"/>
          <w:szCs w:val="18"/>
        </w:rPr>
        <w:t xml:space="preserve"> application.</w:t>
      </w:r>
    </w:p>
    <w:p w14:paraId="27707569" w14:textId="77777777" w:rsidR="00DC68F9" w:rsidRPr="006D6EC6" w:rsidRDefault="00DC68F9" w:rsidP="00A92055">
      <w:pPr>
        <w:ind w:left="2550" w:firstLine="510"/>
      </w:pPr>
    </w:p>
    <w:p w14:paraId="78C1C582" w14:textId="77777777" w:rsidR="00083AA0" w:rsidRPr="006D6EC6" w:rsidRDefault="00083AA0" w:rsidP="00CD0244">
      <w:pPr>
        <w:pStyle w:val="MDPI21heading1"/>
        <w:rPr>
          <w:szCs w:val="24"/>
        </w:rPr>
      </w:pPr>
      <w:r w:rsidRPr="006D6EC6">
        <w:t>3. Discussion</w:t>
      </w:r>
    </w:p>
    <w:p w14:paraId="3CC2F8A6" w14:textId="77777777" w:rsidR="004B5649" w:rsidRPr="006D6EC6" w:rsidRDefault="004B5649" w:rsidP="004B5649">
      <w:pPr>
        <w:ind w:left="2550" w:firstLine="510"/>
      </w:pPr>
      <w:r w:rsidRPr="006D6EC6">
        <w:t xml:space="preserve">Here, we present </w:t>
      </w:r>
      <w:proofErr w:type="spellStart"/>
      <w:r w:rsidRPr="006D6EC6">
        <w:t>HBOCpred</w:t>
      </w:r>
      <w:proofErr w:type="spellEnd"/>
      <w:r w:rsidRPr="006D6EC6">
        <w:t xml:space="preserve"> as an HBOC-specific heterogeneous ensemble for research </w:t>
      </w:r>
      <w:proofErr w:type="spellStart"/>
      <w:r w:rsidRPr="006D6EC6">
        <w:t>prioritisation</w:t>
      </w:r>
      <w:proofErr w:type="spellEnd"/>
      <w:r w:rsidRPr="006D6EC6">
        <w:t xml:space="preserve"> of unresolved germline missense variants. For labelled internal and external records, V0 is reported as predicted B/LB, V1–V3 as Uncertain and V4 as predicted LP/P; for already unresolved application records, the same states are displayed as Uncertain-low, Uncertain-mid and Uncertain-high </w:t>
      </w:r>
      <w:proofErr w:type="spellStart"/>
      <w:r w:rsidRPr="006D6EC6">
        <w:t>prioritisation</w:t>
      </w:r>
      <w:proofErr w:type="spellEnd"/>
      <w:r w:rsidRPr="006D6EC6">
        <w:t xml:space="preserve"> zones. In repeated nested outer-test evaluation of 2,160 anchors from 17 genes, the secondary ≥3-of-4 endpoint achieved a balanced accuracy of 0.9527, while S_MAC yielded an AUROC of 0.9900, an AUPRC of 0.9903 and a Brier score of 0.0317. Re-tabulation of the frozen out-of-fold predictions yielded 1,151 predicted B/LB, 111 Uncertain and 898 predicted LP/P outputs, corresponding to 94.86% definite-output coverage, a 5.14% Uncertain rate and 97.51% source-direction concordance among definite outputs. These are internal estimates, and repeat-level standard deviations describe split stability.</w:t>
      </w:r>
    </w:p>
    <w:p w14:paraId="1EC9CBDA" w14:textId="77777777" w:rsidR="004B5649" w:rsidRPr="006D6EC6" w:rsidRDefault="004B5649" w:rsidP="004B5649">
      <w:pPr>
        <w:ind w:left="2550" w:firstLine="510"/>
      </w:pPr>
      <w:proofErr w:type="spellStart"/>
      <w:r w:rsidRPr="006D6EC6">
        <w:t>HBOCpred</w:t>
      </w:r>
      <w:proofErr w:type="spellEnd"/>
      <w:r w:rsidRPr="006D6EC6">
        <w:t xml:space="preserve"> is designed to expose agreement and disagreement among distinct modelling families. The ensemble combines SVM–RBF, L2 logistic regression, Extra Trees and </w:t>
      </w:r>
      <w:proofErr w:type="spellStart"/>
      <w:r w:rsidRPr="006D6EC6">
        <w:t>HistGB</w:t>
      </w:r>
      <w:proofErr w:type="spellEnd"/>
      <w:r w:rsidRPr="006D6EC6">
        <w:t xml:space="preserve"> while retaining the calibrated probabilities and complete four-bit vote vector. In the exact 2:2 audit, </w:t>
      </w:r>
      <w:proofErr w:type="gramStart"/>
      <w:r w:rsidRPr="006D6EC6">
        <w:t>both tree</w:t>
      </w:r>
      <w:proofErr w:type="gramEnd"/>
      <w:r w:rsidRPr="006D6EC6">
        <w:t xml:space="preserve"> learners formed the LP/P-directed pair in 32/41 anchors, </w:t>
      </w:r>
      <w:r w:rsidR="000A531A" w:rsidRPr="006D6EC6">
        <w:t>whereas the two classical learners never formed that pair</w:t>
      </w:r>
      <w:r w:rsidRPr="006D6EC6">
        <w:t>. Similarly, each tree learner recovered 22/23 LP/P–NR anchors, compared with 5/23 for each conventional learner and the secondary ≥3-of-4 endpoint. Mixed-vote states therefore represent structured model-family disagreement rather than an ordinal pathogenicity midpoint or latent biological class.</w:t>
      </w:r>
    </w:p>
    <w:p w14:paraId="3E9E31FA" w14:textId="77777777" w:rsidR="0061774F" w:rsidRPr="00CD0244" w:rsidRDefault="0061774F" w:rsidP="0061774F">
      <w:pPr>
        <w:pStyle w:val="MDPI31text"/>
        <w:rPr>
          <w:szCs w:val="20"/>
        </w:rPr>
      </w:pPr>
      <w:r w:rsidRPr="00CD0244">
        <w:rPr>
          <w:szCs w:val="20"/>
        </w:rPr>
        <w:t xml:space="preserve">This architecture distinguishes </w:t>
      </w:r>
      <w:proofErr w:type="spellStart"/>
      <w:r w:rsidRPr="00CD0244">
        <w:rPr>
          <w:szCs w:val="20"/>
        </w:rPr>
        <w:t>HBOCpred</w:t>
      </w:r>
      <w:proofErr w:type="spellEnd"/>
      <w:r w:rsidRPr="00CD0244">
        <w:rPr>
          <w:szCs w:val="20"/>
        </w:rPr>
        <w:t xml:space="preserve"> from disease- or gene-focused studies that compared alternative learning algorithms but ultimately issued predictions from one selected fitted model for each gene or prediction task. BRCA-ML selected a gradient-boosting machine for </w:t>
      </w:r>
      <w:r w:rsidRPr="00815523">
        <w:rPr>
          <w:i/>
          <w:iCs/>
          <w:szCs w:val="20"/>
        </w:rPr>
        <w:t>BRCA1</w:t>
      </w:r>
      <w:r w:rsidRPr="00CD0244">
        <w:rPr>
          <w:szCs w:val="20"/>
        </w:rPr>
        <w:t xml:space="preserve"> and </w:t>
      </w:r>
      <w:proofErr w:type="spellStart"/>
      <w:r w:rsidRPr="00CD0244">
        <w:rPr>
          <w:szCs w:val="20"/>
        </w:rPr>
        <w:t>XGBoost</w:t>
      </w:r>
      <w:proofErr w:type="spellEnd"/>
      <w:r w:rsidRPr="00CD0244">
        <w:rPr>
          <w:szCs w:val="20"/>
        </w:rPr>
        <w:t xml:space="preserve"> for BRCA2 </w:t>
      </w:r>
      <w:r w:rsidRPr="00CD0244">
        <w:rPr>
          <w:szCs w:val="20"/>
        </w:rPr>
        <w:fldChar w:fldCharType="begin" w:fldLock="1"/>
      </w:r>
      <w:r w:rsidR="0066732E">
        <w:rPr>
          <w:szCs w:val="20"/>
        </w:rPr>
        <w:instrText>ADDIN CSL_CITATION {"citationItems":[{"id":"ITEM-1","itemData":{"DOI":"10.1038/s41523-020-0159-x","ISSN":"2374-4677","abstract":"In silico predictions of missense variants is an important consideration when interpreting variants of uncertain significance (VUS) in the BRCA1 and BRCA2 genes. We trained and evaluated hundreds of machine learning algorithms based on results from validated functional assays to better predict missense variants in these genes as damaging or neutral. This new optimal “BRCA-ML” model yielded a substantially more accurate method than current algorithms for interpreting the functional impact of variants in these genes, making BRCA-ML a valuable addition to data sources for VUS classification.","author":[{"dropping-particle":"","family":"Hart","given":"Steven N","non-dropping-particle":"","parse-names":false,"suffix":""},{"dropping-particle":"","family":"Polley","given":"Eric C","non-dropping-particle":"","parse-names":false,"suffix":""},{"dropping-particle":"","family":"Shimelis","given":"Hermella","non-dropping-particle":"","parse-names":false,"suffix":""},{"dropping-particle":"","family":"Yadav","given":"Siddhartha","non-dropping-particle":"","parse-names":false,"suffix":""},{"dropping-particle":"","family":"Couch","given":"Fergus J","non-dropping-particle":"","parse-names":false,"suffix":""}],"container-title":"npj Breast Cancer","id":"ITEM-1","issue":"1","issued":{"date-parts":[["2020"]]},"page":"13","title":"Prediction of the functional impact of missense variants in BRCA1 and BRCA2 with BRCA-ML","type":"article-journal","volume":"6"},"uris":["http://www.mendeley.com/documents/?uuid=ab2a6727-6e30-4543-a6a5-1ab6bf07b626"]}],"mendeley":{"formattedCitation":"[25]","plainTextFormattedCitation":"[25]","previouslyFormattedCitation":"[25]"},"properties":{"noteIndex":0},"schema":"https://github.com/citation-style-language/schema/raw/master/csl-citation.json"}</w:instrText>
      </w:r>
      <w:r w:rsidRPr="00CD0244">
        <w:rPr>
          <w:szCs w:val="20"/>
        </w:rPr>
        <w:fldChar w:fldCharType="separate"/>
      </w:r>
      <w:r w:rsidR="00A92055" w:rsidRPr="00A92055">
        <w:rPr>
          <w:noProof/>
          <w:szCs w:val="20"/>
        </w:rPr>
        <w:t>[25]</w:t>
      </w:r>
      <w:r w:rsidRPr="00CD0244">
        <w:rPr>
          <w:szCs w:val="20"/>
        </w:rPr>
        <w:fldChar w:fldCharType="end"/>
      </w:r>
      <w:r w:rsidRPr="00CD0244">
        <w:rPr>
          <w:szCs w:val="20"/>
        </w:rPr>
        <w:t xml:space="preserve">. Subsequent BRCA1/2 studies </w:t>
      </w:r>
      <w:r w:rsidRPr="00CD0244">
        <w:rPr>
          <w:szCs w:val="20"/>
        </w:rPr>
        <w:lastRenderedPageBreak/>
        <w:t xml:space="preserve">identified gene-specific random forests as their best-performing models </w:t>
      </w:r>
      <w:r w:rsidRPr="00CD0244">
        <w:rPr>
          <w:szCs w:val="20"/>
        </w:rPr>
        <w:fldChar w:fldCharType="begin" w:fldLock="1"/>
      </w:r>
      <w:r w:rsidR="0066732E">
        <w:rPr>
          <w:szCs w:val="20"/>
        </w:rPr>
        <w:instrText>ADDIN CSL_CITATION {"citationItems":[{"id":"ITEM-1","itemData":{"DOI":"10.1038/s41598-022-13508-3","ISSN":"2045-2322","abstract":"BRCA1 and BRCA2 are tumour suppressor genes that play a critical role in maintaining genomic stability via the DNA repair mechanism. DNA repair defects caused by BRCA1 and BRCA2 missense variants increase the risk of developing breast and ovarian cancers. Accurate identification of these variants becomes clinically relevant, as means to guide personalized patient management and early detection. Next-generation sequencing efforts have significantly increased data availability but also the discovery of variants of uncertain significance that need interpretation. Experimental approaches used to measure the molecular consequences of these variants, however, are usually costly and time-consuming. Therefore, computational tools have emerged as faster alternatives for assisting in the interpretation of the clinical significance of newly discovered variants. To better understand and predict variant pathogenicity in BRCA1 and BRCA2, various machine learning algorithms have been proposed, however presented limited performance. Here we present BRCA1 and BRCA2 gene-specific models and a generic model for quantifying the functional impacts of single-point missense variants in these genes. Across tenfold cross-validation, our final models achieved a Matthew's Correlation Coefficient (MCC) of up to 0.98 and comparable performance of up to 0.89 across independent, non-redundant blind tests, outperforming alternative approaches. We believe our predictive tool will be a valuable resource for providing insights into understanding and interpreting the functional consequences of missense variants in these genes and as a tool for guiding the interpretation of newly discovered variants and prioritizing mutations for experimental validation.","author":[{"dropping-particle":"","family":"Aljarf","given":"Raghad","non-dropping-particle":"","parse-names":false,"suffix":""},{"dropping-particle":"","family":"Shen","given":"Mengyuan","non-dropping-particle":"","parse-names":false,"suffix":""},{"dropping-particle":"V","family":"Pires","given":"Douglas E","non-dropping-particle":"","parse-names":false,"suffix":""},{"dropping-particle":"","family":"Ascher","given":"David B","non-dropping-particle":"","parse-names":false,"suffix":""}],"container-title":"Scientific Reports","id":"ITEM-1","issue":"1","issued":{"date-parts":[["2022"]]},"page":"10458","title":"Understanding and predicting the functional consequences of missense mutations in BRCA1 and BRCA2","type":"article-journal","volume":"12"},"uris":["http://www.mendeley.com/documents/?uuid=6165f0c4-f11f-43c7-a4c9-203283237a9e"]},{"id":"ITEM-2","itemData":{"DOI":"10.1038/s41598-023-37698-6","ISSN":"2045-2322","abstract":"Machine learning-based pathogenicity prediction helps interpret rare missense variants of BRCA1 and BRCA2, which are associated with hereditary cancers. Recent studies have shown that classifiers trained using variants of a specific gene or a set of genes related to a particular disease perform better than those trained using all variants, due to their higher specificity, despite the smaller training dataset size. In this study, we further investigated the advantages of “gene-specific” machine learning compared to “disease-specific” machine learning. We used 1068 rare (gnomAD minor allele frequency (MAF) &lt; 0.005) missense variants of 28 genes associated with hereditary cancers for our investigation. Popular machine learning classifiers were employed: regularized logistic regression, extreme gradient boosting, random forests, support vector machines, and deep neural networks. As features, we used MAFs from multiple populations, functional prediction and conservation scores, and positions of variants. The disease-specific training dataset included the gene-specific training dataset and was &gt; 7 × larger. However, we observed that gene-specific training variants were sufficient to produce the optimal pathogenicity predictor if a suitable machine learning classifier was employed. Therefore, we recommend gene-specific over disease-specific machine learning as an efficient and effective method for predicting the pathogenicity of rare BRCA1 and BRCA2 missense variants.","author":[{"dropping-particle":"","family":"Kang","given":"Moonjong","non-dropping-particle":"","parse-names":false,"suffix":""},{"dropping-particle":"","family":"Kim","given":"Seonhwa","non-dropping-particle":"","parse-names":false,"suffix":""},{"dropping-particle":"","family":"Lee","given":"Da-Bin","non-dropping-particle":"","parse-names":false,"suffix":""},{"dropping-particle":"","family":"Hong","given":"Changbum","non-dropping-particle":"","parse-names":false,"suffix":""},{"dropping-particle":"","family":"Hwang","given":"Kyu-Baek","non-dropping-particle":"","parse-names":false,"suffix":""}],"container-title":"Scientific Reports","id":"ITEM-2","issue":"1","issued":{"date-parts":[["2023"]]},"page":"10478","title":"Gene-specific machine learning for pathogenicity prediction of rare BRCA1 and BRCA2 missense variants","type":"article-journal","volume":"13"},"uris":["http://www.mendeley.com/documents/?uuid=addadee3-3b30-4d4d-947f-7adadde3e08d"]}],"mendeley":{"formattedCitation":"[26,27]","plainTextFormattedCitation":"[26,27]","previouslyFormattedCitation":"[26,27]"},"properties":{"noteIndex":0},"schema":"https://github.com/citation-style-language/schema/raw/master/csl-citation.json"}</w:instrText>
      </w:r>
      <w:r w:rsidRPr="00CD0244">
        <w:rPr>
          <w:szCs w:val="20"/>
        </w:rPr>
        <w:fldChar w:fldCharType="separate"/>
      </w:r>
      <w:r w:rsidR="00A92055" w:rsidRPr="00A92055">
        <w:rPr>
          <w:noProof/>
          <w:szCs w:val="20"/>
        </w:rPr>
        <w:t>[26,27]</w:t>
      </w:r>
      <w:r w:rsidRPr="00CD0244">
        <w:rPr>
          <w:szCs w:val="20"/>
        </w:rPr>
        <w:fldChar w:fldCharType="end"/>
      </w:r>
      <w:r w:rsidRPr="00CD0244">
        <w:rPr>
          <w:szCs w:val="20"/>
        </w:rPr>
        <w:t xml:space="preserve">. Ahmad et al. selected Extra Trees after evaluating nine algorithms </w:t>
      </w:r>
      <w:r w:rsidRPr="00CD0244">
        <w:rPr>
          <w:szCs w:val="20"/>
        </w:rPr>
        <w:fldChar w:fldCharType="begin" w:fldLock="1"/>
      </w:r>
      <w:r w:rsidR="0066732E">
        <w:rPr>
          <w:szCs w:val="20"/>
        </w:rPr>
        <w:instrText>ADDIN CSL_CITATION {"citationItems":[{"id":"ITEM-1","itemData":{"DOI":"10.1093/bib/bbaf611","ISSN":"1477-4054","abstract":"Accurate classification of genetic variants is critical for precision medicine, particularly hereditary diseases such as breast cancer. However, widely used tools like MutPred and Combined Annotation Dependent Depletion (CADD) offer genome-wide pathogenicity predictions that often overlook disease-specific variant behavior, limiting their clinical utility. This study addresses that gap by training and benchmarking nine machine learning (ML) models-including ensemble and baseline classifiers-on a breast cancer gene-specific dataset rich in conservation scores, functional annotations, and allele frequency features. Among all models, the Extra Trees model achieved the highest performance, with an accuracy of 0.999 and a 95% confidence interval of (0.998–1.000). recursive feature elimination identified the most informative genomic features, enhancing model efficiency. To ensure clinical transparency, we applied interpretability techniques including Local Interpretable Model-Agnostic Explanations and permutation feature importance, which highlighted the key drivers of each prediction. The calibration curve further confirmed the reliability of predicted probabilities, supporting their potential use in clinical decision-making. On an independent ClinGen dataset, Extra Trees achieved 99.1% accuracy and outperformed widely used predictors confirming its robustness and clinical applicability. This is the first comprehensive benchmarking study to apply ML models specifically to breast cancer-related missense variants using disease-gene-specific training data and integrated interpretability. Our results show that disease-specific ML approaches outperform general predictors, offering improved reliability, transparency, and relevance to clinical genomics. By bridging the gap between broad genome-wide tools and tailored clinical prediction, this study lays the foundation for implementing ML-driven pathogenicity prediction in breast cancer diagnostics and precision medicine, with potential expansion to other disease contexts.","author":[{"dropping-particle":"","family":"Ahmad","given":"Rahaf M","non-dropping-particle":"","parse-names":false,"suffix":""},{"dropping-particle":"","family":"AlDhaheri","given":"Noura","non-dropping-particle":"","parse-names":false,"suffix":""},{"dropping-particle":"","family":"Mohamad","given":"Mohd Saberi","non-dropping-particle":"","parse-names":false,"suffix":""},{"dropping-particle":"","family":"Ali","given":"Bassam R","non-dropping-particle":"","parse-names":false,"suffix":""}],"container-title":"Briefings in Bioinformatics","id":"ITEM-1","issue":"6","issued":{"date-parts":[["2025","11","1"]]},"page":"bbaf611","title":"Precision in prediction: tailoring machine learning models for breast cancer missense variants pathogenicity prediction","type":"article-journal","volume":"26"},"uris":["http://www.mendeley.com/documents/?uuid=6607f5db-82ba-48f6-900f-3608733c6d59"]}],"mendeley":{"formattedCitation":"[28]","plainTextFormattedCitation":"[28]","previouslyFormattedCitation":"[28]"},"properties":{"noteIndex":0},"schema":"https://github.com/citation-style-language/schema/raw/master/csl-citation.json"}</w:instrText>
      </w:r>
      <w:r w:rsidRPr="00CD0244">
        <w:rPr>
          <w:szCs w:val="20"/>
        </w:rPr>
        <w:fldChar w:fldCharType="separate"/>
      </w:r>
      <w:r w:rsidR="00A92055" w:rsidRPr="00A92055">
        <w:rPr>
          <w:noProof/>
          <w:szCs w:val="20"/>
        </w:rPr>
        <w:t>[28]</w:t>
      </w:r>
      <w:r w:rsidRPr="00CD0244">
        <w:rPr>
          <w:szCs w:val="20"/>
        </w:rPr>
        <w:fldChar w:fldCharType="end"/>
      </w:r>
      <w:r w:rsidRPr="00CD0244">
        <w:rPr>
          <w:szCs w:val="20"/>
        </w:rPr>
        <w:t xml:space="preserve">. Two broader hereditary-cancer-specific tools were subsequently reported: </w:t>
      </w:r>
      <w:proofErr w:type="spellStart"/>
      <w:r w:rsidRPr="00CD0244">
        <w:rPr>
          <w:szCs w:val="20"/>
        </w:rPr>
        <w:t>HCSpred</w:t>
      </w:r>
      <w:proofErr w:type="spellEnd"/>
      <w:r w:rsidRPr="00CD0244">
        <w:rPr>
          <w:szCs w:val="20"/>
        </w:rPr>
        <w:t xml:space="preserve">, an integrative ensemble framework first presented in 2025 with an accuracy and F1 score of approximately 0.99 on known variants </w:t>
      </w:r>
      <w:r w:rsidRPr="00CD0244">
        <w:rPr>
          <w:szCs w:val="20"/>
        </w:rPr>
        <w:fldChar w:fldCharType="begin" w:fldLock="1"/>
      </w:r>
      <w:r w:rsidR="0066732E">
        <w:rPr>
          <w:szCs w:val="20"/>
        </w:rPr>
        <w:instrText>ADDIN CSL_CITATION {"citationItems":[{"id":"ITEM-1","itemData":{"ISBN":"1018-4813","author":[{"dropping-particle":"","family":"Alay","given":"M","non-dropping-particle":"","parse-names":false,"suffix":""},{"dropping-particle":"","family":"Erdem","given":"H","non-dropping-particle":"","parse-names":false,"suffix":""},{"dropping-particle":"","family":"Bahsi","given":"T","non-dropping-particle":"","parse-names":false,"suffix":""},{"dropping-particle":"","family":"Onat","given":"A","non-dropping-particle":"","parse-names":false,"suffix":""},{"dropping-particle":"","family":"Saat","given":"H","non-dropping-particle":"","parse-names":false,"suffix":""}],"container-title":"EUROPEAN JOURNAL OF HUMAN GENETICS","id":"ITEM-1","issued":{"date-parts":[["2025"]]},"page":"436","publisher":"SPRINGERNATURE CAMPUS, 4 CRINAN ST, LONDON, N1 9XW, ENGLAND","title":"A novel ensemble tool for hereditary cancer genes variant detection HCSPred","type":"paper-conference","volume":"33"},"uris":["http://www.mendeley.com/documents/?uuid=0bd70689-4ed5-4401-9c62-fba45a466f63","http://www.mendeley.com/documents/?uuid=1bfe9928-883f-4cc7-ba50-3761163044fd"]}],"mendeley":{"formattedCitation":"[29]","plainTextFormattedCitation":"[29]","previouslyFormattedCitation":"[29]"},"properties":{"noteIndex":0},"schema":"https://github.com/citation-style-language/schema/raw/master/csl-citation.json"}</w:instrText>
      </w:r>
      <w:r w:rsidRPr="00CD0244">
        <w:rPr>
          <w:szCs w:val="20"/>
        </w:rPr>
        <w:fldChar w:fldCharType="separate"/>
      </w:r>
      <w:r w:rsidR="00A92055" w:rsidRPr="00A92055">
        <w:rPr>
          <w:noProof/>
          <w:szCs w:val="20"/>
        </w:rPr>
        <w:t>[29]</w:t>
      </w:r>
      <w:r w:rsidRPr="00CD0244">
        <w:rPr>
          <w:szCs w:val="20"/>
        </w:rPr>
        <w:fldChar w:fldCharType="end"/>
      </w:r>
      <w:r w:rsidRPr="00CD0244">
        <w:rPr>
          <w:szCs w:val="20"/>
        </w:rPr>
        <w:t xml:space="preserve">, and </w:t>
      </w:r>
      <w:proofErr w:type="spellStart"/>
      <w:r w:rsidRPr="00CD0244">
        <w:rPr>
          <w:szCs w:val="20"/>
        </w:rPr>
        <w:t>HerCanPred</w:t>
      </w:r>
      <w:proofErr w:type="spellEnd"/>
      <w:r w:rsidRPr="00CD0244">
        <w:rPr>
          <w:szCs w:val="20"/>
        </w:rPr>
        <w:t xml:space="preserve">, published in 2026 and led by a random-forest classifier </w:t>
      </w:r>
      <w:r w:rsidRPr="00CD0244">
        <w:rPr>
          <w:szCs w:val="20"/>
        </w:rPr>
        <w:fldChar w:fldCharType="begin" w:fldLock="1"/>
      </w:r>
      <w:r w:rsidR="0066732E">
        <w:rPr>
          <w:szCs w:val="20"/>
        </w:rPr>
        <w:instrText>ADDIN CSL_CITATION {"citationItems":[{"id":"ITEM-1","itemData":{"DOI":"10.3390/ijms27052453","ISSN":"14220067","abstract":"HerCanPred, a machine-learning-based pathogenicity classifier specifically optimized for 63 cancer-predisposition genes, was developed to improve the interpretation of missense variants in hereditary cancer syndromes. This model integrates sequence conservation with structural features derived from AlphaFold2 (AF2) structures. HerCanPred achieved a strong performance, outperforming 23 established predictors. SHAP analysis identified AF2-derived structural features, specifically local pLDDT confidence scores and relative solvent accessible area, as the strongest predictors of variant impact. Benchmarking the strengths and limitations of HerCanPred against existing methods showed that misclassification of pathogenic variants was concentrated in disordered and surface-exposed regions, whereas benign failures were more broadly distributed. HerCanPred and three established predictors were also applied to over 57,000 variants of uncertain significance (VUS) from the same gene set. Notably, 166 VUS were reassigned as pathogenic and 75 as benign, with an enrichment of the NF1, FH, and MLH1 genes. By combining gene-specific training with 3D structural information, HerCanPred provides a robust framework for reducing diagnostic uncertainty. Our findings demonstrate that targeted, structure-aware tools can contribute to resolving VUS, providing a rational basis for systematic variant reinterpretation and more informed medical management in hereditary cancer care.","author":[{"dropping-particle":"","family":"Akyerli","given":"Cemaliye B.","non-dropping-particle":"","parse-names":false,"suffix":""},{"dropping-particle":"","family":"Gerdan","given":"Gizel","non-dropping-particle":"","parse-names":false,"suffix":""},{"dropping-particle":"","family":"Bülbül","given":"Alper","non-dropping-particle":"","parse-names":false,"suffix":""},{"dropping-particle":"","family":"Keskin-Karakoyun","given":"Hilal","non-dropping-particle":"","parse-names":false,"suffix":""},{"dropping-particle":"","family":"Yüksel","given":"Şirin K.","non-dropping-particle":"","parse-names":false,"suffix":""},{"dropping-particle":"","family":"Timucin","given":"Emel","non-dropping-particle":"","parse-names":false,"suffix":""}],"container-title":"International Journal of Molecular Sciences","id":"ITEM-1","issue":"5","issued":{"date-parts":[["2026"]]},"page":"1-17","title":"Pathogenicity Prediction of Missense Variations in Hereditary Cancer Genes","type":"article-journal","volume":"27"},"uris":["http://www.mendeley.com/documents/?uuid=1a723b11-80bc-4028-8cf6-7d6dab84c530"]}],"mendeley":{"formattedCitation":"[24]","plainTextFormattedCitation":"[24]","previouslyFormattedCitation":"[24]"},"properties":{"noteIndex":0},"schema":"https://github.com/citation-style-language/schema/raw/master/csl-citation.json"}</w:instrText>
      </w:r>
      <w:r w:rsidRPr="00CD0244">
        <w:rPr>
          <w:szCs w:val="20"/>
        </w:rPr>
        <w:fldChar w:fldCharType="separate"/>
      </w:r>
      <w:r w:rsidR="00A92055" w:rsidRPr="00A92055">
        <w:rPr>
          <w:noProof/>
          <w:szCs w:val="20"/>
        </w:rPr>
        <w:t>[24]</w:t>
      </w:r>
      <w:r w:rsidRPr="00CD0244">
        <w:rPr>
          <w:szCs w:val="20"/>
        </w:rPr>
        <w:fldChar w:fldCharType="end"/>
      </w:r>
      <w:r w:rsidRPr="00CD0244">
        <w:rPr>
          <w:szCs w:val="20"/>
        </w:rPr>
        <w:t xml:space="preserve">. Taken together, these studies support disease- and gene-focused training. A closer methodological comparator is Lee et al. </w:t>
      </w:r>
      <w:r w:rsidRPr="00CD0244">
        <w:rPr>
          <w:szCs w:val="20"/>
        </w:rPr>
        <w:fldChar w:fldCharType="begin" w:fldLock="1"/>
      </w:r>
      <w:r w:rsidR="0066732E">
        <w:rPr>
          <w:szCs w:val="20"/>
        </w:rPr>
        <w:instrText>ADDIN CSL_CITATION {"citationItems":[{"id":"ITEM-1","itemData":{"DOI":"10.1186/s13040-026-00533-5","ISSN":"17560381","abstract":"Background: Hereditary cancers frequently arise from germline pathogenic variants, yet only a small proportion of reported variants have been clinically classified, leaving most missense variants unresolved as variants of uncertain significance (VUS). Although recent machine-learning approaches have explored disease-specific or gene-specific contexts to improve pathogenicity prediction, these models remain fundamentally limited by the scarcity of labeled data and the underutilization of abundant VUS. Results: We propose a deep-learning framework that integrates autoencoder pretraining with a deep ensemble strategy to improve variant pathogenicity prediction, effectively leverage unlabeled VUS during pretraining, and reduce uncertainty arising from limited training samples. To validate each component of our framework, we evaluated its performance under both disease-specific and gene-specific training setups. Experiments on ClinVar variants from BRCA1, BRCA2, MLH1, and MSH2 showed that our framework achieved the best performance in the gene-specific setup for BRCA1—likely because BRCA1 contains substantially more gene-specific training data than the other genes—whereas the disease-specific setup yielded superior results for the remaining genes, which had comparatively limited gene-specific samples. Overall, our method significantly outperformed existing approaches. We also introduce an interpretability approach that provides variant-level importance profiles across pathogenicity classes, thereby enhancing transparency and clinical applicability. Moreover, by projecting feature-level importance scores into a two-dimensional space, we demonstrate that pretraining enables the model to learn distinctly different feature representations, illustrating how pretraining and ensemble learning synergistically contribute to improved predictive performance. Conclusions: Our framework preserves the specificity of disease- and gene-specific approaches, overcomes data scarcity through VUS-guided pretraining and ensembling, and offers interpretable outcomes that may be helpful for clinical decision support. Moreover, our results suggest a promising direction for pathogenicity prediction of rare missense variants and indicate that the proposed framework may be extendable to additional genes under appropriate data and modeling conditions.","author":[{"dropping-particle":"Bin","family":"Lee","given":"Da","non-dropping-particle":"","parse-names":false,"suffix":""},{"dropping-particle":"","family":"Kang","given":"Hyun Uk","non-dropping-particle":"","parse-names":false,"suffix":""},{"dropping-particle":"","family":"Hwang","given":"Kyu Baek","non-dropping-particle":"","parse-names":false,"suffix":""}],"container-title":"BioData Mining","id":"ITEM-1","issue":"1","issued":{"date-parts":[["2026"]]},"title":"Disease- and gene-specific deep learning for pathogenicity prediction of rare missense variants in cancer predisposition genes","type":"article-journal","volume":"19"},"uris":["http://www.mendeley.com/documents/?uuid=baabf1cb-d806-4bef-9f54-842a75b5754b"]}],"mendeley":{"formattedCitation":"[30]","plainTextFormattedCitation":"[30]","previouslyFormattedCitation":"[30]"},"properties":{"noteIndex":0},"schema":"https://github.com/citation-style-language/schema/raw/master/csl-citation.json"}</w:instrText>
      </w:r>
      <w:r w:rsidRPr="00CD0244">
        <w:rPr>
          <w:szCs w:val="20"/>
        </w:rPr>
        <w:fldChar w:fldCharType="separate"/>
      </w:r>
      <w:r w:rsidR="00A92055" w:rsidRPr="00A92055">
        <w:rPr>
          <w:noProof/>
          <w:szCs w:val="20"/>
        </w:rPr>
        <w:t>[30]</w:t>
      </w:r>
      <w:r w:rsidRPr="00CD0244">
        <w:rPr>
          <w:szCs w:val="20"/>
        </w:rPr>
        <w:fldChar w:fldCharType="end"/>
      </w:r>
      <w:r w:rsidRPr="00CD0244">
        <w:rPr>
          <w:szCs w:val="20"/>
        </w:rPr>
        <w:t xml:space="preserve">, who coupled disease- and gene-specific autoencoder pretraining with a 50-member deep ensemble for </w:t>
      </w:r>
      <w:r w:rsidRPr="00815523">
        <w:rPr>
          <w:i/>
          <w:iCs/>
          <w:szCs w:val="20"/>
        </w:rPr>
        <w:t>BRCA1</w:t>
      </w:r>
      <w:r w:rsidRPr="00CD0244">
        <w:rPr>
          <w:szCs w:val="20"/>
        </w:rPr>
        <w:t xml:space="preserve">, </w:t>
      </w:r>
      <w:r w:rsidRPr="00815523">
        <w:rPr>
          <w:i/>
          <w:iCs/>
          <w:szCs w:val="20"/>
        </w:rPr>
        <w:t>BRCA2</w:t>
      </w:r>
      <w:r w:rsidRPr="00CD0244">
        <w:rPr>
          <w:szCs w:val="20"/>
        </w:rPr>
        <w:t xml:space="preserve">, </w:t>
      </w:r>
      <w:r w:rsidRPr="00815523">
        <w:rPr>
          <w:i/>
          <w:iCs/>
          <w:szCs w:val="20"/>
        </w:rPr>
        <w:t>MLH1</w:t>
      </w:r>
      <w:r w:rsidRPr="00CD0244">
        <w:rPr>
          <w:szCs w:val="20"/>
        </w:rPr>
        <w:t xml:space="preserve">, and </w:t>
      </w:r>
      <w:r w:rsidRPr="00815523">
        <w:rPr>
          <w:i/>
          <w:iCs/>
          <w:szCs w:val="20"/>
        </w:rPr>
        <w:t>MSH2</w:t>
      </w:r>
      <w:r w:rsidRPr="00CD0244">
        <w:rPr>
          <w:szCs w:val="20"/>
        </w:rPr>
        <w:t xml:space="preserve">. However, their ensemble comprised independently fine-tuned instances of a shared deep neural network (DNN) architecture whose outputs were averaged. </w:t>
      </w:r>
      <w:proofErr w:type="spellStart"/>
      <w:r w:rsidRPr="00CD0244">
        <w:rPr>
          <w:szCs w:val="20"/>
        </w:rPr>
        <w:t>HBOCpred</w:t>
      </w:r>
      <w:proofErr w:type="spellEnd"/>
      <w:r w:rsidRPr="00CD0244">
        <w:rPr>
          <w:szCs w:val="20"/>
        </w:rPr>
        <w:t xml:space="preserve"> instead retains four algorithmically distinct learners and reports their </w:t>
      </w:r>
      <w:proofErr w:type="spellStart"/>
      <w:r w:rsidRPr="00CD0244">
        <w:rPr>
          <w:szCs w:val="20"/>
        </w:rPr>
        <w:t>thresholded</w:t>
      </w:r>
      <w:proofErr w:type="spellEnd"/>
      <w:r w:rsidRPr="00CD0244">
        <w:rPr>
          <w:szCs w:val="20"/>
        </w:rPr>
        <w:t xml:space="preserve"> vote pattern at the variant level.</w:t>
      </w:r>
      <w:r w:rsidRPr="00CD0244">
        <w:rPr>
          <w:rFonts w:eastAsia="SimSun"/>
          <w:szCs w:val="20"/>
          <w:lang w:eastAsia="zh-CN" w:bidi="ar-SA"/>
        </w:rPr>
        <w:t xml:space="preserve"> </w:t>
      </w:r>
      <w:r w:rsidRPr="00CD0244">
        <w:rPr>
          <w:szCs w:val="20"/>
        </w:rPr>
        <w:t xml:space="preserve">Meta-EA provides a second contrast: it derives gene-specific weighted combinations of existing variant-effect predictors using Evolutionary Action as the reference but returns a single composite score rather than component-level decisions </w:t>
      </w:r>
      <w:r w:rsidRPr="00CD0244">
        <w:rPr>
          <w:szCs w:val="20"/>
        </w:rPr>
        <w:fldChar w:fldCharType="begin" w:fldLock="1"/>
      </w:r>
      <w:r w:rsidR="0066732E">
        <w:rPr>
          <w:szCs w:val="20"/>
        </w:rPr>
        <w:instrText>ADDIN CSL_CITATION {"citationItems":[{"id":"ITEM-1","itemData":{"DOI":"10.1038/s41467-024-55066-4","ISSN":"2041-1723","abstract":"Computational methods for estimating missense variant impact suffer from inconsistent performance across genes, which poses a major challenge for their reliable use in clinical practice. While ensemble scores leverage multiple prediction methods to enhance consistency, the overrepresentation of certain genes in the training data can bias their outcomes. To address this critical limitation, we propose a gene-specific ensemble framework trained on reference computational annotations rather than on clinical or experimental data. Accordingly, we generate Meta-EA ensemble scores that achieve comparable performance to the top individual predicting method for each gene set. Incorporating the effects of splicing and the allele frequency of human polymorphisms further enhances the performance of Meta-EA, achieving an area under the receiver operating characteristic curve of 0.97 for both gene-balanced and imbalanced clinical assessments. In conclusion, this work leverages the wealth of existing variant impact prediction approaches to generate improved estimations for clinical interpretation.","author":[{"dropping-particle":"","family":"Katsonis","given":"Panagiotis","non-dropping-particle":"","parse-names":false,"suffix":""},{"dropping-particle":"","family":"Lichtarge","given":"Olivier","non-dropping-particle":"","parse-names":false,"suffix":""}],"container-title":"Nature Communications","id":"ITEM-1","issue":"1","issued":{"date-parts":[["2025"]]},"page":"159","title":"Meta-EA: a gene-specific combination of available computational tools for predicting missense variant effects","type":"article-journal","volume":"16"},"uris":["http://www.mendeley.com/documents/?uuid=17899eed-b43d-4e05-bf9c-14702059bacd"]}],"mendeley":{"formattedCitation":"[31]","plainTextFormattedCitation":"[31]","previouslyFormattedCitation":"[31]"},"properties":{"noteIndex":0},"schema":"https://github.com/citation-style-language/schema/raw/master/csl-citation.json"}</w:instrText>
      </w:r>
      <w:r w:rsidRPr="00CD0244">
        <w:rPr>
          <w:szCs w:val="20"/>
        </w:rPr>
        <w:fldChar w:fldCharType="separate"/>
      </w:r>
      <w:r w:rsidR="00A92055" w:rsidRPr="00A92055">
        <w:rPr>
          <w:noProof/>
          <w:szCs w:val="20"/>
        </w:rPr>
        <w:t>[31]</w:t>
      </w:r>
      <w:r w:rsidRPr="00CD0244">
        <w:rPr>
          <w:szCs w:val="20"/>
        </w:rPr>
        <w:fldChar w:fldCharType="end"/>
      </w:r>
      <w:r w:rsidRPr="00CD0244">
        <w:rPr>
          <w:szCs w:val="20"/>
        </w:rPr>
        <w:t xml:space="preserve">. Phenotype-based evaluation in UK Biobank likewise found marked variation among hereditary breast-cancer genes and limited utility for VUS-only analyses, underscoring that strong aggregate performance need not be uniform across genes </w:t>
      </w:r>
      <w:r w:rsidRPr="00CD0244">
        <w:rPr>
          <w:szCs w:val="20"/>
        </w:rPr>
        <w:fldChar w:fldCharType="begin" w:fldLock="1"/>
      </w:r>
      <w:r w:rsidR="0066732E">
        <w:rPr>
          <w:szCs w:val="20"/>
        </w:rPr>
        <w:instrText>ADDIN CSL_CITATION {"citationItems":[{"id":"ITEM-1","itemData":{"DOI":"10.1038/s41698-024-00710-x","ISSN":"2397-768X","abstract":"Deep learning models for predicting variant pathogenicity have not been thoroughly evaluated on real-world clinical phenotypes. Here, we apply state-of-the-art pathogenicity prediction models to hereditary breast cancer gene variants in UK Biobank participants. Model predictions for missense variants in BRCA1, BRCA2 and PALB2, but not ATM and CHEK2, were associated with breast cancer risk. However, deep learning models had limited clinical utility when specifically applied to variants of uncertain significance.","author":[{"dropping-particle":"","family":"Chow","given":"Ryan D","non-dropping-particle":"","parse-names":false,"suffix":""},{"dropping-particle":"","family":"Nathanson","given":"Katherine L","non-dropping-particle":"","parse-names":false,"suffix":""},{"dropping-particle":"","family":"Parikh","given":"Ravi B","non-dropping-particle":"","parse-names":false,"suffix":""}],"container-title":"npj Precision Oncology","id":"ITEM-1","issue":"1","issued":{"date-parts":[["2024"]]},"page":"235","title":"Phenotypic evaluation of deep learning models for classifying germline variant pathogenicity","type":"article-journal","volume":"8"},"uris":["http://www.mendeley.com/documents/?uuid=3b55b6c0-bbba-4279-8707-8e62fe0b2735"]}],"mendeley":{"formattedCitation":"[32]","plainTextFormattedCitation":"[32]","previouslyFormattedCitation":"[32]"},"properties":{"noteIndex":0},"schema":"https://github.com/citation-style-language/schema/raw/master/csl-citation.json"}</w:instrText>
      </w:r>
      <w:r w:rsidRPr="00CD0244">
        <w:rPr>
          <w:szCs w:val="20"/>
        </w:rPr>
        <w:fldChar w:fldCharType="separate"/>
      </w:r>
      <w:r w:rsidR="00A92055" w:rsidRPr="00A92055">
        <w:rPr>
          <w:noProof/>
          <w:szCs w:val="20"/>
        </w:rPr>
        <w:t>[32]</w:t>
      </w:r>
      <w:r w:rsidRPr="00CD0244">
        <w:rPr>
          <w:szCs w:val="20"/>
        </w:rPr>
        <w:fldChar w:fldCharType="end"/>
      </w:r>
      <w:r w:rsidRPr="00CD0244">
        <w:rPr>
          <w:szCs w:val="20"/>
        </w:rPr>
        <w:t>.</w:t>
      </w:r>
    </w:p>
    <w:p w14:paraId="55F01E1C" w14:textId="77777777" w:rsidR="00337C15" w:rsidRDefault="0061774F" w:rsidP="00337C15">
      <w:pPr>
        <w:pStyle w:val="MDPI31text"/>
        <w:rPr>
          <w:szCs w:val="20"/>
        </w:rPr>
      </w:pPr>
      <w:r w:rsidRPr="00CD0244">
        <w:rPr>
          <w:szCs w:val="20"/>
        </w:rPr>
        <w:t xml:space="preserve"> Relative to hard voting alone </w:t>
      </w:r>
      <w:r w:rsidRPr="00CD0244">
        <w:rPr>
          <w:szCs w:val="20"/>
        </w:rPr>
        <w:fldChar w:fldCharType="begin" w:fldLock="1"/>
      </w:r>
      <w:r w:rsidR="0066732E">
        <w:rPr>
          <w:szCs w:val="20"/>
        </w:rPr>
        <w:instrText>ADDIN CSL_CITATION {"citationItems":[{"id":"ITEM-1","itemData":{"DOI":"10.38016/jista.1501164","ISSN":"2651-3927","abstract":"Amaç: MEFV geninde bilinen sınırlı sayıda patojenik varyant bulunmaktadır. İn siliko araçlar, birçok MEFV gen varyantını sınıflandıramamaktadır. Bu nedenle, yeni yaklaşımların uygulanması gerekmektedir. Sert oylama sınıflandırıcıları ve sağlam doğrulama teknikleri sınıflandırma için kullanılabilir; ancak çift sayı sınıflandırması doğru bir şekilde yapılamamaktadır. Amacımız, hem çift sayı sınıflandırma sorununu çözmek hem de küçük veri setleri kullanarak MEFV gen varyantı tahmin doğruluğunu artırmak için yeni bir strateji geliştirmektir.Yöntem: İlk olarak model için optimal sayıda hesaplama aracını belirledik. Daha sonra, belirlenen araçlar kullanılarak MEFV gen varyantlarını içeren eğitim veri setinde sekiz farklı makine öğrenme algoritması uygulandı. Eğitim ve doğrulama veri setinin kullanımıyla, modifiye edilmiş sert oylama makine öğrenme algoritmalarının uygulanmasına başlandı. Bundan sonra, tahmin sonuçları ile mevcut algoritmalar ve çalışmalar arasında karşılaştırmalı bir analiz gerçekleştirildi. Son olarak, gen ve protein düzeyinde değerlendirme yapılarak hotspot bölgeler belirlendi.Bulgular: Topluluk sınıflandırıcısı, ortalama ROC AUC puanlarının %88 olduğunu gösterdi ve modifiye edilmiş sert oylama sınıflandırıcı yöntemi ile bilinen tüm varyantları %82 doğrulukla sınıflandırdı. Bu oran, hem yumuşak (%75) hem de sert oylama sınıflandırıcı (%70) yöntemlerinden daha yüksektir. Tüm varyantların kolektif değerlendirilmesi, LP varyantlarının, LB varyantlarına göre alanlarda yaklaşık 2,5 kat daha yaygın olduğunu ortaya koymuştur (χ2:13.574, p  &amp;amp;lt; 0.001, OR: 2.509 [1.532-4.132]).Sonuç: MEFV gen mutasyonlarının klinik sonuçlarıyla ilgili bilgi yetersizliği göz önüne alındığında, modifiye edilmiş sert oylama sınıflandırıcı yaklaşımını kullanmak, hesaplama araçlarının sınıflandırma doğruluğunu artırmak için küçük örneklemlerde makul bir yöntem olabilir.\nCR  - Accetturo, M. et al. (2020) ‘Improvement of MEFV gene variants classification to aid treatment decision making in familial Mediterranean fever.’, Rheumatology (Oxford, England), 59(4), pp. 754–761. Available at: https://doi.org/10.1093/rheumatology/kez332.\nCR  - Accetturo, M., Bartolomeo, N. and Stella, A. (2020) ‘In-silico Analysis of NF1 Missense Variants in ClinVar: Translating Variant Predictions into Variant Interpretation and Classification.’, International journal of molecular sciences, 21(3). Available at: https://doi.org/10.3390/ijms21030721.\nCR  - Acharjee, A. et al. (2020) ‘A random …","author":[{"dropping-particle":"","family":"Alay","given":"Tarık","non-dropping-particle":"","parse-names":false,"suffix":""},{"dropping-particle":"","family":"Demir","given":"İbrahim","non-dropping-particle":"","parse-names":false,"suffix":""},{"dropping-particle":"","family":"Kirisci","given":"Murat","non-dropping-particle":"","parse-names":false,"suffix":""}],"container-title":"Journal of Intelligent Systems: Theory and Applications","id":"ITEM-1","issue":"1","issued":{"date-parts":[["2025"]]},"language":"en","page":"35-46","publisher":"Özer UYGUN WT  - DergiPark","title":"Modified Hard Voting Classifier Implementation on MEFV Gene Variants Increases in Silico Tool Performance: A Novel Approach for Small Sample Size TT  - MEFY Gen Varyantlarında Modifiye Edilmiş Sert Oylama Sınıflandırıcısı Uygulaması, In-Silico Araç Perfor","type":"article-journal","volume":"8"},"uris":["http://www.mendeley.com/documents/?uuid=82d8d014-019d-499a-9daa-bb82c1150292"]}],"mendeley":{"formattedCitation":"[33]","plainTextFormattedCitation":"[33]","previouslyFormattedCitation":"[33]"},"properties":{"noteIndex":0},"schema":"https://github.com/citation-style-language/schema/raw/master/csl-citation.json"}</w:instrText>
      </w:r>
      <w:r w:rsidRPr="00CD0244">
        <w:rPr>
          <w:szCs w:val="20"/>
        </w:rPr>
        <w:fldChar w:fldCharType="separate"/>
      </w:r>
      <w:r w:rsidR="00A92055" w:rsidRPr="00A92055">
        <w:rPr>
          <w:noProof/>
          <w:szCs w:val="20"/>
        </w:rPr>
        <w:t>[33]</w:t>
      </w:r>
      <w:r w:rsidRPr="00CD0244">
        <w:rPr>
          <w:szCs w:val="20"/>
        </w:rPr>
        <w:fldChar w:fldCharType="end"/>
      </w:r>
      <w:r w:rsidRPr="00CD0244">
        <w:rPr>
          <w:szCs w:val="20"/>
        </w:rPr>
        <w:t xml:space="preserve">, </w:t>
      </w:r>
      <w:r w:rsidR="00C87637" w:rsidRPr="00C87637">
        <w:rPr>
          <w:szCs w:val="20"/>
        </w:rPr>
        <w:t xml:space="preserve">S_MAC provides a continuous ranking score, allowing variants with the same vote count or categorical output to be </w:t>
      </w:r>
      <w:proofErr w:type="spellStart"/>
      <w:r w:rsidR="00C87637" w:rsidRPr="00C87637">
        <w:rPr>
          <w:szCs w:val="20"/>
        </w:rPr>
        <w:t>prioritised</w:t>
      </w:r>
      <w:proofErr w:type="spellEnd"/>
      <w:r w:rsidR="00C87637" w:rsidRPr="00C87637">
        <w:rPr>
          <w:szCs w:val="20"/>
        </w:rPr>
        <w:t xml:space="preserve"> for expert review and functional follow-up. The four </w:t>
      </w:r>
      <w:proofErr w:type="spellStart"/>
      <w:r w:rsidR="00C87637" w:rsidRPr="00C87637">
        <w:rPr>
          <w:szCs w:val="20"/>
        </w:rPr>
        <w:t>thresholded</w:t>
      </w:r>
      <w:proofErr w:type="spellEnd"/>
      <w:r w:rsidR="00C87637" w:rsidRPr="00C87637">
        <w:rPr>
          <w:szCs w:val="20"/>
        </w:rPr>
        <w:t xml:space="preserve"> learner decisions define the V0–V4 audit states, whereas S_MAC, obtained through logistic meta-calibration of Mean4, is reported alongside the vote pattern and neither contributes an additional vote nor alters the context-specific mapping. This dual-output design keeps learner-level disagreement visible while adding ranking resolution beyond vote count alone. Because S_MAC was calibrated within the </w:t>
      </w:r>
      <w:proofErr w:type="spellStart"/>
      <w:r w:rsidR="00C87637" w:rsidRPr="00C87637">
        <w:rPr>
          <w:szCs w:val="20"/>
        </w:rPr>
        <w:t>HBOCpred</w:t>
      </w:r>
      <w:proofErr w:type="spellEnd"/>
      <w:r w:rsidR="00C87637" w:rsidRPr="00C87637">
        <w:rPr>
          <w:szCs w:val="20"/>
        </w:rPr>
        <w:t xml:space="preserve"> anchor framework, it is not a clinical posterior probability or a direct PP3/BP4 evidence threshold </w:t>
      </w:r>
      <w:r w:rsidRPr="00CD0244">
        <w:rPr>
          <w:szCs w:val="20"/>
        </w:rPr>
        <w:fldChar w:fldCharType="begin" w:fldLock="1"/>
      </w:r>
      <w:r w:rsidR="0066732E">
        <w:rPr>
          <w:szCs w:val="20"/>
        </w:rPr>
        <w:instrText>ADDIN CSL_CITATION {"citationItems":[{"id":"ITEM-1","itemData":{"DOI":"https://doi.org/10.1016/j.gim.2026.102606","ISSN":"1098-3600","abstract":"Purpose Missense variants represent a large proportion of variants of uncertain significance (VUS) in clinical genetics. The ClinGen framework now enables quantitative use of in silico predictors for variant classification (PP3/BP4), but newly developed machine-learning-based tools such as AlphaMissense (AM) and PrimateAI-3D (PAI3D) have not been evaluated in this context using real-world clinical data. Methods We calibrated AM and PAI3D using ClinGen’s quantitative framework and assessed their performance alongside REVEL, a widely used meta-predictor, across three datasets: ClinVar_2023, ClinGen, and Columbia Diagnostic Exome Sequencing (CDEX). Predictive performance was evaluated using area under the curve (AUC), F1 scores, and classification impact on VUS. Results REVEL demonstrated the highest overall performance, particularly for autosomal recessive variants and autosomal dominant variants tolerant to loss-of-function. AM outperformed other tools for autosomal dominant variants in haploinsufficiency genes. Applying updated PP3/BP4 criteria to ClinGen VUS resulted in over 10% being upgraded to likely pathogenic and less than 3% downgraded to likely benign, with REVEL yielding the most LP upgrades and AM the most LB downgrades. Conclusion Our findings highlight the complementary strengths of AM, PAI3D, and REVEL under the ClinGen framework, supporting more accurate and mechanism-aware missense variant classification in clinical settings.","author":[{"dropping-particle":"","family":"Zhuo","given":"Xinming","non-dropping-particle":"","parse-names":false,"suffix":""},{"dropping-particle":"","family":"Bi","given":"Xin","non-dropping-particle":"","parse-names":false,"suffix":""},{"dropping-particle":"","family":"Aggarwal","given":"Vimla","non-dropping-particle":"","parse-names":false,"suffix":""},{"dropping-particle":"","family":"Liao","given":"Jun","non-dropping-particle":"","parse-names":false,"suffix":""}],"container-title":"Genetics in Medicine","id":"ITEM-1","issued":{"date-parts":[["2026"]]},"page":"102606","title":"Calibration and evaluation of machine-learning algorithms for missense variant classification under ACMG/ClinGen recommendations","type":"article-journal"},"uris":["http://www.mendeley.com/documents/?uuid=862bf665-c759-49e8-ae27-32240ca7bb03"]},{"id":"ITEM-2","itemData":{"DOI":"10.1016/j.ajhg.2022.10.013","ISSN":"1537-6605 (Electronic)","PMID":"36413997","abstract":"Recommendations from the American College of Medical Genetics and Genomics and  the Association for Molecular Pathology (ACMG/AMP) for interpreting sequence variants specify the use of computational predictors as \"supporting\" level of evidence for pathogenicity or benignity using criteria PP3 and BP4, respectively. However, score intervals defined by tool developers, and ACMG/AMP recommendations that require the consensus of multiple predictors, lack quantitative support. Previously, we described a probabilistic framework that quantified the strengths of evidence (supporting, moderate, strong, very strong) within ACMG/AMP recommendations. We have extended this framework to computational predictors and introduce a new standard that converts a tool's scores to PP3 and BP4 evidence strengths. Our approach is based on estimating the local positive predictive value and can calibrate any computational tool or other continuous-scale evidence on any variant type. We estimate thresholds (score intervals) corresponding to each strength of evidence for pathogenicity and benignity for thirteen missense variant interpretation tools, using carefully assembled independent data sets. Most tools achieved supporting evidence level for both pathogenic and benign classification using newly established thresholds. Multiple tools reached score thresholds justifying moderate and several reached strong evidence levels. One tool reached very strong evidence level for benign classification on some variants. Based on these findings, we provide recommendations for evidence-based revisions of the PP3 and BP4 ACMG/AMP criteria using individual tools and future assessment of computational methods for clinical interpretation.","author":[{"dropping-particle":"","family":"Pejaver","given":"Vikas","non-dropping-particle":"","parse-names":false,"suffix":""},{"dropping-particle":"","family":"Byrne","given":"Alicia B","non-dropping-particle":"","parse-names":false,"suffix":""},{"dropping-particle":"","family":"Feng","given":"Bing-Jian","non-dropping-particle":"","parse-names":false,"suffix":""},{"dropping-particle":"","family":"Pagel","given":"Kymberleigh A","non-dropping-particle":"","parse-names":false,"suffix":""},{"dropping-particle":"","family":"Mooney","given":"Sean D","non-dropping-particle":"","parse-names":false,"suffix":""},{"dropping-particle":"","family":"Karchin","given":"Rachel","non-dropping-particle":"","parse-names":false,"suffix":""},{"dropping-particle":"","family":"O'Donnell-Luria","given":"Anne","non-dropping-particle":"","parse-names":false,"suffix":""},{"dropping-particle":"","family":"Harrison","given":"Steven M","non-dropping-particle":"","parse-names":false,"suffix":""},{"dropping-particle":"V","family":"Tavtigian","given":"Sean","non-dropping-particle":"","parse-names":false,"suffix":""},{"dropping-particle":"","family":"Greenblatt","given":"Marc S","non-dropping-particle":"","parse-names":false,"suffix":""},{"dropping-particle":"","family":"Biesecker","given":"Leslie G","non-dropping-particle":"","parse-names":false,"suffix":""},{"dropping-particle":"","family":"Radivojac","given":"Predrag","non-dropping-particle":"","parse-names":false,"suffix":""},{"dropping-particle":"","family":"Brenner","given":"Steven E","non-dropping-particle":"","parse-names":false,"suffix":""}],"container-title":"American journal of human genetics","id":"ITEM-2","issue":"12","issued":{"date-parts":[["2022","12"]]},"language":"eng","page":"2163-2177","publisher-place":"United States","title":"Calibration of computational tools for missense variant pathogenicity  classification and ClinGen recommendations for PP3/BP4 criteria.","type":"article-journal","volume":"109"},"uris":["http://www.mendeley.com/documents/?uuid=c68bffae-4eb0-4baf-9b85-9e272beaa0c7"]},{"id":"ITEM-3","itemData":{"DOI":"10.1016/j.gim.2021.11.018","ISSN":"1530-0366 (Electronic)","PMID":"34955381","abstract":"PURPOSE: According to the American College of Medical Genetics and  Genomics/Association of Medical Pathology (ACMG/AMP) guidelines, in silico evidence is applied at the supporting strength level for pathogenic (PP3) and benign (BP4) evidence. Although PP3 is commonly used, less is known about the effect of these criteria on variant classification outcomes. METHODS: A total of 727 missense variants curated by Clinical Genome Resource expert groups were analyzed to determine how often PP3 and BP4 were applied and their impact on variant classification. The ACMG/AMP categorical system of variant classification was compared with a quantitative point-based system. The pathogenicity likelihood ratios of REVEL, VEST, FATHMM, and MPC were calibrated using a gold standard set of 237 pathogenic and benign variants (classified independent of the PP3/BP4 criteria). RESULTS: The PP3 and BP4 criteria were applied by Variant Curation Expert Panels to 55% of missense variants. Application of those criteria changed the classification of 15% of missense variants for which either criterion was applied. The point-based system resolved borderline classifications. REVEL and VEST performed best at a strength level consistent with moderate evidence. CONCLUSION: We show that in silico criteria are commonly applied and often affect the final variant classifications. When appropriate thresholds for in silico predictors are established, our results show that PP3 and BP4 can be used at a moderate strength.","author":[{"dropping-particle":"","family":"Wilcox","given":"Emma H","non-dropping-particle":"","parse-names":false,"suffix":""},{"dropping-particle":"","family":"Sarmady","given":"Mahdi","non-dropping-particle":"","parse-names":false,"suffix":""},{"dropping-particle":"","family":"Wulf","given":"Bryan","non-dropping-particle":"","parse-names":false,"suffix":""},{"dropping-particle":"","family":"Wright","given":"Matt W","non-dropping-particle":"","parse-names":false,"suffix":""},{"dropping-particle":"","family":"Rehm","given":"Heidi L","non-dropping-particle":"","parse-names":false,"suffix":""},{"dropping-particle":"","family":"Biesecker","given":"Leslie G","non-dropping-particle":"","parse-names":false,"suffix":""},{"dropping-particle":"","family":"Abou Tayoun","given":"Ahmad N","non-dropping-particle":"","parse-names":false,"suffix":""}],"container-title":"Genetics in medicine : official journal of the American College of Medical  Genetics","id":"ITEM-3","issue":"4","issued":{"date-parts":[["2022","4"]]},"language":"eng","page":"924-930","publisher-place":"United States","title":"Evaluating the impact of in silico predictors on clinical variant classification.","type":"article-journal","volume":"24"},"uris":["http://www.mendeley.com/documents/?uuid=0912a304-605c-41ff-b0b3-79972f929534"]}],"mendeley":{"formattedCitation":"[18,19,34]","plainTextFormattedCitation":"[18,19,34]","previouslyFormattedCitation":"[18,19,34]"},"properties":{"noteIndex":0},"schema":"https://github.com/citation-style-language/schema/raw/master/csl-citation.json"}</w:instrText>
      </w:r>
      <w:r w:rsidRPr="00CD0244">
        <w:rPr>
          <w:szCs w:val="20"/>
        </w:rPr>
        <w:fldChar w:fldCharType="separate"/>
      </w:r>
      <w:r w:rsidR="00A92055" w:rsidRPr="00A92055">
        <w:rPr>
          <w:noProof/>
          <w:szCs w:val="20"/>
        </w:rPr>
        <w:t>[18,19,34]</w:t>
      </w:r>
      <w:r w:rsidRPr="00CD0244">
        <w:rPr>
          <w:szCs w:val="20"/>
        </w:rPr>
        <w:fldChar w:fldCharType="end"/>
      </w:r>
      <w:r w:rsidRPr="00CD0244">
        <w:rPr>
          <w:szCs w:val="20"/>
        </w:rPr>
        <w:t xml:space="preserve">. </w:t>
      </w:r>
    </w:p>
    <w:p w14:paraId="18FF16E9" w14:textId="77777777" w:rsidR="009F6ADD" w:rsidRPr="00402B40" w:rsidRDefault="00AA0C73" w:rsidP="009F6ADD">
      <w:pPr>
        <w:pStyle w:val="MDPI31text"/>
      </w:pPr>
      <w:proofErr w:type="gramStart"/>
      <w:r w:rsidRPr="00AA0C73">
        <w:t>A number of</w:t>
      </w:r>
      <w:proofErr w:type="gramEnd"/>
      <w:r w:rsidRPr="00AA0C73">
        <w:t xml:space="preserve"> limitations should be taken into consideration when interpreting these results. While residual circularity cannot be ruled out because multiple retained predictors were developed or calibrated using overlapping clinical variant datasets, the use of curated public resources may introduce ascertainment bias and gene-specific imbalances in the available evidence. As a result, the strong overall performance might not apply consistently to all genes, especially those with few labeled or external variants. Furthermore, even though all application records satisfied the predetermined completeness requirement, 17 of the 25 final predictors displayed absolute standardized mean differences between the anchor and unresolved application datasets of at least 0.20, indicating a distribution shift. Instead of being independently fitted or prospectively specified, the three-output rule and unresolved-zone display were determined deterministically from the current V-states, necessitating external validation. Additionally, rather than being independent biological evidence, the four votes should be viewed as correlated algorithmic outputs; even unanimous agreement does not increase the strength of ACMG/AMP evidence. Lastly, </w:t>
      </w:r>
      <w:proofErr w:type="spellStart"/>
      <w:r w:rsidRPr="00AA0C73">
        <w:t>HBOCpred</w:t>
      </w:r>
      <w:proofErr w:type="spellEnd"/>
      <w:r w:rsidRPr="00AA0C73">
        <w:t xml:space="preserve"> does not include phenotype, segregation, tumor characteristics, ancestry, or functional information; it is restricted to missense variants</w:t>
      </w:r>
      <w:r w:rsidR="009F6ADD" w:rsidRPr="00402B40">
        <w:t>.</w:t>
      </w:r>
    </w:p>
    <w:p w14:paraId="0D1EB932" w14:textId="77777777" w:rsidR="00D55618" w:rsidRPr="002D1055" w:rsidRDefault="00D55618" w:rsidP="002D1055">
      <w:pPr>
        <w:pStyle w:val="MDPI31text"/>
        <w:rPr>
          <w:szCs w:val="20"/>
        </w:rPr>
      </w:pPr>
      <w:r w:rsidRPr="00D55618">
        <w:rPr>
          <w:szCs w:val="20"/>
        </w:rPr>
        <w:t xml:space="preserve">In conclusion, </w:t>
      </w:r>
      <w:proofErr w:type="spellStart"/>
      <w:r w:rsidRPr="00D55618">
        <w:rPr>
          <w:szCs w:val="20"/>
        </w:rPr>
        <w:t>HBOCpred</w:t>
      </w:r>
      <w:proofErr w:type="spellEnd"/>
      <w:r w:rsidRPr="00D55618">
        <w:rPr>
          <w:szCs w:val="20"/>
        </w:rPr>
        <w:t xml:space="preserve"> provides an auditable, disagreement-aware framework that separates three-output reporting from </w:t>
      </w:r>
      <w:proofErr w:type="spellStart"/>
      <w:r w:rsidRPr="00D55618">
        <w:rPr>
          <w:szCs w:val="20"/>
        </w:rPr>
        <w:t>prioritisation</w:t>
      </w:r>
      <w:proofErr w:type="spellEnd"/>
      <w:r w:rsidRPr="00D55618">
        <w:rPr>
          <w:szCs w:val="20"/>
        </w:rPr>
        <w:t xml:space="preserve"> of already unresolved variants. Labelled internal and external records are reported as predicted B/LB at V0, Uncertain at V1–V3 or predicted LP/P at V4; the same states are displayed as Uncertain-low, Uncertain-mid and Uncertain-high only for unresolved application records. Exact V-state, learner identities and calibrated probabilities remain available for audit, while S_MAC provides continuous ranking without overriding disagreement. </w:t>
      </w:r>
      <w:proofErr w:type="spellStart"/>
      <w:r w:rsidRPr="00D55618">
        <w:rPr>
          <w:szCs w:val="20"/>
        </w:rPr>
        <w:t>HBOCpred</w:t>
      </w:r>
      <w:proofErr w:type="spellEnd"/>
      <w:r w:rsidRPr="00D55618">
        <w:rPr>
          <w:szCs w:val="20"/>
        </w:rPr>
        <w:t xml:space="preserve"> is intended for research </w:t>
      </w:r>
      <w:proofErr w:type="spellStart"/>
      <w:r w:rsidRPr="00D55618">
        <w:rPr>
          <w:szCs w:val="20"/>
        </w:rPr>
        <w:lastRenderedPageBreak/>
        <w:t>prioritisation</w:t>
      </w:r>
      <w:proofErr w:type="spellEnd"/>
      <w:r w:rsidRPr="00D55618">
        <w:rPr>
          <w:szCs w:val="20"/>
        </w:rPr>
        <w:t xml:space="preserve"> and should not be used as a stand-alone clinical classifier or to guide patient management.</w:t>
      </w:r>
    </w:p>
    <w:p w14:paraId="6EB370C1" w14:textId="77777777" w:rsidR="00083AA0" w:rsidRPr="00CD0244" w:rsidRDefault="00083AA0" w:rsidP="00CD0244">
      <w:pPr>
        <w:pStyle w:val="MDPI21heading1"/>
        <w:rPr>
          <w:szCs w:val="24"/>
        </w:rPr>
      </w:pPr>
      <w:r w:rsidRPr="00CD0244">
        <w:rPr>
          <w:szCs w:val="24"/>
        </w:rPr>
        <w:t>4. Materials and Methods</w:t>
      </w:r>
    </w:p>
    <w:p w14:paraId="74F981CA" w14:textId="77777777" w:rsidR="00083AA0" w:rsidRPr="00CD0244" w:rsidRDefault="00CD0244" w:rsidP="00CD0244">
      <w:pPr>
        <w:pStyle w:val="MDPI22heading2"/>
        <w:rPr>
          <w:szCs w:val="20"/>
        </w:rPr>
      </w:pPr>
      <w:r w:rsidRPr="00D55618">
        <w:rPr>
          <w:b/>
          <w:i w:val="0"/>
        </w:rPr>
        <w:t>4.1 Study design</w:t>
      </w:r>
    </w:p>
    <w:p w14:paraId="22F50EF5" w14:textId="77777777" w:rsidR="000C436E" w:rsidRPr="00A7390A" w:rsidRDefault="00000000" w:rsidP="005C23FA">
      <w:pPr>
        <w:ind w:left="2550" w:firstLine="510"/>
      </w:pPr>
      <w:proofErr w:type="spellStart"/>
      <w:r w:rsidRPr="00D55618">
        <w:t>HBOCpred</w:t>
      </w:r>
      <w:proofErr w:type="spellEnd"/>
      <w:r w:rsidRPr="00D55618">
        <w:t xml:space="preserve"> was developed as a variant-</w:t>
      </w:r>
      <w:proofErr w:type="gramStart"/>
      <w:r w:rsidRPr="00D55618">
        <w:t xml:space="preserve">level </w:t>
      </w:r>
      <w:r w:rsidRPr="00D55618">
        <w:rPr>
          <w:i/>
          <w:iCs/>
        </w:rPr>
        <w:t>in</w:t>
      </w:r>
      <w:proofErr w:type="gramEnd"/>
      <w:r w:rsidRPr="00D55618">
        <w:rPr>
          <w:i/>
          <w:iCs/>
        </w:rPr>
        <w:t xml:space="preserve"> silico</w:t>
      </w:r>
      <w:r w:rsidRPr="00D55618">
        <w:t xml:space="preserve"> framework for </w:t>
      </w:r>
      <w:proofErr w:type="spellStart"/>
      <w:r w:rsidRPr="00D55618">
        <w:t>prioritising</w:t>
      </w:r>
      <w:proofErr w:type="spellEnd"/>
      <w:r w:rsidRPr="00D55618">
        <w:t xml:space="preserve"> germline missense variants in hereditary breast and ovarian cancer susceptibility genes for research follow-up. The workflow comprised four stages. In stage 1, fixed benign/likely benign and likely pathogenic/pathogenic anchors were curated and kept separate from the unresolved application pool. In stage 2, the numerical feature matrix was assembled, with preprocessing and consensus feature selection performed within each training partition. In stage 3, a family-balanced four-learner ensemble was selected, calibrated and internally evaluated. In stage 4, the fitted preprocessing objects, learners, calibrators and thresholds were applied without refitting to unresolved records and to an external resource held apart </w:t>
      </w:r>
      <w:r w:rsidRPr="00A7390A">
        <w:t>from every step of model development.</w:t>
      </w:r>
    </w:p>
    <w:p w14:paraId="2E4B8820" w14:textId="77777777" w:rsidR="00340EED" w:rsidRDefault="00340EED" w:rsidP="005C23FA">
      <w:pPr>
        <w:ind w:left="2550" w:firstLine="510"/>
      </w:pPr>
      <w:proofErr w:type="spellStart"/>
      <w:r w:rsidRPr="00A7390A">
        <w:t>HBOCpred</w:t>
      </w:r>
      <w:proofErr w:type="spellEnd"/>
      <w:r w:rsidRPr="00A7390A">
        <w:t xml:space="preserve"> reports four calibrated learner probabilities</w:t>
      </w:r>
      <w:r w:rsidRPr="00340EED">
        <w:t xml:space="preserve"> and votes, the complete four-bit vote pattern, the corresponding V0–V4 state, S_MAC, and a completeness flag. For labelled internal and external records, V0 is reported as predicted B/LB, V1–V3 as Uncertain, and V4 as predicted LP/P. For unresolved application records, the same V-states are presented as Uncertain-low, Uncertain-mid, and Uncertain-high research-</w:t>
      </w:r>
      <w:proofErr w:type="spellStart"/>
      <w:r w:rsidRPr="00340EED">
        <w:t>prioritisation</w:t>
      </w:r>
      <w:proofErr w:type="spellEnd"/>
      <w:r w:rsidRPr="00340EED">
        <w:t xml:space="preserve"> zones.</w:t>
      </w:r>
    </w:p>
    <w:p w14:paraId="22B1F32B" w14:textId="77777777" w:rsidR="00666642" w:rsidRDefault="000C436E">
      <w:pPr>
        <w:jc w:val="center"/>
      </w:pPr>
      <w:r>
        <w:rPr>
          <w:noProof/>
        </w:rPr>
        <w:lastRenderedPageBreak/>
        <w:drawing>
          <wp:inline distT="0" distB="0" distL="0" distR="0" wp14:anchorId="29C23FE4" wp14:editId="4D54099B">
            <wp:extent cx="6645910" cy="5698490"/>
            <wp:effectExtent l="0" t="0" r="2540" b="0"/>
            <wp:docPr id="26614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5698490"/>
                    </a:xfrm>
                    <a:prstGeom prst="rect">
                      <a:avLst/>
                    </a:prstGeom>
                    <a:noFill/>
                    <a:ln>
                      <a:noFill/>
                    </a:ln>
                  </pic:spPr>
                </pic:pic>
              </a:graphicData>
            </a:graphic>
          </wp:inline>
        </w:drawing>
      </w:r>
    </w:p>
    <w:p w14:paraId="1FCA6D4C" w14:textId="77777777" w:rsidR="00666642" w:rsidRDefault="00000000" w:rsidP="00D55618">
      <w:pPr>
        <w:ind w:left="2040" w:firstLine="510"/>
      </w:pPr>
      <w:r w:rsidRPr="009F6ADD">
        <w:rPr>
          <w:b/>
          <w:bCs/>
        </w:rPr>
        <w:t>Figure 1.</w:t>
      </w:r>
      <w:r w:rsidRPr="009F6ADD">
        <w:t xml:space="preserve"> Model-development and context-specific output workflow. (A) Model development. A total of 2,160 </w:t>
      </w:r>
      <w:proofErr w:type="spellStart"/>
      <w:r w:rsidRPr="009F6ADD">
        <w:t>ClinVar</w:t>
      </w:r>
      <w:proofErr w:type="spellEnd"/>
      <w:r w:rsidRPr="009F6ADD">
        <w:t xml:space="preserve"> anchors entered fold-local preprocessing and consensus feature selection, which reduced 93 eligible predictors to 25, followed by repeated nested cross-validation and family-balanced learner selection. Tuning, calibration and learner thresholds were estimated within training partitions only. (B) Locked scoring and reporting. Every evaluable record retains four calibrated probabilities, the four-bit vote vector, V0–V4 and S_MAC. Labelled internal and external records are reported as predicted B/LB at V0, Uncertain at V1–V3 and predicted LP/P at V4. The 43,679 unresolved application records instead use Uncertain-low, Uncertain-mid and Uncertain-high zones. The latter labels are not applied to known or external records and do not constitute ACMG/AMP classes or clinical posterior probabilities.</w:t>
      </w:r>
    </w:p>
    <w:p w14:paraId="33CFCAB0" w14:textId="77777777" w:rsidR="00083AA0" w:rsidRPr="00CD0244" w:rsidRDefault="00CD0244" w:rsidP="00CD0244">
      <w:pPr>
        <w:pStyle w:val="MDPI22heading2"/>
        <w:spacing w:before="240"/>
        <w:rPr>
          <w:szCs w:val="20"/>
        </w:rPr>
      </w:pPr>
      <w:r w:rsidRPr="009F6ADD">
        <w:t>4.2 HBOCpred algorithm</w:t>
      </w:r>
    </w:p>
    <w:p w14:paraId="459F7FC1" w14:textId="77777777" w:rsidR="00083AA0" w:rsidRPr="009F6ADD" w:rsidRDefault="00083AA0" w:rsidP="00CD0244">
      <w:pPr>
        <w:pStyle w:val="MDPI23heading3"/>
        <w:spacing w:before="0" w:after="0"/>
        <w:ind w:firstLine="425"/>
        <w:jc w:val="both"/>
        <w:outlineLvl w:val="9"/>
        <w:rPr>
          <w:b/>
          <w:bCs/>
          <w:szCs w:val="20"/>
        </w:rPr>
      </w:pPr>
      <w:bookmarkStart w:id="0" w:name="family-wise-learner-selection"/>
      <w:r w:rsidRPr="009F6ADD">
        <w:rPr>
          <w:rFonts w:eastAsia="Calibri"/>
          <w:b/>
          <w:bCs/>
          <w:szCs w:val="20"/>
        </w:rPr>
        <w:t>Family-wise learner selection</w:t>
      </w:r>
    </w:p>
    <w:p w14:paraId="12F4E356" w14:textId="77777777" w:rsidR="00083AA0" w:rsidRPr="00CD0244" w:rsidRDefault="00083AA0" w:rsidP="00CD0244">
      <w:pPr>
        <w:pStyle w:val="MDPI31text"/>
        <w:rPr>
          <w:szCs w:val="20"/>
        </w:rPr>
      </w:pPr>
      <w:r w:rsidRPr="00CD0244">
        <w:rPr>
          <w:rFonts w:eastAsia="Calibri"/>
          <w:szCs w:val="20"/>
        </w:rPr>
        <w:t>Throughout, LP/P is coded as 1 and B/LB as 0.</w:t>
      </w:r>
    </w:p>
    <w:p w14:paraId="57C21403" w14:textId="77777777" w:rsidR="00083AA0" w:rsidRPr="00CD0244" w:rsidRDefault="00083AA0" w:rsidP="00083AA0">
      <w:pPr>
        <w:pStyle w:val="MDPI31text"/>
      </w:pPr>
      <w:r w:rsidRPr="00CD0244">
        <w:rPr>
          <w:rFonts w:eastAsia="Calibri"/>
        </w:rPr>
        <w:t xml:space="preserve">Let </w:t>
      </w:r>
      <m:oMath>
        <m:r>
          <m:rPr>
            <m:scr m:val="script"/>
            <m:sty m:val="p"/>
          </m:rPr>
          <w:rPr>
            <w:rFonts w:ascii="Cambria Math" w:hAnsi="Cambria Math"/>
          </w:rPr>
          <m:t>C</m:t>
        </m:r>
      </m:oMath>
      <w:r w:rsidRPr="00CD0244">
        <w:rPr>
          <w:rFonts w:eastAsia="Calibri"/>
        </w:rPr>
        <w:t xml:space="preserve">, </w:t>
      </w:r>
      <m:oMath>
        <m:r>
          <m:rPr>
            <m:scr m:val="script"/>
            <m:sty m:val="p"/>
          </m:rPr>
          <w:rPr>
            <w:rFonts w:ascii="Cambria Math" w:hAnsi="Cambria Math"/>
          </w:rPr>
          <m:t>B</m:t>
        </m:r>
      </m:oMath>
      <w:r w:rsidRPr="00CD0244">
        <w:rPr>
          <w:rFonts w:eastAsia="Calibri"/>
        </w:rPr>
        <w:t xml:space="preserve"> and </w:t>
      </w:r>
      <m:oMath>
        <m:r>
          <m:rPr>
            <m:scr m:val="script"/>
            <m:sty m:val="p"/>
          </m:rPr>
          <w:rPr>
            <w:rFonts w:ascii="Cambria Math" w:hAnsi="Cambria Math"/>
          </w:rPr>
          <m:t>G</m:t>
        </m:r>
      </m:oMath>
      <w:r w:rsidRPr="00CD0244">
        <w:rPr>
          <w:rFonts w:eastAsia="Calibri"/>
        </w:rPr>
        <w:t xml:space="preserve"> denote the classical, bagging and boosting candidate families. For learner </w:t>
      </w:r>
      <m:oMath>
        <m:r>
          <w:rPr>
            <w:rFonts w:ascii="Cambria Math" w:hAnsi="Cambria Math"/>
          </w:rPr>
          <m:t>m</m:t>
        </m:r>
      </m:oMath>
      <w:r w:rsidRPr="00CD0244">
        <w:rPr>
          <w:rFonts w:eastAsia="Calibri"/>
        </w:rPr>
        <w:t>, define the cross-validated ranking tuple</w:t>
      </w:r>
    </w:p>
    <w:p w14:paraId="4B8692A7"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m</m:t>
              </m:r>
            </m:sub>
          </m:sSub>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bar>
                    <m:barPr>
                      <m:pos m:val="top"/>
                      <m:ctrlPr>
                        <w:rPr>
                          <w:rFonts w:ascii="Cambria Math" w:hAnsi="Cambria Math"/>
                          <w:sz w:val="24"/>
                        </w:rPr>
                      </m:ctrlPr>
                    </m:barPr>
                    <m:e>
                      <m:r>
                        <m:rPr>
                          <m:sty m:val="p"/>
                        </m:rPr>
                        <w:rPr>
                          <w:rFonts w:ascii="Cambria Math" w:hAnsi="Cambria Math"/>
                          <w:sz w:val="24"/>
                        </w:rPr>
                        <m:t>BA</m:t>
                      </m:r>
                    </m:e>
                  </m:bar>
                </m:e>
                <m:sub>
                  <m:r>
                    <w:rPr>
                      <w:rFonts w:ascii="Cambria Math" w:hAnsi="Cambria Math"/>
                      <w:sz w:val="24"/>
                    </w:rPr>
                    <m:t>m</m:t>
                  </m:r>
                </m:sub>
              </m:sSub>
              <m:r>
                <m:rPr>
                  <m:sty m:val="p"/>
                </m:rPr>
                <w:rPr>
                  <w:rFonts w:ascii="Cambria Math" w:hAnsi="Cambria Math"/>
                  <w:sz w:val="24"/>
                </w:rPr>
                <m:t>,</m:t>
              </m:r>
              <m:sSub>
                <m:sSubPr>
                  <m:ctrlPr>
                    <w:rPr>
                      <w:rFonts w:ascii="Cambria Math" w:hAnsi="Cambria Math"/>
                      <w:sz w:val="24"/>
                    </w:rPr>
                  </m:ctrlPr>
                </m:sSubPr>
                <m:e>
                  <m:bar>
                    <m:barPr>
                      <m:pos m:val="top"/>
                      <m:ctrlPr>
                        <w:rPr>
                          <w:rFonts w:ascii="Cambria Math" w:hAnsi="Cambria Math"/>
                          <w:sz w:val="24"/>
                        </w:rPr>
                      </m:ctrlPr>
                    </m:barPr>
                    <m:e>
                      <m:r>
                        <m:rPr>
                          <m:sty m:val="p"/>
                        </m:rPr>
                        <w:rPr>
                          <w:rFonts w:ascii="Cambria Math" w:hAnsi="Cambria Math"/>
                          <w:sz w:val="24"/>
                        </w:rPr>
                        <m:t>AUROC</m:t>
                      </m:r>
                    </m:e>
                  </m:bar>
                </m:e>
                <m:sub>
                  <m:r>
                    <w:rPr>
                      <w:rFonts w:ascii="Cambria Math" w:hAnsi="Cambria Math"/>
                      <w:sz w:val="24"/>
                    </w:rPr>
                    <m:t>m</m:t>
                  </m:r>
                </m:sub>
              </m:sSub>
              <m:r>
                <m:rPr>
                  <m:sty m:val="p"/>
                </m:rPr>
                <w:rPr>
                  <w:rFonts w:ascii="Cambria Math" w:hAnsi="Cambria Math"/>
                  <w:sz w:val="24"/>
                </w:rPr>
                <m:t>,</m:t>
              </m:r>
              <m:sSub>
                <m:sSubPr>
                  <m:ctrlPr>
                    <w:rPr>
                      <w:rFonts w:ascii="Cambria Math" w:hAnsi="Cambria Math"/>
                      <w:sz w:val="24"/>
                    </w:rPr>
                  </m:ctrlPr>
                </m:sSubPr>
                <m:e>
                  <m:bar>
                    <m:barPr>
                      <m:pos m:val="top"/>
                      <m:ctrlPr>
                        <w:rPr>
                          <w:rFonts w:ascii="Cambria Math" w:hAnsi="Cambria Math"/>
                          <w:sz w:val="24"/>
                        </w:rPr>
                      </m:ctrlPr>
                    </m:barPr>
                    <m:e>
                      <m:r>
                        <m:rPr>
                          <m:sty m:val="p"/>
                        </m:rPr>
                        <w:rPr>
                          <w:rFonts w:ascii="Cambria Math" w:hAnsi="Cambria Math"/>
                          <w:sz w:val="24"/>
                        </w:rPr>
                        <m:t>AUPRC</m:t>
                      </m:r>
                    </m:e>
                  </m:bar>
                </m:e>
                <m:sub>
                  <m:r>
                    <w:rPr>
                      <w:rFonts w:ascii="Cambria Math" w:hAnsi="Cambria Math"/>
                      <w:sz w:val="24"/>
                    </w:rPr>
                    <m:t>m</m:t>
                  </m:r>
                </m:sub>
              </m:sSub>
            </m:e>
          </m:d>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m:rPr>
                  <m:sty m:val="p"/>
                </m:rPr>
                <w:rPr>
                  <w:rFonts w:ascii="Cambria Math" w:hAnsi="Cambria Math"/>
                  <w:sz w:val="24"/>
                </w:rPr>
                <m:t>BA</m:t>
              </m:r>
            </m:e>
            <m:sub>
              <m:r>
                <w:rPr>
                  <w:rFonts w:ascii="Cambria Math" w:hAnsi="Cambria Math"/>
                  <w:sz w:val="24"/>
                </w:rPr>
                <m:t>m</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TPR</m:t>
                  </m:r>
                </m:e>
                <m:sub>
                  <m:r>
                    <w:rPr>
                      <w:rFonts w:ascii="Cambria Math" w:hAnsi="Cambria Math"/>
                      <w:sz w:val="24"/>
                    </w:rPr>
                    <m:t>m</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TNR</m:t>
                  </m:r>
                </m:e>
                <m:sub>
                  <m:r>
                    <w:rPr>
                      <w:rFonts w:ascii="Cambria Math" w:hAnsi="Cambria Math"/>
                      <w:sz w:val="24"/>
                    </w:rPr>
                    <m:t>m</m:t>
                  </m:r>
                </m:sub>
              </m:sSub>
            </m:num>
            <m:den>
              <m:r>
                <w:rPr>
                  <w:rFonts w:ascii="Cambria Math" w:hAnsi="Cambria Math"/>
                  <w:sz w:val="24"/>
                </w:rPr>
                <m:t>2</m:t>
              </m:r>
            </m:den>
          </m:f>
          <m:r>
            <m:rPr>
              <m:sty m:val="p"/>
            </m:rPr>
            <w:rPr>
              <w:rFonts w:ascii="Cambria Math" w:hAnsi="Cambria Math"/>
              <w:sz w:val="24"/>
            </w:rPr>
            <m:t>.</m:t>
          </m:r>
          <m:r>
            <w:rPr>
              <w:rFonts w:ascii="Cambria Math" w:hAnsi="Cambria Math"/>
              <w:sz w:val="24"/>
            </w:rPr>
            <m:t>  </m:t>
          </m:r>
          <m:d>
            <m:dPr>
              <m:ctrlPr>
                <w:rPr>
                  <w:rFonts w:ascii="Cambria Math" w:hAnsi="Cambria Math"/>
                  <w:sz w:val="24"/>
                </w:rPr>
              </m:ctrlPr>
            </m:dPr>
            <m:e>
              <m:r>
                <w:rPr>
                  <w:rFonts w:ascii="Cambria Math" w:hAnsi="Cambria Math"/>
                  <w:sz w:val="24"/>
                </w:rPr>
                <m:t>1</m:t>
              </m:r>
            </m:e>
          </m:d>
        </m:oMath>
      </m:oMathPara>
    </w:p>
    <w:p w14:paraId="04B4E92A" w14:textId="77777777" w:rsidR="00083AA0" w:rsidRPr="00CD0244" w:rsidRDefault="00083AA0" w:rsidP="00083AA0">
      <w:pPr>
        <w:pStyle w:val="MDPI31text"/>
      </w:pPr>
      <w:r w:rsidRPr="00CD0244">
        <w:rPr>
          <w:rFonts w:eastAsia="Calibri"/>
        </w:rPr>
        <w:t xml:space="preserve">Learners are ranked lexicographically in decreasing order of </w:t>
      </w:r>
      <m:oMath>
        <m:sSub>
          <m:sSubPr>
            <m:ctrlPr>
              <w:rPr>
                <w:rFonts w:ascii="Cambria Math" w:hAnsi="Cambria Math"/>
              </w:rPr>
            </m:ctrlPr>
          </m:sSubPr>
          <m:e>
            <m:r>
              <m:rPr>
                <m:sty m:val="b"/>
              </m:rPr>
              <w:rPr>
                <w:rFonts w:ascii="Cambria Math" w:hAnsi="Cambria Math"/>
              </w:rPr>
              <m:t>R</m:t>
            </m:r>
          </m:e>
          <m:sub>
            <m:r>
              <w:rPr>
                <w:rFonts w:ascii="Cambria Math" w:hAnsi="Cambria Math"/>
              </w:rPr>
              <m:t>m</m:t>
            </m:r>
          </m:sub>
        </m:sSub>
      </m:oMath>
      <w:r w:rsidRPr="00CD0244">
        <w:rPr>
          <w:rFonts w:eastAsia="Calibri"/>
        </w:rPr>
        <w:t>. The family-balanced modified adaptive classifier (MAC) is</w:t>
      </w:r>
    </w:p>
    <w:p w14:paraId="2B61913A"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p>
            <m:sSupPr>
              <m:ctrlPr>
                <w:rPr>
                  <w:rFonts w:ascii="Cambria Math" w:hAnsi="Cambria Math"/>
                  <w:sz w:val="24"/>
                </w:rPr>
              </m:ctrlPr>
            </m:sSupPr>
            <m:e>
              <m:r>
                <m:rPr>
                  <m:scr m:val="script"/>
                  <m:sty m:val="p"/>
                </m:rPr>
                <w:rPr>
                  <w:rFonts w:ascii="Cambria Math" w:hAnsi="Cambria Math"/>
                  <w:sz w:val="24"/>
                </w:rPr>
                <m:t>M</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Top</m:t>
              </m:r>
            </m:e>
            <m:sub>
              <m:r>
                <w:rPr>
                  <w:rFonts w:ascii="Cambria Math" w:hAnsi="Cambria Math"/>
                  <w:sz w:val="24"/>
                </w:rPr>
                <m:t>2</m:t>
              </m:r>
            </m:sub>
          </m:sSub>
          <m:d>
            <m:dPr>
              <m:ctrlPr>
                <w:rPr>
                  <w:rFonts w:ascii="Cambria Math" w:hAnsi="Cambria Math"/>
                  <w:sz w:val="24"/>
                </w:rPr>
              </m:ctrlPr>
            </m:dPr>
            <m:e>
              <m:r>
                <m:rPr>
                  <m:scr m:val="script"/>
                  <m:sty m:val="p"/>
                </m:rPr>
                <w:rPr>
                  <w:rFonts w:ascii="Cambria Math" w:hAnsi="Cambria Math"/>
                  <w:sz w:val="24"/>
                </w:rPr>
                <m:t>C;</m:t>
              </m:r>
              <m:r>
                <m:rPr>
                  <m:sty m:val="b"/>
                </m:rPr>
                <w:rPr>
                  <w:rFonts w:ascii="Cambria Math" w:hAnsi="Cambria Math"/>
                  <w:sz w:val="24"/>
                </w:rPr>
                <m:t>R</m:t>
              </m:r>
            </m:e>
          </m:d>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Top</m:t>
              </m:r>
            </m:e>
            <m:sub>
              <m:r>
                <w:rPr>
                  <w:rFonts w:ascii="Cambria Math" w:hAnsi="Cambria Math"/>
                  <w:sz w:val="24"/>
                </w:rPr>
                <m:t>1</m:t>
              </m:r>
            </m:sub>
          </m:sSub>
          <m:d>
            <m:dPr>
              <m:ctrlPr>
                <w:rPr>
                  <w:rFonts w:ascii="Cambria Math" w:hAnsi="Cambria Math"/>
                  <w:sz w:val="24"/>
                </w:rPr>
              </m:ctrlPr>
            </m:dPr>
            <m:e>
              <m:r>
                <m:rPr>
                  <m:scr m:val="script"/>
                  <m:sty m:val="p"/>
                </m:rPr>
                <w:rPr>
                  <w:rFonts w:ascii="Cambria Math" w:hAnsi="Cambria Math"/>
                  <w:sz w:val="24"/>
                </w:rPr>
                <m:t>B;</m:t>
              </m:r>
              <m:r>
                <m:rPr>
                  <m:sty m:val="b"/>
                </m:rPr>
                <w:rPr>
                  <w:rFonts w:ascii="Cambria Math" w:hAnsi="Cambria Math"/>
                  <w:sz w:val="24"/>
                </w:rPr>
                <m:t>R</m:t>
              </m:r>
            </m:e>
          </m:d>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Top</m:t>
              </m:r>
            </m:e>
            <m:sub>
              <m:r>
                <w:rPr>
                  <w:rFonts w:ascii="Cambria Math" w:hAnsi="Cambria Math"/>
                  <w:sz w:val="24"/>
                </w:rPr>
                <m:t>1</m:t>
              </m:r>
            </m:sub>
          </m:sSub>
          <m:d>
            <m:dPr>
              <m:ctrlPr>
                <w:rPr>
                  <w:rFonts w:ascii="Cambria Math" w:hAnsi="Cambria Math"/>
                  <w:sz w:val="24"/>
                </w:rPr>
              </m:ctrlPr>
            </m:dPr>
            <m:e>
              <m:r>
                <m:rPr>
                  <m:scr m:val="script"/>
                  <m:sty m:val="p"/>
                </m:rPr>
                <w:rPr>
                  <w:rFonts w:ascii="Cambria Math" w:hAnsi="Cambria Math"/>
                  <w:sz w:val="24"/>
                </w:rPr>
                <m:t>G;</m:t>
              </m:r>
              <m:r>
                <m:rPr>
                  <m:sty m:val="b"/>
                </m:rPr>
                <w:rPr>
                  <w:rFonts w:ascii="Cambria Math" w:hAnsi="Cambria Math"/>
                  <w:sz w:val="24"/>
                </w:rPr>
                <m:t>R</m:t>
              </m:r>
            </m:e>
          </m:d>
          <m:r>
            <m:rPr>
              <m:sty m:val="p"/>
            </m:rPr>
            <w:rPr>
              <w:rFonts w:ascii="Cambria Math" w:hAnsi="Cambria Math"/>
              <w:sz w:val="24"/>
            </w:rPr>
            <m:t>,</m:t>
          </m:r>
          <m:r>
            <w:rPr>
              <w:rFonts w:ascii="Cambria Math" w:hAnsi="Cambria Math"/>
              <w:sz w:val="24"/>
            </w:rPr>
            <m:t>  </m:t>
          </m:r>
          <m:d>
            <m:dPr>
              <m:begChr m:val="|"/>
              <m:endChr m:val="|"/>
              <m:ctrlPr>
                <w:rPr>
                  <w:rFonts w:ascii="Cambria Math" w:hAnsi="Cambria Math"/>
                  <w:sz w:val="24"/>
                </w:rPr>
              </m:ctrlPr>
            </m:dPr>
            <m:e>
              <m:sSup>
                <m:sSupPr>
                  <m:ctrlPr>
                    <w:rPr>
                      <w:rFonts w:ascii="Cambria Math" w:hAnsi="Cambria Math"/>
                      <w:sz w:val="24"/>
                    </w:rPr>
                  </m:ctrlPr>
                </m:sSupPr>
                <m:e>
                  <m:r>
                    <m:rPr>
                      <m:scr m:val="script"/>
                      <m:sty m:val="p"/>
                    </m:rPr>
                    <w:rPr>
                      <w:rFonts w:ascii="Cambria Math" w:hAnsi="Cambria Math"/>
                      <w:sz w:val="24"/>
                    </w:rPr>
                    <m:t>M</m:t>
                  </m:r>
                </m:e>
                <m:sup>
                  <m:r>
                    <m:rPr>
                      <m:sty m:val="p"/>
                    </m:rPr>
                    <w:rPr>
                      <w:rFonts w:ascii="Cambria Math" w:hAnsi="Cambria Math"/>
                      <w:sz w:val="24"/>
                    </w:rPr>
                    <m:t>*</m:t>
                  </m:r>
                </m:sup>
              </m:sSup>
            </m:e>
          </m:d>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  </m:t>
          </m:r>
          <m:d>
            <m:dPr>
              <m:ctrlPr>
                <w:rPr>
                  <w:rFonts w:ascii="Cambria Math" w:hAnsi="Cambria Math"/>
                  <w:sz w:val="24"/>
                </w:rPr>
              </m:ctrlPr>
            </m:dPr>
            <m:e>
              <m:r>
                <w:rPr>
                  <w:rFonts w:ascii="Cambria Math" w:hAnsi="Cambria Math"/>
                  <w:sz w:val="24"/>
                </w:rPr>
                <m:t>2</m:t>
              </m:r>
            </m:e>
          </m:d>
        </m:oMath>
      </m:oMathPara>
    </w:p>
    <w:bookmarkEnd w:id="0"/>
    <w:p w14:paraId="590D34E9" w14:textId="77777777" w:rsidR="00083AA0" w:rsidRPr="00CD0244" w:rsidRDefault="00083AA0" w:rsidP="00CD0244">
      <w:pPr>
        <w:pStyle w:val="MDPI23heading3"/>
        <w:spacing w:before="0" w:after="0"/>
        <w:ind w:firstLine="425"/>
        <w:jc w:val="both"/>
        <w:outlineLvl w:val="9"/>
        <w:rPr>
          <w:szCs w:val="20"/>
        </w:rPr>
      </w:pPr>
      <w:r w:rsidRPr="00CD0244">
        <w:rPr>
          <w:rFonts w:eastAsia="Calibri"/>
          <w:szCs w:val="20"/>
        </w:rPr>
        <w:t>Calibrated adaptive voting</w:t>
      </w:r>
    </w:p>
    <w:p w14:paraId="6AB3BC7D" w14:textId="77777777" w:rsidR="00083AA0" w:rsidRPr="00CD0244" w:rsidRDefault="00083AA0" w:rsidP="00CD0244">
      <w:pPr>
        <w:pStyle w:val="MDPI31text"/>
        <w:rPr>
          <w:szCs w:val="20"/>
        </w:rPr>
      </w:pPr>
      <w:r w:rsidRPr="00CD0244">
        <w:rPr>
          <w:rFonts w:eastAsia="Calibri"/>
          <w:szCs w:val="20"/>
        </w:rPr>
        <w:t xml:space="preserve">For variant </w:t>
      </w:r>
      <m:oMath>
        <m:r>
          <w:rPr>
            <w:rFonts w:ascii="Cambria Math" w:hAnsi="Cambria Math"/>
          </w:rPr>
          <m:t>i</m:t>
        </m:r>
      </m:oMath>
      <w:r w:rsidRPr="00CD0244">
        <w:rPr>
          <w:rFonts w:eastAsia="Calibri"/>
          <w:szCs w:val="20"/>
        </w:rPr>
        <w:t xml:space="preserve"> and selected learner </w:t>
      </w:r>
      <m:oMath>
        <m:r>
          <w:rPr>
            <w:rFonts w:ascii="Cambria Math" w:hAnsi="Cambria Math"/>
          </w:rPr>
          <m:t>m</m:t>
        </m:r>
      </m:oMath>
      <w:r w:rsidRPr="00CD0244">
        <w:rPr>
          <w:rFonts w:eastAsia="Calibri"/>
          <w:szCs w:val="20"/>
        </w:rPr>
        <w:t xml:space="preserve">, let </w:t>
      </w:r>
      <m:oMath>
        <m:sSub>
          <m:sSubPr>
            <m:ctrlPr>
              <w:rPr>
                <w:rFonts w:ascii="Cambria Math" w:hAnsi="Cambria Math"/>
              </w:rPr>
            </m:ctrlPr>
          </m:sSubPr>
          <m:e>
            <m:r>
              <w:rPr>
                <w:rFonts w:ascii="Cambria Math" w:hAnsi="Cambria Math"/>
              </w:rPr>
              <m:t>r</m:t>
            </m:r>
          </m:e>
          <m:sub>
            <m:r>
              <w:rPr>
                <w:rFonts w:ascii="Cambria Math" w:hAnsi="Cambria Math"/>
              </w:rPr>
              <m:t>im</m:t>
            </m:r>
          </m:sub>
        </m:sSub>
      </m:oMath>
      <w:r w:rsidRPr="00CD0244">
        <w:rPr>
          <w:rFonts w:eastAsia="Calibri"/>
          <w:szCs w:val="20"/>
        </w:rPr>
        <w:t xml:space="preserve"> be the raw LP/P-directed probability. Development out-of-fold predictions are Platt-calibrated as</w:t>
      </w:r>
    </w:p>
    <w:p w14:paraId="0C52EC31"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sz w:val="24"/>
                </w:rPr>
              </m:ctrlPr>
            </m:sSubPr>
            <m:e>
              <m:r>
                <m:rPr>
                  <m:scr m:val="script"/>
                  <m:sty m:val="p"/>
                </m:rPr>
                <w:rPr>
                  <w:rFonts w:ascii="Cambria Math" w:hAnsi="Cambria Math"/>
                  <w:sz w:val="24"/>
                </w:rPr>
                <m:t>l</m:t>
              </m:r>
            </m:e>
            <m:sub>
              <m:r>
                <w:rPr>
                  <w:rFonts w:ascii="Cambria Math" w:hAnsi="Cambria Math"/>
                  <w:sz w:val="24"/>
                </w:rPr>
                <m:t>ε</m:t>
              </m:r>
            </m:sub>
          </m:sSub>
          <m:d>
            <m:dPr>
              <m:ctrlPr>
                <w:rPr>
                  <w:rFonts w:ascii="Cambria Math" w:hAnsi="Cambria Math"/>
                  <w:sz w:val="24"/>
                </w:rPr>
              </m:ctrlPr>
            </m:dPr>
            <m:e>
              <m:r>
                <w:rPr>
                  <w:rFonts w:ascii="Cambria Math" w:hAnsi="Cambria Math"/>
                  <w:sz w:val="24"/>
                </w:rPr>
                <m:t>r</m:t>
              </m:r>
            </m:e>
          </m:d>
          <m:r>
            <m:rPr>
              <m:sty m:val="p"/>
            </m:rPr>
            <w:rPr>
              <w:rFonts w:ascii="Cambria Math" w:hAnsi="Cambria Math"/>
              <w:sz w:val="24"/>
            </w:rPr>
            <m:t>=log</m:t>
          </m:r>
          <m:r>
            <w:rPr>
              <w:rFonts w:ascii="Cambria Math" w:hAnsi="Cambria Math"/>
              <w:sz w:val="24"/>
            </w:rPr>
            <m:t>​</m:t>
          </m:r>
          <m:d>
            <m:dPr>
              <m:begChr m:val="["/>
              <m:endChr m:val="]"/>
              <m:ctrlPr>
                <w:rPr>
                  <w:rFonts w:ascii="Cambria Math" w:hAnsi="Cambria Math"/>
                  <w:sz w:val="24"/>
                </w:rPr>
              </m:ctrlPr>
            </m:dPr>
            <m:e>
              <m:f>
                <m:fPr>
                  <m:ctrlPr>
                    <w:rPr>
                      <w:rFonts w:ascii="Cambria Math" w:hAnsi="Cambria Math"/>
                      <w:sz w:val="24"/>
                    </w:rPr>
                  </m:ctrlPr>
                </m:fPr>
                <m:num>
                  <m:r>
                    <m:rPr>
                      <m:sty m:val="p"/>
                    </m:rPr>
                    <w:rPr>
                      <w:rFonts w:ascii="Cambria Math" w:hAnsi="Cambria Math"/>
                      <w:sz w:val="24"/>
                    </w:rPr>
                    <m:t>clip</m:t>
                  </m:r>
                  <m:d>
                    <m:dPr>
                      <m:ctrlPr>
                        <w:rPr>
                          <w:rFonts w:ascii="Cambria Math" w:hAnsi="Cambria Math"/>
                          <w:sz w:val="24"/>
                        </w:rPr>
                      </m:ctrlPr>
                    </m:dPr>
                    <m:e>
                      <m:r>
                        <w:rPr>
                          <w:rFonts w:ascii="Cambria Math" w:hAnsi="Cambria Math"/>
                          <w:sz w:val="24"/>
                        </w:rPr>
                        <m:t>r</m:t>
                      </m:r>
                      <m:r>
                        <m:rPr>
                          <m:sty m:val="p"/>
                        </m:rPr>
                        <w:rPr>
                          <w:rFonts w:ascii="Cambria Math" w:hAnsi="Cambria Math"/>
                          <w:sz w:val="24"/>
                        </w:rPr>
                        <m:t>,</m:t>
                      </m:r>
                      <m:r>
                        <w:rPr>
                          <w:rFonts w:ascii="Cambria Math" w:hAnsi="Cambria Math"/>
                          <w:sz w:val="24"/>
                        </w:rPr>
                        <m:t>ε</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ε</m:t>
                      </m:r>
                    </m:e>
                  </m:d>
                </m:num>
                <m:den>
                  <m:r>
                    <w:rPr>
                      <w:rFonts w:ascii="Cambria Math" w:hAnsi="Cambria Math"/>
                      <w:sz w:val="24"/>
                    </w:rPr>
                    <m:t>1</m:t>
                  </m:r>
                  <m:r>
                    <m:rPr>
                      <m:sty m:val="p"/>
                    </m:rPr>
                    <w:rPr>
                      <w:rFonts w:ascii="Cambria Math" w:hAnsi="Cambria Math"/>
                      <w:sz w:val="24"/>
                    </w:rPr>
                    <m:t>-clip</m:t>
                  </m:r>
                  <m:d>
                    <m:dPr>
                      <m:ctrlPr>
                        <w:rPr>
                          <w:rFonts w:ascii="Cambria Math" w:hAnsi="Cambria Math"/>
                          <w:sz w:val="24"/>
                        </w:rPr>
                      </m:ctrlPr>
                    </m:dPr>
                    <m:e>
                      <m:r>
                        <w:rPr>
                          <w:rFonts w:ascii="Cambria Math" w:hAnsi="Cambria Math"/>
                          <w:sz w:val="24"/>
                        </w:rPr>
                        <m:t>r</m:t>
                      </m:r>
                      <m:r>
                        <m:rPr>
                          <m:sty m:val="p"/>
                        </m:rPr>
                        <w:rPr>
                          <w:rFonts w:ascii="Cambria Math" w:hAnsi="Cambria Math"/>
                          <w:sz w:val="24"/>
                        </w:rPr>
                        <m:t>,</m:t>
                      </m:r>
                      <m:r>
                        <w:rPr>
                          <w:rFonts w:ascii="Cambria Math" w:hAnsi="Cambria Math"/>
                          <w:sz w:val="24"/>
                        </w:rPr>
                        <m:t>ε</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ε</m:t>
                      </m:r>
                    </m:e>
                  </m:d>
                </m:den>
              </m:f>
            </m:e>
          </m:d>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p</m:t>
              </m:r>
            </m:e>
            <m:sub>
              <m:r>
                <w:rPr>
                  <w:rFonts w:ascii="Cambria Math" w:hAnsi="Cambria Math"/>
                  <w:sz w:val="24"/>
                </w:rPr>
                <m:t>im</m:t>
              </m:r>
            </m:sub>
          </m:sSub>
          <m:r>
            <m:rPr>
              <m:sty m:val="p"/>
            </m:rPr>
            <w:rPr>
              <w:rFonts w:ascii="Cambria Math" w:hAnsi="Cambria Math"/>
              <w:sz w:val="24"/>
            </w:rPr>
            <m:t>=</m:t>
          </m:r>
          <m:r>
            <w:rPr>
              <w:rFonts w:ascii="Cambria Math" w:hAnsi="Cambria Math"/>
              <w:sz w:val="24"/>
            </w:rPr>
            <m:t>σ​</m:t>
          </m:r>
          <m:d>
            <m:dPr>
              <m:ctrlPr>
                <w:rPr>
                  <w:rFonts w:ascii="Cambria Math" w:hAnsi="Cambria Math"/>
                  <w:sz w:val="24"/>
                </w:rPr>
              </m:ctrlPr>
            </m:d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α</m:t>
                      </m:r>
                    </m:e>
                  </m:acc>
                </m:e>
                <m:sub>
                  <m:r>
                    <w:rPr>
                      <w:rFonts w:ascii="Cambria Math" w:hAnsi="Cambria Math"/>
                      <w:sz w:val="24"/>
                    </w:rPr>
                    <m:t>m</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m</m:t>
                  </m:r>
                </m:sub>
              </m:sSub>
              <m:sSub>
                <m:sSubPr>
                  <m:ctrlPr>
                    <w:rPr>
                      <w:rFonts w:ascii="Cambria Math" w:hAnsi="Cambria Math"/>
                      <w:sz w:val="24"/>
                    </w:rPr>
                  </m:ctrlPr>
                </m:sSubPr>
                <m:e>
                  <m:r>
                    <m:rPr>
                      <m:scr m:val="script"/>
                      <m:sty m:val="p"/>
                    </m:rPr>
                    <w:rPr>
                      <w:rFonts w:ascii="Cambria Math" w:hAnsi="Cambria Math"/>
                      <w:sz w:val="24"/>
                    </w:rPr>
                    <m:t>l</m:t>
                  </m:r>
                </m:e>
                <m:sub>
                  <m:r>
                    <w:rPr>
                      <w:rFonts w:ascii="Cambria Math" w:hAnsi="Cambria Math"/>
                      <w:sz w:val="24"/>
                    </w:rPr>
                    <m:t>ε</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r</m:t>
                      </m:r>
                    </m:e>
                    <m:sub>
                      <m:r>
                        <w:rPr>
                          <w:rFonts w:ascii="Cambria Math" w:hAnsi="Cambria Math"/>
                          <w:sz w:val="24"/>
                        </w:rPr>
                        <m:t>im</m:t>
                      </m:r>
                    </m:sub>
                  </m:sSub>
                </m:e>
              </m:d>
            </m:e>
          </m:d>
          <m:r>
            <m:rPr>
              <m:sty m:val="p"/>
            </m:rPr>
            <w:rPr>
              <w:rFonts w:ascii="Cambria Math" w:hAnsi="Cambria Math"/>
              <w:sz w:val="24"/>
            </w:rPr>
            <m:t>,</m:t>
          </m:r>
          <m:r>
            <w:rPr>
              <w:rFonts w:ascii="Cambria Math" w:hAnsi="Cambria Math"/>
              <w:sz w:val="24"/>
            </w:rPr>
            <m:t>  σ</m:t>
          </m:r>
          <m:d>
            <m:dPr>
              <m:ctrlPr>
                <w:rPr>
                  <w:rFonts w:ascii="Cambria Math" w:hAnsi="Cambria Math"/>
                  <w:sz w:val="24"/>
                </w:rPr>
              </m:ctrlPr>
            </m:dPr>
            <m:e>
              <m:r>
                <w:rPr>
                  <w:rFonts w:ascii="Cambria Math" w:hAnsi="Cambria Math"/>
                  <w:sz w:val="24"/>
                </w:rPr>
                <m:t>a</m:t>
              </m:r>
            </m:e>
          </m:d>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1</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a</m:t>
                  </m:r>
                </m:sup>
              </m:sSup>
            </m:den>
          </m:f>
          <m:r>
            <m:rPr>
              <m:sty m:val="p"/>
            </m:rPr>
            <w:rPr>
              <w:rFonts w:ascii="Cambria Math" w:hAnsi="Cambria Math"/>
              <w:sz w:val="24"/>
            </w:rPr>
            <m:t>.</m:t>
          </m:r>
          <m:r>
            <w:rPr>
              <w:rFonts w:ascii="Cambria Math" w:hAnsi="Cambria Math"/>
              <w:sz w:val="24"/>
            </w:rPr>
            <m:t>  </m:t>
          </m:r>
          <m:d>
            <m:dPr>
              <m:ctrlPr>
                <w:rPr>
                  <w:rFonts w:ascii="Cambria Math" w:hAnsi="Cambria Math"/>
                  <w:sz w:val="24"/>
                </w:rPr>
              </m:ctrlPr>
            </m:dPr>
            <m:e>
              <m:r>
                <w:rPr>
                  <w:rFonts w:ascii="Cambria Math" w:hAnsi="Cambria Math"/>
                  <w:sz w:val="24"/>
                </w:rPr>
                <m:t>3</m:t>
              </m:r>
            </m:e>
          </m:d>
        </m:oMath>
      </m:oMathPara>
    </w:p>
    <w:p w14:paraId="643BD30A" w14:textId="77777777" w:rsidR="00083AA0" w:rsidRPr="00CD0244" w:rsidRDefault="00083AA0" w:rsidP="00083AA0">
      <w:pPr>
        <w:pStyle w:val="MDPI31text"/>
      </w:pPr>
      <w:r w:rsidRPr="00CD0244">
        <w:rPr>
          <w:rFonts w:eastAsia="Calibri"/>
        </w:rPr>
        <w:t>The locked learner-specific threshold is</w:t>
      </w:r>
    </w:p>
    <w:p w14:paraId="661C0C29"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sz w:val="24"/>
                </w:rPr>
              </m:ctrlPr>
            </m:sSubPr>
            <m:e>
              <m:r>
                <w:rPr>
                  <w:rFonts w:ascii="Cambria Math" w:hAnsi="Cambria Math"/>
                  <w:sz w:val="24"/>
                </w:rPr>
                <m:t>τ</m:t>
              </m:r>
            </m:e>
            <m:sub>
              <m:r>
                <w:rPr>
                  <w:rFonts w:ascii="Cambria Math" w:hAnsi="Cambria Math"/>
                  <w:sz w:val="24"/>
                </w:rPr>
                <m:t>m</m:t>
              </m:r>
            </m:sub>
          </m:sSub>
          <m:r>
            <m:rPr>
              <m:sty m:val="p"/>
            </m:rP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arg max</m:t>
              </m:r>
            </m:e>
            <m:lim>
              <m:r>
                <w:rPr>
                  <w:rFonts w:ascii="Cambria Math" w:hAnsi="Cambria Math"/>
                  <w:sz w:val="24"/>
                </w:rPr>
                <m:t>t</m:t>
              </m:r>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T</m:t>
                  </m:r>
                </m:e>
                <m:sub>
                  <m:r>
                    <w:rPr>
                      <w:rFonts w:ascii="Cambria Math" w:hAnsi="Cambria Math"/>
                      <w:sz w:val="24"/>
                    </w:rPr>
                    <m:t>m</m:t>
                  </m:r>
                </m:sub>
              </m:sSub>
            </m:lim>
          </m:limLow>
          <m:r>
            <w:rPr>
              <w:rFonts w:ascii="Cambria Math" w:hAnsi="Cambria Math"/>
              <w:sz w:val="24"/>
            </w:rPr>
            <m:t> </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TPR</m:t>
                  </m:r>
                </m:e>
                <m:sub>
                  <m:r>
                    <w:rPr>
                      <w:rFonts w:ascii="Cambria Math" w:hAnsi="Cambria Math"/>
                      <w:sz w:val="24"/>
                    </w:rPr>
                    <m:t>m</m:t>
                  </m:r>
                </m:sub>
              </m:sSub>
              <m:d>
                <m:dPr>
                  <m:ctrlPr>
                    <w:rPr>
                      <w:rFonts w:ascii="Cambria Math" w:hAnsi="Cambria Math"/>
                      <w:sz w:val="24"/>
                    </w:rPr>
                  </m:ctrlPr>
                </m:dPr>
                <m:e>
                  <m:r>
                    <w:rPr>
                      <w:rFonts w:ascii="Cambria Math" w:hAnsi="Cambria Math"/>
                      <w:sz w:val="24"/>
                    </w:rPr>
                    <m:t>t</m:t>
                  </m:r>
                </m:e>
              </m:d>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TNR</m:t>
                  </m:r>
                </m:e>
                <m:sub>
                  <m:r>
                    <w:rPr>
                      <w:rFonts w:ascii="Cambria Math" w:hAnsi="Cambria Math"/>
                      <w:sz w:val="24"/>
                    </w:rPr>
                    <m:t>m</m:t>
                  </m:r>
                </m:sub>
              </m:sSub>
              <m:d>
                <m:dPr>
                  <m:ctrlPr>
                    <w:rPr>
                      <w:rFonts w:ascii="Cambria Math" w:hAnsi="Cambria Math"/>
                      <w:sz w:val="24"/>
                    </w:rPr>
                  </m:ctrlPr>
                </m:dPr>
                <m:e>
                  <m:r>
                    <w:rPr>
                      <w:rFonts w:ascii="Cambria Math" w:hAnsi="Cambria Math"/>
                      <w:sz w:val="24"/>
                    </w:rPr>
                    <m:t>t</m:t>
                  </m:r>
                </m:e>
              </m:d>
            </m:num>
            <m:den>
              <m:r>
                <w:rPr>
                  <w:rFonts w:ascii="Cambria Math" w:hAnsi="Cambria Math"/>
                  <w:sz w:val="24"/>
                </w:rPr>
                <m:t>2</m:t>
              </m:r>
            </m:den>
          </m:f>
          <m:r>
            <m:rPr>
              <m:sty m:val="p"/>
            </m:rPr>
            <w:rPr>
              <w:rFonts w:ascii="Cambria Math" w:hAnsi="Cambria Math"/>
              <w:sz w:val="24"/>
            </w:rPr>
            <m:t>,</m:t>
          </m:r>
          <m:r>
            <w:rPr>
              <w:rFonts w:ascii="Cambria Math" w:hAnsi="Cambria Math"/>
              <w:sz w:val="24"/>
            </w:rPr>
            <m:t>  </m:t>
          </m:r>
          <m:d>
            <m:dPr>
              <m:ctrlPr>
                <w:rPr>
                  <w:rFonts w:ascii="Cambria Math" w:hAnsi="Cambria Math"/>
                  <w:sz w:val="24"/>
                </w:rPr>
              </m:ctrlPr>
            </m:dPr>
            <m:e>
              <m:r>
                <w:rPr>
                  <w:rFonts w:ascii="Cambria Math" w:hAnsi="Cambria Math"/>
                  <w:sz w:val="24"/>
                </w:rPr>
                <m:t>4</m:t>
              </m:r>
            </m:e>
          </m:d>
        </m:oMath>
      </m:oMathPara>
    </w:p>
    <w:p w14:paraId="5D0B5F74" w14:textId="77777777" w:rsidR="00083AA0" w:rsidRPr="00CD0244" w:rsidRDefault="00083AA0" w:rsidP="00083AA0">
      <w:pPr>
        <w:pStyle w:val="MDPI31text"/>
      </w:pPr>
      <w:r w:rsidRPr="00CD0244">
        <w:rPr>
          <w:rFonts w:eastAsia="Calibri"/>
        </w:rPr>
        <w:t xml:space="preserve">with an exact </w:t>
      </w:r>
      <w:proofErr w:type="gramStart"/>
      <w:r w:rsidRPr="00CD0244">
        <w:rPr>
          <w:rFonts w:eastAsia="Calibri"/>
        </w:rPr>
        <w:t>tie</w:t>
      </w:r>
      <w:proofErr w:type="gramEnd"/>
      <w:r w:rsidRPr="00CD0244">
        <w:rPr>
          <w:rFonts w:eastAsia="Calibri"/>
        </w:rPr>
        <w:t xml:space="preserve"> resolved by retaining the </w:t>
      </w:r>
      <w:proofErr w:type="spellStart"/>
      <w:r w:rsidRPr="00CD0244">
        <w:rPr>
          <w:rFonts w:eastAsia="Calibri"/>
        </w:rPr>
        <w:t>maximising</w:t>
      </w:r>
      <w:proofErr w:type="spellEnd"/>
      <w:r w:rsidRPr="00CD0244">
        <w:rPr>
          <w:rFonts w:eastAsia="Calibri"/>
        </w:rPr>
        <w:t xml:space="preserve"> threshold closest to </w:t>
      </w:r>
      <m:oMath>
        <m:r>
          <w:rPr>
            <w:rFonts w:ascii="Cambria Math" w:hAnsi="Cambria Math"/>
          </w:rPr>
          <m:t>0.5</m:t>
        </m:r>
      </m:oMath>
      <w:r w:rsidRPr="00CD0244">
        <w:rPr>
          <w:rFonts w:eastAsia="Calibri"/>
        </w:rPr>
        <w:t>. The LP/P-directed vote and total vote count are</w:t>
      </w:r>
    </w:p>
    <w:p w14:paraId="1859C7D3"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sz w:val="24"/>
                </w:rPr>
              </m:ctrlPr>
            </m:sSubPr>
            <m:e>
              <m:r>
                <w:rPr>
                  <w:rFonts w:ascii="Cambria Math" w:hAnsi="Cambria Math"/>
                  <w:sz w:val="24"/>
                </w:rPr>
                <m:t>v</m:t>
              </m:r>
            </m:e>
            <m:sub>
              <m:r>
                <w:rPr>
                  <w:rFonts w:ascii="Cambria Math" w:hAnsi="Cambria Math"/>
                  <w:sz w:val="24"/>
                </w:rPr>
                <m:t>im</m:t>
              </m:r>
            </m:sub>
          </m:sSub>
          <m:r>
            <m:rPr>
              <m:scr m:val="double-struck"/>
              <m:sty m:val="p"/>
            </m:rPr>
            <w:rPr>
              <w:rFonts w:ascii="Cambria Math" w:hAnsi="Cambria Math"/>
              <w:sz w:val="24"/>
            </w:rPr>
            <m:t>=I</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p</m:t>
                  </m:r>
                </m:e>
                <m:sub>
                  <m:r>
                    <w:rPr>
                      <w:rFonts w:ascii="Cambria Math" w:hAnsi="Cambria Math"/>
                      <w:sz w:val="24"/>
                    </w:rPr>
                    <m:t>im</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τ</m:t>
                  </m:r>
                </m:e>
                <m:sub>
                  <m:r>
                    <w:rPr>
                      <w:rFonts w:ascii="Cambria Math" w:hAnsi="Cambria Math"/>
                      <w:sz w:val="24"/>
                    </w:rPr>
                    <m:t>m</m:t>
                  </m:r>
                </m:sub>
              </m:sSub>
            </m:e>
          </m:d>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m</m:t>
              </m:r>
              <m:r>
                <m:rPr>
                  <m:sty m:val="p"/>
                </m:rPr>
                <w:rPr>
                  <w:rFonts w:ascii="Cambria Math" w:hAnsi="Cambria Math"/>
                  <w:sz w:val="24"/>
                </w:rPr>
                <m:t>∈</m:t>
              </m:r>
              <m:sSup>
                <m:sSupPr>
                  <m:ctrlPr>
                    <w:rPr>
                      <w:rFonts w:ascii="Cambria Math" w:hAnsi="Cambria Math"/>
                      <w:sz w:val="24"/>
                    </w:rPr>
                  </m:ctrlPr>
                </m:sSupPr>
                <m:e>
                  <m:r>
                    <m:rPr>
                      <m:scr m:val="script"/>
                      <m:sty m:val="p"/>
                    </m:rPr>
                    <w:rPr>
                      <w:rFonts w:ascii="Cambria Math" w:hAnsi="Cambria Math"/>
                      <w:sz w:val="24"/>
                    </w:rPr>
                    <m:t>M</m:t>
                  </m:r>
                </m:e>
                <m:sup>
                  <m:r>
                    <m:rPr>
                      <m:sty m:val="p"/>
                    </m:rPr>
                    <w:rPr>
                      <w:rFonts w:ascii="Cambria Math" w:hAnsi="Cambria Math"/>
                      <w:sz w:val="24"/>
                    </w:rPr>
                    <m:t>*</m:t>
                  </m:r>
                </m:sup>
              </m:sSup>
            </m:sub>
            <m:sup>
              <m:r>
                <w:rPr>
                  <w:rFonts w:ascii="Cambria Math" w:hAnsi="Cambria Math"/>
                  <w:sz w:val="24"/>
                </w:rPr>
                <m:t>​</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im</m:t>
                  </m:r>
                </m:sub>
              </m:sSub>
            </m:e>
          </m:nary>
          <m:r>
            <m:rPr>
              <m:sty m:val="p"/>
            </m:rPr>
            <w:rPr>
              <w:rFonts w:ascii="Cambria Math" w:hAnsi="Cambria Math"/>
              <w:sz w:val="24"/>
            </w:rPr>
            <m:t>.</m:t>
          </m:r>
          <m:r>
            <w:rPr>
              <w:rFonts w:ascii="Cambria Math" w:hAnsi="Cambria Math"/>
              <w:sz w:val="24"/>
            </w:rPr>
            <m:t>  </m:t>
          </m:r>
          <m:d>
            <m:dPr>
              <m:ctrlPr>
                <w:rPr>
                  <w:rFonts w:ascii="Cambria Math" w:hAnsi="Cambria Math"/>
                  <w:sz w:val="24"/>
                </w:rPr>
              </m:ctrlPr>
            </m:dPr>
            <m:e>
              <m:r>
                <w:rPr>
                  <w:rFonts w:ascii="Cambria Math" w:hAnsi="Cambria Math"/>
                  <w:sz w:val="24"/>
                </w:rPr>
                <m:t>5</m:t>
              </m:r>
            </m:e>
          </m:d>
        </m:oMath>
      </m:oMathPara>
    </w:p>
    <w:p w14:paraId="4753A598" w14:textId="77777777" w:rsidR="00083AA0" w:rsidRPr="00A7390A" w:rsidRDefault="00083AA0" w:rsidP="00083AA0">
      <w:pPr>
        <w:pStyle w:val="MDPI31text"/>
      </w:pPr>
      <w:r w:rsidRPr="00A7390A">
        <w:t>The audit state is Vc, where c is the sum of the four LP/P-directed votes and c ∈ {0,1,2,3,4}; V2 denotes exact 2:2 disagreement. For labelled internal and external records, the three-output reporting rule is predicted B/LB when c = 0, Uncertain when 1 ≤ c ≤ 3 and predicted LP/P when c = 4. For unresolved application records only, the same audit states are displayed as Uncertain-low, Uncertain-mid and Uncertain-high, respectively. Both mappings are deterministic, introduce no fitted parameter and do not modify learner probabilities, thresholds, votes or S_MAC. For secondary binary evaluation only, the prespecified LP/P-directed endpoint remains c ≥ 3; it does not define the three-output reporting rule.</w:t>
      </w:r>
    </w:p>
    <w:p w14:paraId="6F049E0B" w14:textId="77777777" w:rsidR="00083AA0" w:rsidRPr="00A7390A" w:rsidRDefault="00083AA0" w:rsidP="00083AA0">
      <w:pPr>
        <w:pStyle w:val="MDPI31text"/>
      </w:pPr>
      <w:r w:rsidRPr="00A7390A">
        <w:t>The complete four-bit vote vector is retained because equal vote counts can arise from different learner-family configurations. Learner-pair identity is therefore an audit variable rather than a latent biological label.</w:t>
      </w:r>
    </w:p>
    <w:p w14:paraId="1F30066E" w14:textId="77777777" w:rsidR="00083AA0" w:rsidRPr="00A7390A" w:rsidRDefault="00083AA0" w:rsidP="00CD0244">
      <w:pPr>
        <w:pStyle w:val="MDPI23heading3"/>
        <w:spacing w:before="0" w:after="0"/>
        <w:ind w:firstLine="425"/>
        <w:jc w:val="both"/>
        <w:outlineLvl w:val="9"/>
        <w:rPr>
          <w:i/>
          <w:iCs/>
          <w:szCs w:val="20"/>
        </w:rPr>
      </w:pPr>
      <w:r w:rsidRPr="00A7390A">
        <w:rPr>
          <w:i/>
          <w:iCs/>
        </w:rPr>
        <w:t xml:space="preserve">Continuous </w:t>
      </w:r>
      <w:proofErr w:type="spellStart"/>
      <w:r w:rsidRPr="00A7390A">
        <w:rPr>
          <w:i/>
          <w:iCs/>
        </w:rPr>
        <w:t>HBOCpred</w:t>
      </w:r>
      <w:proofErr w:type="spellEnd"/>
      <w:r w:rsidRPr="00A7390A">
        <w:rPr>
          <w:i/>
          <w:iCs/>
        </w:rPr>
        <w:t xml:space="preserve"> score</w:t>
      </w:r>
    </w:p>
    <w:p w14:paraId="10737C4F" w14:textId="77777777" w:rsidR="00083AA0" w:rsidRPr="00A7390A" w:rsidRDefault="00083AA0" w:rsidP="00083AA0">
      <w:pPr>
        <w:pStyle w:val="MDPI31text"/>
      </w:pPr>
      <w:r w:rsidRPr="00A7390A">
        <w:t xml:space="preserve">The arithmetic mean of the four calibrated learner probabilities is Mean4. The reported continuous score is S_MAC = </w:t>
      </w:r>
      <w:proofErr w:type="gramStart"/>
      <w:r w:rsidRPr="00A7390A">
        <w:t>logistic(</w:t>
      </w:r>
      <w:proofErr w:type="gramEnd"/>
      <w:r w:rsidRPr="00A7390A">
        <w:t xml:space="preserve">α + β × </w:t>
      </w:r>
      <w:proofErr w:type="gramStart"/>
      <w:r w:rsidRPr="00A7390A">
        <w:t>logit(</w:t>
      </w:r>
      <w:proofErr w:type="gramEnd"/>
      <w:r w:rsidRPr="00A7390A">
        <w:t>Mean4)), with α = 0.0735 and β = 1.2056 in the frozen deployment fit. S_MAC is retained as a ranking score and is not a fifth vote, a clinical posterior probability or an ACMG/AMP evidence category.</w:t>
      </w:r>
    </w:p>
    <w:p w14:paraId="3974AE14" w14:textId="77777777" w:rsidR="00E302D1" w:rsidRPr="0005337B" w:rsidRDefault="00000000">
      <w:pPr>
        <w:pStyle w:val="MDPI23heading3"/>
        <w:rPr>
          <w:i/>
          <w:iCs/>
        </w:rPr>
      </w:pPr>
      <w:r w:rsidRPr="00A7390A">
        <w:rPr>
          <w:i/>
          <w:iCs/>
        </w:rPr>
        <w:t>Primary output and completeness flag</w:t>
      </w:r>
    </w:p>
    <w:p w14:paraId="4C4704C4" w14:textId="77777777" w:rsidR="00E302D1" w:rsidRPr="00A7390A" w:rsidRDefault="00000000">
      <w:pPr>
        <w:pStyle w:val="MDPI31text"/>
      </w:pPr>
      <w:r w:rsidRPr="00A7390A">
        <w:t xml:space="preserve">For each record, the locked output tuple contains the four calibrated learner probabilities, four </w:t>
      </w:r>
      <w:proofErr w:type="spellStart"/>
      <w:r w:rsidRPr="00A7390A">
        <w:t>thresholded</w:t>
      </w:r>
      <w:proofErr w:type="spellEnd"/>
      <w:r w:rsidRPr="00A7390A">
        <w:t xml:space="preserve"> votes, vote count and complete pattern, V0–V4 audit state, S_MAC, observed final-feature count and a completeness flag. A context field determines the displayed categorical output: predicted B/LB / Uncertain / predicted LP/P for labelled internal or external records, and Uncertain-low / Uncertain-mid / Uncertain-high for unresolved application records. S_MAC is used only for ranking and is not a clinical posterior probability. The deployment completeness rule requires at least 20 of 25 final </w:t>
      </w:r>
      <w:r w:rsidRPr="00A7390A">
        <w:lastRenderedPageBreak/>
        <w:t>predictors. Records below this threshold are labelled incomplete and their audit state, categorical display and S_MAC are suppressed.</w:t>
      </w:r>
    </w:p>
    <w:p w14:paraId="5B8EA253" w14:textId="77777777" w:rsidR="00083AA0" w:rsidRPr="00A7390A" w:rsidRDefault="00083AA0" w:rsidP="00CD0244">
      <w:pPr>
        <w:pStyle w:val="MDPI22heading2"/>
        <w:spacing w:before="0" w:after="0"/>
        <w:ind w:firstLine="425"/>
        <w:jc w:val="both"/>
        <w:outlineLvl w:val="9"/>
        <w:rPr>
          <w:szCs w:val="20"/>
        </w:rPr>
      </w:pPr>
      <w:r w:rsidRPr="00A7390A">
        <w:rPr>
          <w:szCs w:val="20"/>
        </w:rPr>
        <w:t>Variant curation and label definition</w:t>
      </w:r>
    </w:p>
    <w:p w14:paraId="09F6432A" w14:textId="158E03D5" w:rsidR="00083AA0" w:rsidRDefault="00083AA0" w:rsidP="00CD0244">
      <w:pPr>
        <w:pStyle w:val="MDPI31text"/>
      </w:pPr>
      <w:proofErr w:type="spellStart"/>
      <w:r w:rsidRPr="00A7390A">
        <w:t>ClinVar</w:t>
      </w:r>
      <w:proofErr w:type="spellEnd"/>
      <w:r w:rsidRPr="00A7390A">
        <w:t xml:space="preserve">-derived missense variants were restricted to the prespecified 17-gene HBOC study scope: </w:t>
      </w:r>
      <w:r w:rsidRPr="00A7390A">
        <w:rPr>
          <w:i/>
          <w:iCs/>
        </w:rPr>
        <w:t>ATM, BARD1, BLM, BRCA1, BRCA2, BRIP1, CDH1, CHEK2, FANCA, FANCC, NBN, PALB2, PTEN, RAD51C, RAD51D, STK11</w:t>
      </w:r>
      <w:r w:rsidRPr="00A7390A">
        <w:t xml:space="preserve"> and </w:t>
      </w:r>
      <w:r w:rsidRPr="00A7390A">
        <w:rPr>
          <w:i/>
          <w:iCs/>
        </w:rPr>
        <w:t>TP53</w:t>
      </w:r>
      <w:r w:rsidRPr="00A7390A">
        <w:t xml:space="preserve">. The set spans established high-penetrance or syndromic genes, moderate-penetrance breast/ovarian cancer genes and a limited-evidence study stratum retained for exploratory </w:t>
      </w:r>
      <w:proofErr w:type="spellStart"/>
      <w:r w:rsidRPr="00A7390A">
        <w:t>generalisability</w:t>
      </w:r>
      <w:proofErr w:type="spellEnd"/>
      <w:r w:rsidRPr="00A7390A">
        <w:t xml:space="preserve">; the evidence stratum is reported and is not a clinical risk classification. MANE Select transcripts were used when available; </w:t>
      </w:r>
      <w:proofErr w:type="gramStart"/>
      <w:r w:rsidRPr="00A7390A">
        <w:t>otherwise</w:t>
      </w:r>
      <w:proofErr w:type="gramEnd"/>
      <w:r w:rsidRPr="00A7390A">
        <w:t xml:space="preserve"> a prespecified canonical transcript was frozen before modelling. Inclusion required germline missense SNVs with one gene/transcript assignment, </w:t>
      </w:r>
      <w:proofErr w:type="spellStart"/>
      <w:r w:rsidRPr="00A7390A">
        <w:t>harmonised</w:t>
      </w:r>
      <w:proofErr w:type="spellEnd"/>
      <w:r w:rsidRPr="00A7390A">
        <w:t xml:space="preserve"> genomic/SPDI and HGVS representation, and one of the retained clinical-significance groups. B/LB and LP/P records formed the 2,160 labelled anchors</w:t>
      </w:r>
      <w:r w:rsidR="004B2BD7">
        <w:t xml:space="preserve"> </w:t>
      </w:r>
      <w:r w:rsidRPr="00A7390A">
        <w:t>pool</w:t>
      </w:r>
      <w:r w:rsidR="004B2BD7">
        <w:t xml:space="preserve"> (Table 1)</w:t>
      </w:r>
      <w:r w:rsidRPr="00A7390A">
        <w:t xml:space="preserve">. </w:t>
      </w:r>
    </w:p>
    <w:p w14:paraId="78940A77" w14:textId="693C2728" w:rsidR="005915C7" w:rsidRDefault="005915C7" w:rsidP="005915C7">
      <w:pPr>
        <w:pStyle w:val="MDPI41tablecaption"/>
      </w:pPr>
      <w:r>
        <w:t xml:space="preserve">Table </w:t>
      </w:r>
      <w:r w:rsidR="004B2BD7">
        <w:t>1</w:t>
      </w:r>
      <w:r>
        <w:t>. Prespecified 17-gene source counts.</w:t>
      </w:r>
    </w:p>
    <w:tbl>
      <w:tblPr>
        <w:tblStyle w:val="MDPItable"/>
        <w:tblW w:w="4104" w:type="dxa"/>
        <w:tblInd w:w="2627" w:type="dxa"/>
        <w:tblLayout w:type="fixed"/>
        <w:tblLook w:val="04A0" w:firstRow="1" w:lastRow="0" w:firstColumn="1" w:lastColumn="0" w:noHBand="0" w:noVBand="1"/>
      </w:tblPr>
      <w:tblGrid>
        <w:gridCol w:w="1656"/>
        <w:gridCol w:w="1224"/>
        <w:gridCol w:w="1224"/>
      </w:tblGrid>
      <w:tr w:rsidR="005915C7" w14:paraId="42E1C4F4" w14:textId="77777777" w:rsidTr="005915C7">
        <w:trPr>
          <w:tblHeader/>
        </w:trPr>
        <w:tc>
          <w:tcPr>
            <w:tcW w:w="1656" w:type="dxa"/>
            <w:tcBorders>
              <w:top w:val="single" w:sz="4" w:space="0" w:color="auto"/>
              <w:bottom w:val="single" w:sz="4" w:space="0" w:color="auto"/>
            </w:tcBorders>
            <w:vAlign w:val="center"/>
          </w:tcPr>
          <w:p w14:paraId="626279FB" w14:textId="77777777" w:rsidR="005915C7" w:rsidRDefault="005915C7" w:rsidP="0011084D">
            <w:pPr>
              <w:jc w:val="left"/>
            </w:pPr>
            <w:r>
              <w:rPr>
                <w:b/>
                <w:sz w:val="16"/>
              </w:rPr>
              <w:t>Gene</w:t>
            </w:r>
          </w:p>
        </w:tc>
        <w:tc>
          <w:tcPr>
            <w:tcW w:w="1224" w:type="dxa"/>
            <w:tcBorders>
              <w:top w:val="single" w:sz="4" w:space="0" w:color="auto"/>
              <w:bottom w:val="single" w:sz="4" w:space="0" w:color="auto"/>
            </w:tcBorders>
            <w:vAlign w:val="center"/>
          </w:tcPr>
          <w:p w14:paraId="76EE6AAC" w14:textId="77777777" w:rsidR="005915C7" w:rsidRDefault="005915C7" w:rsidP="0011084D">
            <w:pPr>
              <w:jc w:val="center"/>
            </w:pPr>
            <w:r>
              <w:rPr>
                <w:b/>
                <w:sz w:val="16"/>
              </w:rPr>
              <w:t>B/LB</w:t>
            </w:r>
          </w:p>
        </w:tc>
        <w:tc>
          <w:tcPr>
            <w:tcW w:w="1224" w:type="dxa"/>
            <w:tcBorders>
              <w:top w:val="single" w:sz="4" w:space="0" w:color="auto"/>
              <w:bottom w:val="single" w:sz="4" w:space="0" w:color="auto"/>
            </w:tcBorders>
            <w:vAlign w:val="center"/>
          </w:tcPr>
          <w:p w14:paraId="337F362E" w14:textId="77777777" w:rsidR="005915C7" w:rsidRDefault="005915C7" w:rsidP="0011084D">
            <w:pPr>
              <w:jc w:val="center"/>
            </w:pPr>
            <w:r>
              <w:rPr>
                <w:b/>
                <w:sz w:val="16"/>
              </w:rPr>
              <w:t>LP/P</w:t>
            </w:r>
          </w:p>
        </w:tc>
      </w:tr>
      <w:tr w:rsidR="005915C7" w14:paraId="13CD4F79" w14:textId="77777777" w:rsidTr="005915C7">
        <w:tc>
          <w:tcPr>
            <w:tcW w:w="1656" w:type="dxa"/>
            <w:tcBorders>
              <w:top w:val="single" w:sz="4" w:space="0" w:color="auto"/>
            </w:tcBorders>
            <w:vAlign w:val="center"/>
          </w:tcPr>
          <w:p w14:paraId="6A4DAA3E" w14:textId="77777777" w:rsidR="005915C7" w:rsidRDefault="005915C7" w:rsidP="0011084D">
            <w:pPr>
              <w:jc w:val="left"/>
            </w:pPr>
            <w:r>
              <w:rPr>
                <w:sz w:val="16"/>
              </w:rPr>
              <w:t>ATM</w:t>
            </w:r>
          </w:p>
        </w:tc>
        <w:tc>
          <w:tcPr>
            <w:tcW w:w="1224" w:type="dxa"/>
            <w:tcBorders>
              <w:top w:val="single" w:sz="4" w:space="0" w:color="auto"/>
            </w:tcBorders>
            <w:vAlign w:val="center"/>
          </w:tcPr>
          <w:p w14:paraId="4089090E" w14:textId="77777777" w:rsidR="005915C7" w:rsidRDefault="005915C7" w:rsidP="0011084D">
            <w:pPr>
              <w:jc w:val="center"/>
            </w:pPr>
            <w:r>
              <w:rPr>
                <w:sz w:val="16"/>
              </w:rPr>
              <w:t>67</w:t>
            </w:r>
          </w:p>
        </w:tc>
        <w:tc>
          <w:tcPr>
            <w:tcW w:w="1224" w:type="dxa"/>
            <w:tcBorders>
              <w:top w:val="single" w:sz="4" w:space="0" w:color="auto"/>
            </w:tcBorders>
            <w:vAlign w:val="center"/>
          </w:tcPr>
          <w:p w14:paraId="642D3394" w14:textId="77777777" w:rsidR="005915C7" w:rsidRDefault="005915C7" w:rsidP="0011084D">
            <w:pPr>
              <w:jc w:val="center"/>
            </w:pPr>
            <w:r>
              <w:rPr>
                <w:sz w:val="16"/>
              </w:rPr>
              <w:t>75</w:t>
            </w:r>
          </w:p>
        </w:tc>
      </w:tr>
      <w:tr w:rsidR="005915C7" w14:paraId="6F8A07E6" w14:textId="77777777" w:rsidTr="005915C7">
        <w:tc>
          <w:tcPr>
            <w:tcW w:w="1656" w:type="dxa"/>
            <w:vAlign w:val="center"/>
          </w:tcPr>
          <w:p w14:paraId="466E86C9" w14:textId="77777777" w:rsidR="005915C7" w:rsidRDefault="005915C7" w:rsidP="0011084D">
            <w:pPr>
              <w:jc w:val="left"/>
            </w:pPr>
            <w:r>
              <w:rPr>
                <w:sz w:val="16"/>
              </w:rPr>
              <w:t>BARD1</w:t>
            </w:r>
          </w:p>
        </w:tc>
        <w:tc>
          <w:tcPr>
            <w:tcW w:w="1224" w:type="dxa"/>
            <w:vAlign w:val="center"/>
          </w:tcPr>
          <w:p w14:paraId="19359ED8" w14:textId="77777777" w:rsidR="005915C7" w:rsidRDefault="005915C7" w:rsidP="0011084D">
            <w:pPr>
              <w:jc w:val="center"/>
            </w:pPr>
            <w:r>
              <w:rPr>
                <w:sz w:val="16"/>
              </w:rPr>
              <w:t>24</w:t>
            </w:r>
          </w:p>
        </w:tc>
        <w:tc>
          <w:tcPr>
            <w:tcW w:w="1224" w:type="dxa"/>
            <w:vAlign w:val="center"/>
          </w:tcPr>
          <w:p w14:paraId="391B856F" w14:textId="77777777" w:rsidR="005915C7" w:rsidRDefault="005915C7" w:rsidP="0011084D">
            <w:pPr>
              <w:jc w:val="center"/>
            </w:pPr>
            <w:r>
              <w:rPr>
                <w:sz w:val="16"/>
              </w:rPr>
              <w:t>3</w:t>
            </w:r>
          </w:p>
        </w:tc>
      </w:tr>
      <w:tr w:rsidR="005915C7" w14:paraId="10461B92" w14:textId="77777777" w:rsidTr="005915C7">
        <w:tc>
          <w:tcPr>
            <w:tcW w:w="1656" w:type="dxa"/>
            <w:vAlign w:val="center"/>
          </w:tcPr>
          <w:p w14:paraId="1D5DE78F" w14:textId="77777777" w:rsidR="005915C7" w:rsidRDefault="005915C7" w:rsidP="0011084D">
            <w:pPr>
              <w:jc w:val="left"/>
            </w:pPr>
            <w:r>
              <w:rPr>
                <w:sz w:val="16"/>
              </w:rPr>
              <w:t>BLM</w:t>
            </w:r>
          </w:p>
        </w:tc>
        <w:tc>
          <w:tcPr>
            <w:tcW w:w="1224" w:type="dxa"/>
            <w:vAlign w:val="center"/>
          </w:tcPr>
          <w:p w14:paraId="36892D18" w14:textId="77777777" w:rsidR="005915C7" w:rsidRDefault="005915C7" w:rsidP="0011084D">
            <w:pPr>
              <w:jc w:val="center"/>
            </w:pPr>
            <w:r>
              <w:rPr>
                <w:sz w:val="16"/>
              </w:rPr>
              <w:t>21</w:t>
            </w:r>
          </w:p>
        </w:tc>
        <w:tc>
          <w:tcPr>
            <w:tcW w:w="1224" w:type="dxa"/>
            <w:vAlign w:val="center"/>
          </w:tcPr>
          <w:p w14:paraId="4793CAE2" w14:textId="77777777" w:rsidR="005915C7" w:rsidRDefault="005915C7" w:rsidP="0011084D">
            <w:pPr>
              <w:jc w:val="center"/>
            </w:pPr>
            <w:r>
              <w:rPr>
                <w:sz w:val="16"/>
              </w:rPr>
              <w:t>6</w:t>
            </w:r>
          </w:p>
        </w:tc>
      </w:tr>
      <w:tr w:rsidR="005915C7" w14:paraId="2FCF5489" w14:textId="77777777" w:rsidTr="005915C7">
        <w:tc>
          <w:tcPr>
            <w:tcW w:w="1656" w:type="dxa"/>
            <w:vAlign w:val="center"/>
          </w:tcPr>
          <w:p w14:paraId="6C9C7532" w14:textId="77777777" w:rsidR="005915C7" w:rsidRDefault="005915C7" w:rsidP="0011084D">
            <w:pPr>
              <w:jc w:val="left"/>
            </w:pPr>
            <w:r>
              <w:rPr>
                <w:sz w:val="16"/>
              </w:rPr>
              <w:t>BRCA1</w:t>
            </w:r>
          </w:p>
        </w:tc>
        <w:tc>
          <w:tcPr>
            <w:tcW w:w="1224" w:type="dxa"/>
            <w:vAlign w:val="center"/>
          </w:tcPr>
          <w:p w14:paraId="4948F21B" w14:textId="77777777" w:rsidR="005915C7" w:rsidRDefault="005915C7" w:rsidP="0011084D">
            <w:pPr>
              <w:jc w:val="center"/>
            </w:pPr>
            <w:r>
              <w:rPr>
                <w:sz w:val="16"/>
              </w:rPr>
              <w:t>347</w:t>
            </w:r>
          </w:p>
        </w:tc>
        <w:tc>
          <w:tcPr>
            <w:tcW w:w="1224" w:type="dxa"/>
            <w:vAlign w:val="center"/>
          </w:tcPr>
          <w:p w14:paraId="0E7CC1DD" w14:textId="77777777" w:rsidR="005915C7" w:rsidRDefault="005915C7" w:rsidP="0011084D">
            <w:pPr>
              <w:jc w:val="center"/>
            </w:pPr>
            <w:r>
              <w:rPr>
                <w:sz w:val="16"/>
              </w:rPr>
              <w:t>217</w:t>
            </w:r>
          </w:p>
        </w:tc>
      </w:tr>
      <w:tr w:rsidR="005915C7" w14:paraId="35015142" w14:textId="77777777" w:rsidTr="005915C7">
        <w:tc>
          <w:tcPr>
            <w:tcW w:w="1656" w:type="dxa"/>
            <w:vAlign w:val="center"/>
          </w:tcPr>
          <w:p w14:paraId="3FEAD354" w14:textId="77777777" w:rsidR="005915C7" w:rsidRDefault="005915C7" w:rsidP="0011084D">
            <w:pPr>
              <w:jc w:val="left"/>
            </w:pPr>
            <w:r>
              <w:rPr>
                <w:sz w:val="16"/>
              </w:rPr>
              <w:t>BRCA2</w:t>
            </w:r>
          </w:p>
        </w:tc>
        <w:tc>
          <w:tcPr>
            <w:tcW w:w="1224" w:type="dxa"/>
            <w:vAlign w:val="center"/>
          </w:tcPr>
          <w:p w14:paraId="2EBA02E7" w14:textId="77777777" w:rsidR="005915C7" w:rsidRDefault="005915C7" w:rsidP="0011084D">
            <w:pPr>
              <w:jc w:val="center"/>
            </w:pPr>
            <w:r>
              <w:rPr>
                <w:sz w:val="16"/>
              </w:rPr>
              <w:t>306</w:t>
            </w:r>
          </w:p>
        </w:tc>
        <w:tc>
          <w:tcPr>
            <w:tcW w:w="1224" w:type="dxa"/>
            <w:vAlign w:val="center"/>
          </w:tcPr>
          <w:p w14:paraId="310E130A" w14:textId="77777777" w:rsidR="005915C7" w:rsidRDefault="005915C7" w:rsidP="0011084D">
            <w:pPr>
              <w:jc w:val="center"/>
            </w:pPr>
            <w:r>
              <w:rPr>
                <w:sz w:val="16"/>
              </w:rPr>
              <w:t>84</w:t>
            </w:r>
          </w:p>
        </w:tc>
      </w:tr>
      <w:tr w:rsidR="005915C7" w14:paraId="4868558F" w14:textId="77777777" w:rsidTr="005915C7">
        <w:tc>
          <w:tcPr>
            <w:tcW w:w="1656" w:type="dxa"/>
            <w:vAlign w:val="center"/>
          </w:tcPr>
          <w:p w14:paraId="0E970ECC" w14:textId="77777777" w:rsidR="005915C7" w:rsidRDefault="005915C7" w:rsidP="0011084D">
            <w:pPr>
              <w:jc w:val="left"/>
            </w:pPr>
            <w:r>
              <w:rPr>
                <w:sz w:val="16"/>
              </w:rPr>
              <w:t>BRIP1</w:t>
            </w:r>
          </w:p>
        </w:tc>
        <w:tc>
          <w:tcPr>
            <w:tcW w:w="1224" w:type="dxa"/>
            <w:vAlign w:val="center"/>
          </w:tcPr>
          <w:p w14:paraId="541F55F7" w14:textId="77777777" w:rsidR="005915C7" w:rsidRDefault="005915C7" w:rsidP="0011084D">
            <w:pPr>
              <w:jc w:val="center"/>
            </w:pPr>
            <w:r>
              <w:rPr>
                <w:sz w:val="16"/>
              </w:rPr>
              <w:t>25</w:t>
            </w:r>
          </w:p>
        </w:tc>
        <w:tc>
          <w:tcPr>
            <w:tcW w:w="1224" w:type="dxa"/>
            <w:vAlign w:val="center"/>
          </w:tcPr>
          <w:p w14:paraId="5131C4DD" w14:textId="77777777" w:rsidR="005915C7" w:rsidRDefault="005915C7" w:rsidP="0011084D">
            <w:pPr>
              <w:jc w:val="center"/>
            </w:pPr>
            <w:r>
              <w:rPr>
                <w:sz w:val="16"/>
              </w:rPr>
              <w:t>7</w:t>
            </w:r>
          </w:p>
        </w:tc>
      </w:tr>
      <w:tr w:rsidR="005915C7" w14:paraId="3B88EA0E" w14:textId="77777777" w:rsidTr="005915C7">
        <w:tc>
          <w:tcPr>
            <w:tcW w:w="1656" w:type="dxa"/>
            <w:vAlign w:val="center"/>
          </w:tcPr>
          <w:p w14:paraId="65A72CC2" w14:textId="77777777" w:rsidR="005915C7" w:rsidRDefault="005915C7" w:rsidP="0011084D">
            <w:pPr>
              <w:jc w:val="left"/>
            </w:pPr>
            <w:r>
              <w:rPr>
                <w:sz w:val="16"/>
              </w:rPr>
              <w:t>CDH1</w:t>
            </w:r>
          </w:p>
        </w:tc>
        <w:tc>
          <w:tcPr>
            <w:tcW w:w="1224" w:type="dxa"/>
            <w:vAlign w:val="center"/>
          </w:tcPr>
          <w:p w14:paraId="596CF833" w14:textId="77777777" w:rsidR="005915C7" w:rsidRDefault="005915C7" w:rsidP="0011084D">
            <w:pPr>
              <w:jc w:val="center"/>
            </w:pPr>
            <w:r>
              <w:rPr>
                <w:sz w:val="16"/>
              </w:rPr>
              <w:t>89</w:t>
            </w:r>
          </w:p>
        </w:tc>
        <w:tc>
          <w:tcPr>
            <w:tcW w:w="1224" w:type="dxa"/>
            <w:vAlign w:val="center"/>
          </w:tcPr>
          <w:p w14:paraId="447AA1AE" w14:textId="77777777" w:rsidR="005915C7" w:rsidRDefault="005915C7" w:rsidP="0011084D">
            <w:pPr>
              <w:jc w:val="center"/>
            </w:pPr>
            <w:r>
              <w:rPr>
                <w:sz w:val="16"/>
              </w:rPr>
              <w:t>20</w:t>
            </w:r>
          </w:p>
        </w:tc>
      </w:tr>
      <w:tr w:rsidR="005915C7" w14:paraId="38712C5D" w14:textId="77777777" w:rsidTr="005915C7">
        <w:tc>
          <w:tcPr>
            <w:tcW w:w="1656" w:type="dxa"/>
            <w:vAlign w:val="center"/>
          </w:tcPr>
          <w:p w14:paraId="0E87EC29" w14:textId="77777777" w:rsidR="005915C7" w:rsidRDefault="005915C7" w:rsidP="0011084D">
            <w:pPr>
              <w:jc w:val="left"/>
            </w:pPr>
            <w:r>
              <w:rPr>
                <w:sz w:val="16"/>
              </w:rPr>
              <w:t>CHEK2</w:t>
            </w:r>
          </w:p>
        </w:tc>
        <w:tc>
          <w:tcPr>
            <w:tcW w:w="1224" w:type="dxa"/>
            <w:vAlign w:val="center"/>
          </w:tcPr>
          <w:p w14:paraId="0F7BA8E7" w14:textId="77777777" w:rsidR="005915C7" w:rsidRDefault="005915C7" w:rsidP="0011084D">
            <w:pPr>
              <w:jc w:val="center"/>
            </w:pPr>
            <w:r>
              <w:rPr>
                <w:sz w:val="16"/>
              </w:rPr>
              <w:t>8</w:t>
            </w:r>
          </w:p>
        </w:tc>
        <w:tc>
          <w:tcPr>
            <w:tcW w:w="1224" w:type="dxa"/>
            <w:vAlign w:val="center"/>
          </w:tcPr>
          <w:p w14:paraId="160B6EC0" w14:textId="77777777" w:rsidR="005915C7" w:rsidRDefault="005915C7" w:rsidP="0011084D">
            <w:pPr>
              <w:jc w:val="center"/>
            </w:pPr>
            <w:r>
              <w:rPr>
                <w:sz w:val="16"/>
              </w:rPr>
              <w:t>9</w:t>
            </w:r>
          </w:p>
        </w:tc>
      </w:tr>
      <w:tr w:rsidR="005915C7" w14:paraId="42F29922" w14:textId="77777777" w:rsidTr="005915C7">
        <w:tc>
          <w:tcPr>
            <w:tcW w:w="1656" w:type="dxa"/>
            <w:vAlign w:val="center"/>
          </w:tcPr>
          <w:p w14:paraId="68BFB164" w14:textId="77777777" w:rsidR="005915C7" w:rsidRDefault="005915C7" w:rsidP="0011084D">
            <w:pPr>
              <w:jc w:val="left"/>
            </w:pPr>
            <w:r>
              <w:rPr>
                <w:sz w:val="16"/>
              </w:rPr>
              <w:t>FANCA</w:t>
            </w:r>
          </w:p>
        </w:tc>
        <w:tc>
          <w:tcPr>
            <w:tcW w:w="1224" w:type="dxa"/>
            <w:vAlign w:val="center"/>
          </w:tcPr>
          <w:p w14:paraId="1D053FB8" w14:textId="77777777" w:rsidR="005915C7" w:rsidRDefault="005915C7" w:rsidP="0011084D">
            <w:pPr>
              <w:jc w:val="center"/>
            </w:pPr>
            <w:r>
              <w:rPr>
                <w:sz w:val="16"/>
              </w:rPr>
              <w:t>63</w:t>
            </w:r>
          </w:p>
        </w:tc>
        <w:tc>
          <w:tcPr>
            <w:tcW w:w="1224" w:type="dxa"/>
            <w:vAlign w:val="center"/>
          </w:tcPr>
          <w:p w14:paraId="6D6A2904" w14:textId="77777777" w:rsidR="005915C7" w:rsidRDefault="005915C7" w:rsidP="0011084D">
            <w:pPr>
              <w:jc w:val="center"/>
            </w:pPr>
            <w:r>
              <w:rPr>
                <w:sz w:val="16"/>
              </w:rPr>
              <w:t>77</w:t>
            </w:r>
          </w:p>
        </w:tc>
      </w:tr>
      <w:tr w:rsidR="005915C7" w14:paraId="1E79C38D" w14:textId="77777777" w:rsidTr="005915C7">
        <w:tc>
          <w:tcPr>
            <w:tcW w:w="1656" w:type="dxa"/>
            <w:vAlign w:val="center"/>
          </w:tcPr>
          <w:p w14:paraId="6FE97EF2" w14:textId="77777777" w:rsidR="005915C7" w:rsidRDefault="005915C7" w:rsidP="0011084D">
            <w:pPr>
              <w:jc w:val="left"/>
            </w:pPr>
            <w:r>
              <w:rPr>
                <w:sz w:val="16"/>
              </w:rPr>
              <w:t>FANCC</w:t>
            </w:r>
          </w:p>
        </w:tc>
        <w:tc>
          <w:tcPr>
            <w:tcW w:w="1224" w:type="dxa"/>
            <w:vAlign w:val="center"/>
          </w:tcPr>
          <w:p w14:paraId="6BB802B2" w14:textId="77777777" w:rsidR="005915C7" w:rsidRDefault="005915C7" w:rsidP="0011084D">
            <w:pPr>
              <w:jc w:val="center"/>
            </w:pPr>
            <w:r>
              <w:rPr>
                <w:sz w:val="16"/>
              </w:rPr>
              <w:t>15</w:t>
            </w:r>
          </w:p>
        </w:tc>
        <w:tc>
          <w:tcPr>
            <w:tcW w:w="1224" w:type="dxa"/>
            <w:vAlign w:val="center"/>
          </w:tcPr>
          <w:p w14:paraId="0D4C5F61" w14:textId="77777777" w:rsidR="005915C7" w:rsidRDefault="005915C7" w:rsidP="0011084D">
            <w:pPr>
              <w:jc w:val="center"/>
            </w:pPr>
            <w:r>
              <w:rPr>
                <w:sz w:val="16"/>
              </w:rPr>
              <w:t>4</w:t>
            </w:r>
          </w:p>
        </w:tc>
      </w:tr>
      <w:tr w:rsidR="005915C7" w14:paraId="200B6555" w14:textId="77777777" w:rsidTr="005915C7">
        <w:tc>
          <w:tcPr>
            <w:tcW w:w="1656" w:type="dxa"/>
            <w:vAlign w:val="center"/>
          </w:tcPr>
          <w:p w14:paraId="404FCB3E" w14:textId="77777777" w:rsidR="005915C7" w:rsidRDefault="005915C7" w:rsidP="0011084D">
            <w:pPr>
              <w:jc w:val="left"/>
            </w:pPr>
            <w:r>
              <w:rPr>
                <w:sz w:val="16"/>
              </w:rPr>
              <w:t>NBN</w:t>
            </w:r>
          </w:p>
        </w:tc>
        <w:tc>
          <w:tcPr>
            <w:tcW w:w="1224" w:type="dxa"/>
            <w:vAlign w:val="center"/>
          </w:tcPr>
          <w:p w14:paraId="5034ED41" w14:textId="77777777" w:rsidR="005915C7" w:rsidRDefault="005915C7" w:rsidP="0011084D">
            <w:pPr>
              <w:jc w:val="center"/>
            </w:pPr>
            <w:r>
              <w:rPr>
                <w:sz w:val="16"/>
              </w:rPr>
              <w:t>18</w:t>
            </w:r>
          </w:p>
        </w:tc>
        <w:tc>
          <w:tcPr>
            <w:tcW w:w="1224" w:type="dxa"/>
            <w:vAlign w:val="center"/>
          </w:tcPr>
          <w:p w14:paraId="197EA763" w14:textId="77777777" w:rsidR="005915C7" w:rsidRDefault="005915C7" w:rsidP="0011084D">
            <w:pPr>
              <w:jc w:val="center"/>
            </w:pPr>
            <w:r>
              <w:rPr>
                <w:sz w:val="16"/>
              </w:rPr>
              <w:t>2</w:t>
            </w:r>
          </w:p>
        </w:tc>
      </w:tr>
      <w:tr w:rsidR="005915C7" w14:paraId="2A2407FF" w14:textId="77777777" w:rsidTr="005915C7">
        <w:tc>
          <w:tcPr>
            <w:tcW w:w="1656" w:type="dxa"/>
            <w:vAlign w:val="center"/>
          </w:tcPr>
          <w:p w14:paraId="703B3DC0" w14:textId="77777777" w:rsidR="005915C7" w:rsidRDefault="005915C7" w:rsidP="0011084D">
            <w:pPr>
              <w:jc w:val="left"/>
            </w:pPr>
            <w:r>
              <w:rPr>
                <w:sz w:val="16"/>
              </w:rPr>
              <w:t>PALB2</w:t>
            </w:r>
          </w:p>
        </w:tc>
        <w:tc>
          <w:tcPr>
            <w:tcW w:w="1224" w:type="dxa"/>
            <w:vAlign w:val="center"/>
          </w:tcPr>
          <w:p w14:paraId="2BBCE0B8" w14:textId="77777777" w:rsidR="005915C7" w:rsidRDefault="005915C7" w:rsidP="0011084D">
            <w:pPr>
              <w:jc w:val="center"/>
            </w:pPr>
            <w:r>
              <w:rPr>
                <w:sz w:val="16"/>
              </w:rPr>
              <w:t>34</w:t>
            </w:r>
          </w:p>
        </w:tc>
        <w:tc>
          <w:tcPr>
            <w:tcW w:w="1224" w:type="dxa"/>
            <w:vAlign w:val="center"/>
          </w:tcPr>
          <w:p w14:paraId="0805B0F7" w14:textId="77777777" w:rsidR="005915C7" w:rsidRDefault="005915C7" w:rsidP="0011084D">
            <w:pPr>
              <w:jc w:val="center"/>
            </w:pPr>
            <w:r>
              <w:rPr>
                <w:sz w:val="16"/>
              </w:rPr>
              <w:t>6</w:t>
            </w:r>
          </w:p>
        </w:tc>
      </w:tr>
      <w:tr w:rsidR="005915C7" w14:paraId="6AD9101D" w14:textId="77777777" w:rsidTr="005915C7">
        <w:tc>
          <w:tcPr>
            <w:tcW w:w="1656" w:type="dxa"/>
            <w:vAlign w:val="center"/>
          </w:tcPr>
          <w:p w14:paraId="43538C0A" w14:textId="77777777" w:rsidR="005915C7" w:rsidRDefault="005915C7" w:rsidP="0011084D">
            <w:pPr>
              <w:jc w:val="left"/>
            </w:pPr>
            <w:r>
              <w:rPr>
                <w:sz w:val="16"/>
              </w:rPr>
              <w:t>PTEN</w:t>
            </w:r>
          </w:p>
        </w:tc>
        <w:tc>
          <w:tcPr>
            <w:tcW w:w="1224" w:type="dxa"/>
            <w:vAlign w:val="center"/>
          </w:tcPr>
          <w:p w14:paraId="773043A1" w14:textId="77777777" w:rsidR="005915C7" w:rsidRDefault="005915C7" w:rsidP="0011084D">
            <w:pPr>
              <w:jc w:val="center"/>
            </w:pPr>
            <w:r>
              <w:rPr>
                <w:sz w:val="16"/>
              </w:rPr>
              <w:t>22</w:t>
            </w:r>
          </w:p>
        </w:tc>
        <w:tc>
          <w:tcPr>
            <w:tcW w:w="1224" w:type="dxa"/>
            <w:vAlign w:val="center"/>
          </w:tcPr>
          <w:p w14:paraId="119F7C30" w14:textId="77777777" w:rsidR="005915C7" w:rsidRDefault="005915C7" w:rsidP="0011084D">
            <w:pPr>
              <w:jc w:val="center"/>
            </w:pPr>
            <w:r>
              <w:rPr>
                <w:sz w:val="16"/>
              </w:rPr>
              <w:t>211</w:t>
            </w:r>
          </w:p>
        </w:tc>
      </w:tr>
      <w:tr w:rsidR="005915C7" w14:paraId="43CBCE13" w14:textId="77777777" w:rsidTr="005915C7">
        <w:tc>
          <w:tcPr>
            <w:tcW w:w="1656" w:type="dxa"/>
            <w:vAlign w:val="center"/>
          </w:tcPr>
          <w:p w14:paraId="244C078C" w14:textId="77777777" w:rsidR="005915C7" w:rsidRDefault="005915C7" w:rsidP="0011084D">
            <w:pPr>
              <w:jc w:val="left"/>
            </w:pPr>
            <w:r>
              <w:rPr>
                <w:sz w:val="16"/>
              </w:rPr>
              <w:t>RAD51C</w:t>
            </w:r>
          </w:p>
        </w:tc>
        <w:tc>
          <w:tcPr>
            <w:tcW w:w="1224" w:type="dxa"/>
            <w:vAlign w:val="center"/>
          </w:tcPr>
          <w:p w14:paraId="13CA5CB4" w14:textId="77777777" w:rsidR="005915C7" w:rsidRDefault="005915C7" w:rsidP="0011084D">
            <w:pPr>
              <w:jc w:val="center"/>
            </w:pPr>
            <w:r>
              <w:rPr>
                <w:sz w:val="16"/>
              </w:rPr>
              <w:t>10</w:t>
            </w:r>
          </w:p>
        </w:tc>
        <w:tc>
          <w:tcPr>
            <w:tcW w:w="1224" w:type="dxa"/>
            <w:vAlign w:val="center"/>
          </w:tcPr>
          <w:p w14:paraId="55532CDF" w14:textId="77777777" w:rsidR="005915C7" w:rsidRDefault="005915C7" w:rsidP="0011084D">
            <w:pPr>
              <w:jc w:val="center"/>
            </w:pPr>
            <w:r>
              <w:rPr>
                <w:sz w:val="16"/>
              </w:rPr>
              <w:t>9</w:t>
            </w:r>
          </w:p>
        </w:tc>
      </w:tr>
      <w:tr w:rsidR="005915C7" w14:paraId="3E09DC36" w14:textId="77777777" w:rsidTr="005915C7">
        <w:tc>
          <w:tcPr>
            <w:tcW w:w="1656" w:type="dxa"/>
            <w:vAlign w:val="center"/>
          </w:tcPr>
          <w:p w14:paraId="7CAD8D75" w14:textId="77777777" w:rsidR="005915C7" w:rsidRDefault="005915C7" w:rsidP="0011084D">
            <w:pPr>
              <w:jc w:val="left"/>
            </w:pPr>
            <w:r>
              <w:rPr>
                <w:sz w:val="16"/>
              </w:rPr>
              <w:t>RAD51D</w:t>
            </w:r>
          </w:p>
        </w:tc>
        <w:tc>
          <w:tcPr>
            <w:tcW w:w="1224" w:type="dxa"/>
            <w:vAlign w:val="center"/>
          </w:tcPr>
          <w:p w14:paraId="2918CA8D" w14:textId="77777777" w:rsidR="005915C7" w:rsidRDefault="005915C7" w:rsidP="0011084D">
            <w:pPr>
              <w:jc w:val="center"/>
            </w:pPr>
            <w:r>
              <w:rPr>
                <w:sz w:val="16"/>
              </w:rPr>
              <w:t>10</w:t>
            </w:r>
          </w:p>
        </w:tc>
        <w:tc>
          <w:tcPr>
            <w:tcW w:w="1224" w:type="dxa"/>
            <w:vAlign w:val="center"/>
          </w:tcPr>
          <w:p w14:paraId="371F3F3E" w14:textId="77777777" w:rsidR="005915C7" w:rsidRDefault="005915C7" w:rsidP="0011084D">
            <w:pPr>
              <w:jc w:val="center"/>
            </w:pPr>
            <w:r>
              <w:rPr>
                <w:sz w:val="16"/>
              </w:rPr>
              <w:t>1</w:t>
            </w:r>
          </w:p>
        </w:tc>
      </w:tr>
      <w:tr w:rsidR="005915C7" w14:paraId="53A86059" w14:textId="77777777" w:rsidTr="005915C7">
        <w:tc>
          <w:tcPr>
            <w:tcW w:w="1656" w:type="dxa"/>
            <w:vAlign w:val="center"/>
          </w:tcPr>
          <w:p w14:paraId="1B51E3E7" w14:textId="77777777" w:rsidR="005915C7" w:rsidRDefault="005915C7" w:rsidP="0011084D">
            <w:pPr>
              <w:jc w:val="left"/>
            </w:pPr>
            <w:r>
              <w:rPr>
                <w:sz w:val="16"/>
              </w:rPr>
              <w:t>STK11</w:t>
            </w:r>
          </w:p>
        </w:tc>
        <w:tc>
          <w:tcPr>
            <w:tcW w:w="1224" w:type="dxa"/>
            <w:vAlign w:val="center"/>
          </w:tcPr>
          <w:p w14:paraId="2FA0D80E" w14:textId="77777777" w:rsidR="005915C7" w:rsidRDefault="005915C7" w:rsidP="0011084D">
            <w:pPr>
              <w:jc w:val="center"/>
            </w:pPr>
            <w:r>
              <w:rPr>
                <w:sz w:val="16"/>
              </w:rPr>
              <w:t>7</w:t>
            </w:r>
          </w:p>
        </w:tc>
        <w:tc>
          <w:tcPr>
            <w:tcW w:w="1224" w:type="dxa"/>
            <w:vAlign w:val="center"/>
          </w:tcPr>
          <w:p w14:paraId="488D6155" w14:textId="77777777" w:rsidR="005915C7" w:rsidRDefault="005915C7" w:rsidP="0011084D">
            <w:pPr>
              <w:jc w:val="center"/>
            </w:pPr>
            <w:r>
              <w:rPr>
                <w:sz w:val="16"/>
              </w:rPr>
              <w:t>33</w:t>
            </w:r>
          </w:p>
        </w:tc>
      </w:tr>
      <w:tr w:rsidR="005915C7" w14:paraId="6575525E" w14:textId="77777777" w:rsidTr="005915C7">
        <w:tc>
          <w:tcPr>
            <w:tcW w:w="1656" w:type="dxa"/>
            <w:vAlign w:val="center"/>
          </w:tcPr>
          <w:p w14:paraId="7D8525E6" w14:textId="77777777" w:rsidR="005915C7" w:rsidRDefault="005915C7" w:rsidP="0011084D">
            <w:pPr>
              <w:jc w:val="left"/>
            </w:pPr>
            <w:r>
              <w:rPr>
                <w:sz w:val="16"/>
              </w:rPr>
              <w:t>TP53</w:t>
            </w:r>
          </w:p>
        </w:tc>
        <w:tc>
          <w:tcPr>
            <w:tcW w:w="1224" w:type="dxa"/>
            <w:vAlign w:val="center"/>
          </w:tcPr>
          <w:p w14:paraId="780BD426" w14:textId="77777777" w:rsidR="005915C7" w:rsidRDefault="005915C7" w:rsidP="0011084D">
            <w:pPr>
              <w:jc w:val="center"/>
            </w:pPr>
            <w:r>
              <w:rPr>
                <w:sz w:val="16"/>
              </w:rPr>
              <w:t>121</w:t>
            </w:r>
          </w:p>
        </w:tc>
        <w:tc>
          <w:tcPr>
            <w:tcW w:w="1224" w:type="dxa"/>
            <w:vAlign w:val="center"/>
          </w:tcPr>
          <w:p w14:paraId="78D6AFB6" w14:textId="77777777" w:rsidR="005915C7" w:rsidRDefault="005915C7" w:rsidP="0011084D">
            <w:pPr>
              <w:jc w:val="center"/>
            </w:pPr>
            <w:r>
              <w:rPr>
                <w:sz w:val="16"/>
              </w:rPr>
              <w:t>209</w:t>
            </w:r>
          </w:p>
        </w:tc>
      </w:tr>
      <w:tr w:rsidR="005915C7" w14:paraId="0FEF9E42" w14:textId="77777777" w:rsidTr="005915C7">
        <w:tc>
          <w:tcPr>
            <w:tcW w:w="1656" w:type="dxa"/>
            <w:tcBorders>
              <w:bottom w:val="single" w:sz="4" w:space="0" w:color="auto"/>
            </w:tcBorders>
            <w:vAlign w:val="center"/>
          </w:tcPr>
          <w:p w14:paraId="60E5C36D" w14:textId="77777777" w:rsidR="005915C7" w:rsidRDefault="005915C7" w:rsidP="0011084D">
            <w:pPr>
              <w:jc w:val="left"/>
            </w:pPr>
            <w:r>
              <w:rPr>
                <w:b/>
                <w:sz w:val="16"/>
              </w:rPr>
              <w:t>Total</w:t>
            </w:r>
          </w:p>
        </w:tc>
        <w:tc>
          <w:tcPr>
            <w:tcW w:w="1224" w:type="dxa"/>
            <w:tcBorders>
              <w:bottom w:val="single" w:sz="4" w:space="0" w:color="auto"/>
            </w:tcBorders>
            <w:vAlign w:val="center"/>
          </w:tcPr>
          <w:p w14:paraId="69872049" w14:textId="77777777" w:rsidR="005915C7" w:rsidRDefault="005915C7" w:rsidP="0011084D">
            <w:pPr>
              <w:jc w:val="center"/>
            </w:pPr>
            <w:r>
              <w:rPr>
                <w:b/>
                <w:sz w:val="16"/>
              </w:rPr>
              <w:t>1,187</w:t>
            </w:r>
          </w:p>
        </w:tc>
        <w:tc>
          <w:tcPr>
            <w:tcW w:w="1224" w:type="dxa"/>
            <w:tcBorders>
              <w:bottom w:val="single" w:sz="4" w:space="0" w:color="auto"/>
            </w:tcBorders>
            <w:vAlign w:val="center"/>
          </w:tcPr>
          <w:p w14:paraId="7FEE7BBD" w14:textId="77777777" w:rsidR="005915C7" w:rsidRDefault="005915C7" w:rsidP="0011084D">
            <w:pPr>
              <w:jc w:val="center"/>
            </w:pPr>
            <w:r>
              <w:rPr>
                <w:b/>
                <w:sz w:val="16"/>
              </w:rPr>
              <w:t>973</w:t>
            </w:r>
          </w:p>
        </w:tc>
      </w:tr>
    </w:tbl>
    <w:p w14:paraId="4C4B1C93" w14:textId="77777777" w:rsidR="005915C7" w:rsidRPr="00A7390A" w:rsidRDefault="005915C7" w:rsidP="00CD0244">
      <w:pPr>
        <w:pStyle w:val="MDPI31text"/>
        <w:rPr>
          <w:szCs w:val="20"/>
        </w:rPr>
      </w:pPr>
    </w:p>
    <w:p w14:paraId="477B6325" w14:textId="77777777" w:rsidR="00083AA0" w:rsidRPr="00A7390A" w:rsidRDefault="00CD0244" w:rsidP="00CD0244">
      <w:pPr>
        <w:pStyle w:val="MDPI22heading2"/>
        <w:spacing w:before="240"/>
        <w:rPr>
          <w:szCs w:val="20"/>
        </w:rPr>
      </w:pPr>
      <w:r w:rsidRPr="00A7390A">
        <w:t>4.3 Feature matrix construction and preprocessing</w:t>
      </w:r>
    </w:p>
    <w:p w14:paraId="639767D1" w14:textId="77777777" w:rsidR="00083AA0" w:rsidRPr="00CD0244" w:rsidRDefault="00083AA0" w:rsidP="00CD0244">
      <w:pPr>
        <w:pStyle w:val="MDPI31text"/>
        <w:rPr>
          <w:szCs w:val="20"/>
        </w:rPr>
      </w:pPr>
      <w:r w:rsidRPr="00A7390A">
        <w:rPr>
          <w:szCs w:val="20"/>
        </w:rPr>
        <w:t xml:space="preserve">Each variant was represented by a numerical feature vector </w:t>
      </w:r>
      <w:proofErr w:type="gramStart"/>
      <w:r w:rsidRPr="00A7390A">
        <w:rPr>
          <w:szCs w:val="20"/>
        </w:rPr>
        <w:t>containing</w:t>
      </w:r>
      <w:r w:rsidRPr="00CD0244">
        <w:rPr>
          <w:szCs w:val="20"/>
        </w:rPr>
        <w:t xml:space="preserve"> in</w:t>
      </w:r>
      <w:proofErr w:type="gramEnd"/>
      <w:r w:rsidRPr="00CD0244">
        <w:rPr>
          <w:szCs w:val="20"/>
        </w:rPr>
        <w:t xml:space="preserve"> silico pathogenicity scores, rank scores, conservation metrics, splicing-related predictors and protein/context annotations. After exclusion of identity, label, categorical prediction and annotation fields, 93 of the 122 in silico scores were eligible numerical predictors. Eight predictors with more than 40% missingness in the </w:t>
      </w:r>
      <w:proofErr w:type="spellStart"/>
      <w:r w:rsidRPr="00CD0244">
        <w:rPr>
          <w:szCs w:val="20"/>
        </w:rPr>
        <w:t>unlabelled</w:t>
      </w:r>
      <w:proofErr w:type="spellEnd"/>
      <w:r w:rsidRPr="00CD0244">
        <w:rPr>
          <w:szCs w:val="20"/>
        </w:rPr>
        <w:t xml:space="preserve"> application archive were removed before resampling, leaving 85 deployment-compatible predictors. Missing values were imputed within the training workflow. Continuous predictors were scaled after imputation. Within each analysis-training partition, the four </w:t>
      </w:r>
      <w:proofErr w:type="spellStart"/>
      <w:r w:rsidRPr="00CD0244">
        <w:rPr>
          <w:szCs w:val="20"/>
        </w:rPr>
        <w:t>SpliceAI</w:t>
      </w:r>
      <w:proofErr w:type="spellEnd"/>
      <w:r w:rsidRPr="00CD0244">
        <w:rPr>
          <w:szCs w:val="20"/>
        </w:rPr>
        <w:t xml:space="preserve"> delta scores </w:t>
      </w:r>
      <w:r w:rsidRPr="00CD0244">
        <w:rPr>
          <w:szCs w:val="20"/>
        </w:rPr>
        <w:fldChar w:fldCharType="begin" w:fldLock="1"/>
      </w:r>
      <w:r w:rsidR="0066732E">
        <w:rPr>
          <w:szCs w:val="20"/>
        </w:rPr>
        <w:instrText>ADDIN CSL_CITATION {"citationItems":[{"id":"ITEM-1","itemData":{"DOI":"https://doi.org/10.1016/j.cell.2018.12.015","ISSN":"0092-8674","abstract":"Summary The splicing of pre-mRNAs into mature transcripts is remarkable for its precision, but the mechanisms by which the cellular machinery achieves such specificity are incompletely understood. Here, we describe a deep neural network that accurately predicts splice junctions from an arbitrary pre-mRNA transcript sequence, enabling precise prediction of noncoding genetic variants that cause cryptic splicing. Synonymous and intronic mutations with predicted splice-altering consequence validate at a high rate on RNA-seq and are strongly deleterious in the human population. De novo mutations with predicted splice-altering consequence are significantly enriched in patients with autism and intellectual disability compared to healthy controls and validate against RNA-seq in 21 out of 28 of these patients. We estimate that 9%–11% of pathogenic mutations in patients with rare genetic disorders are caused by this previously underappreciated class of disease variation.","author":[{"dropping-particle":"","family":"Jaganathan","given":"Kishore","non-dropping-particle":"","parse-names":false,"suffix":""},{"dropping-particle":"","family":"Kyriazopoulou Panagiotopoulou","given":"Sofia","non-dropping-particle":"","parse-names":false,"suffix":""},{"dropping-particle":"","family":"McRae","given":"Jeremy F","non-dropping-particle":"","parse-names":false,"suffix":""},{"dropping-particle":"","family":"Darbandi","given":"Siavash Fazel","non-dropping-particle":"","parse-names":false,"suffix":""},{"dropping-particle":"","family":"Knowles","given":"David","non-dropping-particle":"","parse-names":false,"suffix":""},{"dropping-particle":"","family":"Li","given":"Yang I","non-dropping-particle":"","parse-names":false,"suffix":""},{"dropping-particle":"","family":"Kosmicki","given":"Jack A","non-dropping-particle":"","parse-names":false,"suffix":""},{"dropping-particle":"","family":"Arbelaez","given":"Juan","non-dropping-particle":"","parse-names":false,"suffix":""},{"dropping-particle":"","family":"Cui","given":"Wenwu","non-dropping-particle":"","parse-names":false,"suffix":""},{"dropping-particle":"","family":"Schwartz","given":"Grace B","non-dropping-particle":"","parse-names":false,"suffix":""},{"dropping-particle":"","family":"Chow","given":"Eric D","non-dropping-particle":"","parse-names":false,"suffix":""},{"dropping-particle":"","family":"Kanterakis","given":"Efstathios","non-dropping-particle":"","parse-names":false,"suffix":""},{"dropping-particle":"","family":"Gao","given":"Hong","non-dropping-particle":"","parse-names":false,"suffix":""},{"dropping-particle":"","family":"Kia","given":"Amirali","non-dropping-particle":"","parse-names":false,"suffix":""},{"dropping-particle":"","family":"Batzoglou","given":"Serafim","non-dropping-particle":"","parse-names":false,"suffix":""},{"dropping-particle":"","family":"Sanders","given":"Stephan J","non-dropping-particle":"","parse-names":false,"suffix":""},{"dropping-particle":"","family":"Farh","given":"Kyle Kai-How","non-dropping-particle":"","parse-names":false,"suffix":""}],"container-title":"Cell","id":"ITEM-1","issue":"3","issued":{"date-parts":[["2019"]]},"page":"535-548.e24","title":"Predicting Splicing from Primary Sequence with Deep Learning","type":"article-journal","volume":"176"},"uris":["http://www.mendeley.com/documents/?uuid=5eb51c70-11fe-4723-a352-7989341385cf"]}],"mendeley":{"formattedCitation":"[35]","plainTextFormattedCitation":"[35]","previouslyFormattedCitation":"[35]"},"properties":{"noteIndex":0},"schema":"https://github.com/citation-style-language/schema/raw/master/csl-citation.json"}</w:instrText>
      </w:r>
      <w:r w:rsidRPr="00CD0244">
        <w:rPr>
          <w:szCs w:val="20"/>
        </w:rPr>
        <w:fldChar w:fldCharType="separate"/>
      </w:r>
      <w:r w:rsidR="00A92055" w:rsidRPr="00A92055">
        <w:rPr>
          <w:noProof/>
          <w:szCs w:val="20"/>
        </w:rPr>
        <w:t>[35]</w:t>
      </w:r>
      <w:r w:rsidRPr="00CD0244">
        <w:rPr>
          <w:szCs w:val="20"/>
        </w:rPr>
        <w:fldChar w:fldCharType="end"/>
      </w:r>
      <w:r w:rsidRPr="00CD0244">
        <w:rPr>
          <w:szCs w:val="20"/>
        </w:rPr>
        <w:t xml:space="preserve"> were collapsed to their row-wise maximum; predictors with more than 40% missingness, zero </w:t>
      </w:r>
      <w:r w:rsidRPr="00CD0244">
        <w:rPr>
          <w:szCs w:val="20"/>
        </w:rPr>
        <w:lastRenderedPageBreak/>
        <w:t>variance or near-zero variance were removed; semantically duplicated score/rank representations were reduced deterministically; and complete-linkage clusters based on pairwise-complete absolute Spearman correlation were cut at |ρ| ≥ 0.90. Training-partition medians and z-</w:t>
      </w:r>
      <w:proofErr w:type="spellStart"/>
      <w:r w:rsidRPr="00CD0244">
        <w:rPr>
          <w:szCs w:val="20"/>
        </w:rPr>
        <w:t>standardisation</w:t>
      </w:r>
      <w:proofErr w:type="spellEnd"/>
      <w:r w:rsidRPr="00CD0244">
        <w:rPr>
          <w:szCs w:val="20"/>
        </w:rPr>
        <w:t xml:space="preserve"> parameters were then applied unchanged to the corresponding assessment partition. Gene-aware splitting, imputation, scaling and feature selection were performed within the training partition, and the locked preprocessing objects were applied to the corresponding outer assessment partition and the final application catalogue without refitting.</w:t>
      </w:r>
    </w:p>
    <w:p w14:paraId="4276B3E9" w14:textId="77777777" w:rsidR="00083AA0" w:rsidRPr="00A7390A" w:rsidRDefault="00CD0244" w:rsidP="00CD0244">
      <w:pPr>
        <w:pStyle w:val="MDPI22heading2"/>
        <w:spacing w:before="240"/>
        <w:rPr>
          <w:szCs w:val="20"/>
        </w:rPr>
      </w:pPr>
      <w:r w:rsidRPr="00A7390A">
        <w:t>4.4 Candidate learners and family-wise selection</w:t>
      </w:r>
    </w:p>
    <w:p w14:paraId="5EE0DC91" w14:textId="62712050" w:rsidR="00083AA0" w:rsidRPr="00CD0244" w:rsidRDefault="00083AA0" w:rsidP="00CD0244">
      <w:pPr>
        <w:pStyle w:val="MDPI31text"/>
        <w:rPr>
          <w:szCs w:val="20"/>
        </w:rPr>
      </w:pPr>
      <w:r w:rsidRPr="00A7390A">
        <w:rPr>
          <w:szCs w:val="20"/>
        </w:rPr>
        <w:t xml:space="preserve">The labelled anchor set was used exclusively for supervised model development and internal evaluation. Nine candidate learners were assessed: elastic-net logistic regression, radial-basis-function support vector machine (SVM-RBF), k-nearest </w:t>
      </w:r>
      <w:proofErr w:type="spellStart"/>
      <w:r w:rsidRPr="00A7390A">
        <w:rPr>
          <w:szCs w:val="20"/>
        </w:rPr>
        <w:t>neighbours</w:t>
      </w:r>
      <w:proofErr w:type="spellEnd"/>
      <w:r w:rsidRPr="00A7390A">
        <w:rPr>
          <w:szCs w:val="20"/>
        </w:rPr>
        <w:t>, Gaussian naive Bayes, random forest, Extra Trees, AdaBoost, gradient boosting and histogram gradient boosting. Four learners were selected by a prespecified family-wise rule comprising the two highest-ranked classical models, the highest-ranked bagging model and the highest-ranked boosting model, thereby preserving algorithmic</w:t>
      </w:r>
      <w:r w:rsidRPr="00CD0244">
        <w:rPr>
          <w:szCs w:val="20"/>
        </w:rPr>
        <w:t xml:space="preserve"> diversity. Within each analysis split, up to eight unique configurations per learner were sampled without replacement from the prespecified search spaces (Table </w:t>
      </w:r>
      <w:r w:rsidR="005915C7">
        <w:rPr>
          <w:szCs w:val="20"/>
        </w:rPr>
        <w:t>2</w:t>
      </w:r>
      <w:r w:rsidRPr="00CD0244">
        <w:rPr>
          <w:szCs w:val="20"/>
        </w:rPr>
        <w:t>). Hyperparameters were selected by mean inner-CV AUROC, with lower AUROC SD and then a deterministic parameter-string rule used to resolve ties.</w:t>
      </w:r>
    </w:p>
    <w:p w14:paraId="737A883B" w14:textId="2F132231" w:rsidR="00083AA0" w:rsidRPr="00CD0244" w:rsidRDefault="00083AA0" w:rsidP="00CD0244">
      <w:pPr>
        <w:pStyle w:val="MDPI41tablecaption"/>
        <w:rPr>
          <w:rFonts w:cs="Times New Roman"/>
          <w:snapToGrid w:val="0"/>
          <w:szCs w:val="18"/>
        </w:rPr>
      </w:pPr>
      <w:r w:rsidRPr="00CD0244">
        <w:rPr>
          <w:rFonts w:cs="Times New Roman"/>
          <w:b/>
          <w:snapToGrid w:val="0"/>
          <w:szCs w:val="18"/>
        </w:rPr>
        <w:t xml:space="preserve">Table </w:t>
      </w:r>
      <w:r w:rsidR="005915C7">
        <w:rPr>
          <w:rFonts w:cs="Times New Roman"/>
          <w:b/>
          <w:snapToGrid w:val="0"/>
          <w:szCs w:val="18"/>
        </w:rPr>
        <w:t>2</w:t>
      </w:r>
      <w:r w:rsidRPr="00CD0244">
        <w:rPr>
          <w:rFonts w:cs="Times New Roman"/>
          <w:b/>
          <w:snapToGrid w:val="0"/>
          <w:szCs w:val="18"/>
        </w:rPr>
        <w:t xml:space="preserve">. </w:t>
      </w:r>
      <w:r w:rsidRPr="00CD0244">
        <w:rPr>
          <w:rFonts w:cs="Times New Roman"/>
          <w:snapToGrid w:val="0"/>
          <w:szCs w:val="18"/>
        </w:rPr>
        <w:t>Prespecified hyperparameter search spaces.</w:t>
      </w:r>
    </w:p>
    <w:tbl>
      <w:tblPr>
        <w:tblStyle w:val="MDPItable"/>
        <w:tblW w:w="10465" w:type="dxa"/>
        <w:jc w:val="center"/>
        <w:tblBorders>
          <w:top w:val="single" w:sz="4" w:space="0" w:color="auto"/>
          <w:bottom w:val="single" w:sz="4" w:space="0" w:color="auto"/>
        </w:tblBorders>
        <w:tblLayout w:type="fixed"/>
        <w:tblLook w:val="04A0" w:firstRow="1" w:lastRow="0" w:firstColumn="1" w:lastColumn="0" w:noHBand="0" w:noVBand="1"/>
      </w:tblPr>
      <w:tblGrid>
        <w:gridCol w:w="3747"/>
        <w:gridCol w:w="6718"/>
      </w:tblGrid>
      <w:tr w:rsidR="00083AA0" w:rsidRPr="00CD0244" w14:paraId="3C7C02EF" w14:textId="77777777" w:rsidTr="00CD0244">
        <w:trPr>
          <w:cantSplit/>
          <w:tblHeader/>
          <w:jc w:val="center"/>
        </w:trPr>
        <w:tc>
          <w:tcPr>
            <w:tcW w:w="2610" w:type="dxa"/>
            <w:tcBorders>
              <w:top w:val="single" w:sz="8" w:space="0" w:color="auto"/>
              <w:bottom w:val="single" w:sz="4" w:space="0" w:color="auto"/>
            </w:tcBorders>
            <w:tcMar>
              <w:top w:w="80" w:type="dxa"/>
              <w:left w:w="80" w:type="dxa"/>
              <w:bottom w:w="80" w:type="dxa"/>
              <w:right w:w="80" w:type="dxa"/>
            </w:tcMar>
            <w:vAlign w:val="center"/>
          </w:tcPr>
          <w:p w14:paraId="3EC92C4E" w14:textId="77777777" w:rsidR="00083AA0" w:rsidRPr="00CD0244" w:rsidRDefault="00083AA0" w:rsidP="00CD0244">
            <w:pPr>
              <w:pStyle w:val="MDPI42tablebody"/>
              <w:rPr>
                <w:b/>
              </w:rPr>
            </w:pPr>
            <w:r w:rsidRPr="00CD0244">
              <w:rPr>
                <w:b/>
              </w:rPr>
              <w:t>Learner</w:t>
            </w:r>
          </w:p>
        </w:tc>
        <w:tc>
          <w:tcPr>
            <w:tcW w:w="4680" w:type="dxa"/>
            <w:tcBorders>
              <w:top w:val="single" w:sz="8" w:space="0" w:color="auto"/>
              <w:bottom w:val="single" w:sz="4" w:space="0" w:color="auto"/>
            </w:tcBorders>
            <w:tcMar>
              <w:top w:w="80" w:type="dxa"/>
              <w:left w:w="80" w:type="dxa"/>
              <w:bottom w:w="80" w:type="dxa"/>
              <w:right w:w="80" w:type="dxa"/>
            </w:tcMar>
            <w:vAlign w:val="center"/>
          </w:tcPr>
          <w:p w14:paraId="46B58354" w14:textId="77777777" w:rsidR="00083AA0" w:rsidRPr="00CD0244" w:rsidRDefault="00083AA0" w:rsidP="00CD0244">
            <w:pPr>
              <w:pStyle w:val="MDPI42tablebody"/>
              <w:rPr>
                <w:b/>
              </w:rPr>
            </w:pPr>
            <w:r w:rsidRPr="00CD0244">
              <w:rPr>
                <w:b/>
              </w:rPr>
              <w:t>Evaluated search space</w:t>
            </w:r>
          </w:p>
        </w:tc>
      </w:tr>
      <w:tr w:rsidR="00083AA0" w:rsidRPr="00CD0244" w14:paraId="7BC2FC90" w14:textId="77777777" w:rsidTr="00CD0244">
        <w:trPr>
          <w:cantSplit/>
          <w:jc w:val="center"/>
        </w:trPr>
        <w:tc>
          <w:tcPr>
            <w:tcW w:w="2610" w:type="dxa"/>
            <w:tcBorders>
              <w:top w:val="single" w:sz="4" w:space="0" w:color="auto"/>
            </w:tcBorders>
            <w:tcMar>
              <w:top w:w="80" w:type="dxa"/>
              <w:left w:w="80" w:type="dxa"/>
              <w:bottom w:w="80" w:type="dxa"/>
              <w:right w:w="80" w:type="dxa"/>
            </w:tcMar>
            <w:vAlign w:val="center"/>
          </w:tcPr>
          <w:p w14:paraId="7C89675B" w14:textId="77777777" w:rsidR="00083AA0" w:rsidRPr="00CD0244" w:rsidRDefault="00083AA0" w:rsidP="00CD0244">
            <w:pPr>
              <w:pStyle w:val="MDPI42tablebody"/>
            </w:pPr>
            <w:r w:rsidRPr="00CD0244">
              <w:t>Elastic-net logistic</w:t>
            </w:r>
          </w:p>
        </w:tc>
        <w:tc>
          <w:tcPr>
            <w:tcW w:w="4680" w:type="dxa"/>
            <w:tcBorders>
              <w:top w:val="single" w:sz="4" w:space="0" w:color="auto"/>
            </w:tcBorders>
            <w:tcMar>
              <w:top w:w="80" w:type="dxa"/>
              <w:left w:w="80" w:type="dxa"/>
              <w:bottom w:w="80" w:type="dxa"/>
              <w:right w:w="80" w:type="dxa"/>
            </w:tcMar>
            <w:vAlign w:val="center"/>
          </w:tcPr>
          <w:p w14:paraId="3E4F1AC6" w14:textId="77777777" w:rsidR="00083AA0" w:rsidRPr="00CD0244" w:rsidRDefault="00083AA0" w:rsidP="00CD0244">
            <w:pPr>
              <w:pStyle w:val="MDPI42tablebody"/>
            </w:pPr>
            <w:r w:rsidRPr="00CD0244">
              <w:t>C: 0.03, 0.10, 0.30, 1, 3, 10; L1 ratio: 0, 0.5, 1</w:t>
            </w:r>
          </w:p>
        </w:tc>
      </w:tr>
      <w:tr w:rsidR="00083AA0" w:rsidRPr="00CD0244" w14:paraId="5906C72B" w14:textId="77777777" w:rsidTr="00CD0244">
        <w:trPr>
          <w:cantSplit/>
          <w:jc w:val="center"/>
        </w:trPr>
        <w:tc>
          <w:tcPr>
            <w:tcW w:w="2610" w:type="dxa"/>
            <w:tcMar>
              <w:top w:w="80" w:type="dxa"/>
              <w:left w:w="80" w:type="dxa"/>
              <w:bottom w:w="80" w:type="dxa"/>
              <w:right w:w="80" w:type="dxa"/>
            </w:tcMar>
            <w:vAlign w:val="center"/>
          </w:tcPr>
          <w:p w14:paraId="026009F7" w14:textId="77777777" w:rsidR="00083AA0" w:rsidRPr="00CD0244" w:rsidRDefault="00083AA0" w:rsidP="00CD0244">
            <w:pPr>
              <w:pStyle w:val="MDPI42tablebody"/>
            </w:pPr>
            <w:r w:rsidRPr="00CD0244">
              <w:t>SVM-RBF</w:t>
            </w:r>
          </w:p>
        </w:tc>
        <w:tc>
          <w:tcPr>
            <w:tcW w:w="4680" w:type="dxa"/>
            <w:tcMar>
              <w:top w:w="80" w:type="dxa"/>
              <w:left w:w="80" w:type="dxa"/>
              <w:bottom w:w="80" w:type="dxa"/>
              <w:right w:w="80" w:type="dxa"/>
            </w:tcMar>
            <w:vAlign w:val="center"/>
          </w:tcPr>
          <w:p w14:paraId="396B00B4" w14:textId="77777777" w:rsidR="00083AA0" w:rsidRPr="00CD0244" w:rsidRDefault="00083AA0" w:rsidP="00CD0244">
            <w:pPr>
              <w:pStyle w:val="MDPI42tablebody"/>
            </w:pPr>
            <w:r w:rsidRPr="00CD0244">
              <w:t>C: 0.25, 0.75, 2, 6, 16; gamma: scale, 0.01, 0.03, 0.10</w:t>
            </w:r>
          </w:p>
        </w:tc>
      </w:tr>
      <w:tr w:rsidR="00083AA0" w:rsidRPr="00CD0244" w14:paraId="7168FF9D" w14:textId="77777777" w:rsidTr="00CD0244">
        <w:trPr>
          <w:cantSplit/>
          <w:jc w:val="center"/>
        </w:trPr>
        <w:tc>
          <w:tcPr>
            <w:tcW w:w="2610" w:type="dxa"/>
            <w:tcMar>
              <w:top w:w="80" w:type="dxa"/>
              <w:left w:w="80" w:type="dxa"/>
              <w:bottom w:w="80" w:type="dxa"/>
              <w:right w:w="80" w:type="dxa"/>
            </w:tcMar>
            <w:vAlign w:val="center"/>
          </w:tcPr>
          <w:p w14:paraId="74139BED" w14:textId="77777777" w:rsidR="00083AA0" w:rsidRPr="00CD0244" w:rsidRDefault="00083AA0" w:rsidP="00CD0244">
            <w:pPr>
              <w:pStyle w:val="MDPI42tablebody"/>
            </w:pPr>
            <w:r w:rsidRPr="00CD0244">
              <w:t>k-nearest neighbours</w:t>
            </w:r>
          </w:p>
        </w:tc>
        <w:tc>
          <w:tcPr>
            <w:tcW w:w="4680" w:type="dxa"/>
            <w:tcMar>
              <w:top w:w="80" w:type="dxa"/>
              <w:left w:w="80" w:type="dxa"/>
              <w:bottom w:w="80" w:type="dxa"/>
              <w:right w:w="80" w:type="dxa"/>
            </w:tcMar>
            <w:vAlign w:val="center"/>
          </w:tcPr>
          <w:p w14:paraId="2F51D519" w14:textId="77777777" w:rsidR="00083AA0" w:rsidRPr="00CD0244" w:rsidRDefault="00083AA0" w:rsidP="00CD0244">
            <w:pPr>
              <w:pStyle w:val="MDPI42tablebody"/>
            </w:pPr>
            <w:r w:rsidRPr="00CD0244">
              <w:t>k: 5, 9, 15, 25, 41; weights: uniform/distance; Minkowski p: 1/2</w:t>
            </w:r>
          </w:p>
        </w:tc>
      </w:tr>
      <w:tr w:rsidR="00083AA0" w:rsidRPr="00CD0244" w14:paraId="18AC0C5D" w14:textId="77777777" w:rsidTr="00CD0244">
        <w:trPr>
          <w:cantSplit/>
          <w:jc w:val="center"/>
        </w:trPr>
        <w:tc>
          <w:tcPr>
            <w:tcW w:w="2610" w:type="dxa"/>
            <w:tcMar>
              <w:top w:w="80" w:type="dxa"/>
              <w:left w:w="80" w:type="dxa"/>
              <w:bottom w:w="80" w:type="dxa"/>
              <w:right w:w="80" w:type="dxa"/>
            </w:tcMar>
            <w:vAlign w:val="center"/>
          </w:tcPr>
          <w:p w14:paraId="64231A93" w14:textId="77777777" w:rsidR="00083AA0" w:rsidRPr="00CD0244" w:rsidRDefault="00083AA0" w:rsidP="00CD0244">
            <w:pPr>
              <w:pStyle w:val="MDPI42tablebody"/>
            </w:pPr>
            <w:r w:rsidRPr="00CD0244">
              <w:t>Gaussian naive Bayes</w:t>
            </w:r>
          </w:p>
        </w:tc>
        <w:tc>
          <w:tcPr>
            <w:tcW w:w="4680" w:type="dxa"/>
            <w:tcMar>
              <w:top w:w="80" w:type="dxa"/>
              <w:left w:w="80" w:type="dxa"/>
              <w:bottom w:w="80" w:type="dxa"/>
              <w:right w:w="80" w:type="dxa"/>
            </w:tcMar>
            <w:vAlign w:val="center"/>
          </w:tcPr>
          <w:p w14:paraId="31BF7303" w14:textId="77777777" w:rsidR="00083AA0" w:rsidRPr="00CD0244" w:rsidRDefault="00083AA0" w:rsidP="00CD0244">
            <w:pPr>
              <w:pStyle w:val="MDPI42tablebody"/>
            </w:pPr>
            <w:r w:rsidRPr="00CD0244">
              <w:t>Variance smoothing: 12 log-spaced values from 10^-11 to 10^-6</w:t>
            </w:r>
          </w:p>
        </w:tc>
      </w:tr>
      <w:tr w:rsidR="00083AA0" w:rsidRPr="00CD0244" w14:paraId="0929EAC6" w14:textId="77777777" w:rsidTr="00CD0244">
        <w:trPr>
          <w:cantSplit/>
          <w:jc w:val="center"/>
        </w:trPr>
        <w:tc>
          <w:tcPr>
            <w:tcW w:w="2610" w:type="dxa"/>
            <w:tcMar>
              <w:top w:w="80" w:type="dxa"/>
              <w:left w:w="80" w:type="dxa"/>
              <w:bottom w:w="80" w:type="dxa"/>
              <w:right w:w="80" w:type="dxa"/>
            </w:tcMar>
            <w:vAlign w:val="center"/>
          </w:tcPr>
          <w:p w14:paraId="1B631032" w14:textId="77777777" w:rsidR="00083AA0" w:rsidRPr="00CD0244" w:rsidRDefault="00083AA0" w:rsidP="00CD0244">
            <w:pPr>
              <w:pStyle w:val="MDPI42tablebody"/>
            </w:pPr>
            <w:r w:rsidRPr="00CD0244">
              <w:t>Random forest / Extra Trees</w:t>
            </w:r>
          </w:p>
        </w:tc>
        <w:tc>
          <w:tcPr>
            <w:tcW w:w="4680" w:type="dxa"/>
            <w:tcMar>
              <w:top w:w="80" w:type="dxa"/>
              <w:left w:w="80" w:type="dxa"/>
              <w:bottom w:w="80" w:type="dxa"/>
              <w:right w:w="80" w:type="dxa"/>
            </w:tcMar>
            <w:vAlign w:val="center"/>
          </w:tcPr>
          <w:p w14:paraId="427121C9" w14:textId="77777777" w:rsidR="00083AA0" w:rsidRPr="00CD0244" w:rsidRDefault="00083AA0" w:rsidP="00CD0244">
            <w:pPr>
              <w:pStyle w:val="MDPI42tablebody"/>
            </w:pPr>
            <w:r w:rsidRPr="00CD0244">
              <w:t>220 trees; depth: none, 10, 18; max features: sqrt(p), 0.4p, 0.7p; minimum leaf: 1, 3, 7</w:t>
            </w:r>
          </w:p>
        </w:tc>
      </w:tr>
      <w:tr w:rsidR="00083AA0" w:rsidRPr="00CD0244" w14:paraId="58488AE3" w14:textId="77777777" w:rsidTr="00CD0244">
        <w:trPr>
          <w:cantSplit/>
          <w:jc w:val="center"/>
        </w:trPr>
        <w:tc>
          <w:tcPr>
            <w:tcW w:w="2610" w:type="dxa"/>
            <w:tcMar>
              <w:top w:w="80" w:type="dxa"/>
              <w:left w:w="80" w:type="dxa"/>
              <w:bottom w:w="80" w:type="dxa"/>
              <w:right w:w="80" w:type="dxa"/>
            </w:tcMar>
            <w:vAlign w:val="center"/>
          </w:tcPr>
          <w:p w14:paraId="28205DBC" w14:textId="77777777" w:rsidR="00083AA0" w:rsidRPr="00CD0244" w:rsidRDefault="00083AA0" w:rsidP="00CD0244">
            <w:pPr>
              <w:pStyle w:val="MDPI42tablebody"/>
            </w:pPr>
            <w:r w:rsidRPr="00CD0244">
              <w:t>AdaBoost</w:t>
            </w:r>
          </w:p>
        </w:tc>
        <w:tc>
          <w:tcPr>
            <w:tcW w:w="4680" w:type="dxa"/>
            <w:tcMar>
              <w:top w:w="80" w:type="dxa"/>
              <w:left w:w="80" w:type="dxa"/>
              <w:bottom w:w="80" w:type="dxa"/>
              <w:right w:w="80" w:type="dxa"/>
            </w:tcMar>
            <w:vAlign w:val="center"/>
          </w:tcPr>
          <w:p w14:paraId="7CB8CAC9" w14:textId="77777777" w:rsidR="00083AA0" w:rsidRPr="00CD0244" w:rsidRDefault="00083AA0" w:rsidP="00CD0244">
            <w:pPr>
              <w:pStyle w:val="MDPI42tablebody"/>
            </w:pPr>
            <w:r w:rsidRPr="00CD0244">
              <w:t>Tree depth: 1, 2, 3; minimum leaf: 2, 8, 16; estimators: 100, 250, 400; learning rate: 0.05, 0.20, 0.80</w:t>
            </w:r>
          </w:p>
        </w:tc>
      </w:tr>
      <w:tr w:rsidR="00083AA0" w:rsidRPr="00A7390A" w14:paraId="0BFBB406" w14:textId="77777777" w:rsidTr="00CD0244">
        <w:trPr>
          <w:cantSplit/>
          <w:jc w:val="center"/>
        </w:trPr>
        <w:tc>
          <w:tcPr>
            <w:tcW w:w="2610" w:type="dxa"/>
            <w:tcMar>
              <w:top w:w="80" w:type="dxa"/>
              <w:left w:w="80" w:type="dxa"/>
              <w:bottom w:w="80" w:type="dxa"/>
              <w:right w:w="80" w:type="dxa"/>
            </w:tcMar>
            <w:vAlign w:val="center"/>
          </w:tcPr>
          <w:p w14:paraId="720508B1" w14:textId="77777777" w:rsidR="00083AA0" w:rsidRPr="00A7390A" w:rsidRDefault="00083AA0" w:rsidP="00CD0244">
            <w:pPr>
              <w:pStyle w:val="MDPI42tablebody"/>
            </w:pPr>
            <w:r w:rsidRPr="00A7390A">
              <w:t>Gradient boosting</w:t>
            </w:r>
          </w:p>
        </w:tc>
        <w:tc>
          <w:tcPr>
            <w:tcW w:w="4680" w:type="dxa"/>
            <w:tcMar>
              <w:top w:w="80" w:type="dxa"/>
              <w:left w:w="80" w:type="dxa"/>
              <w:bottom w:w="80" w:type="dxa"/>
              <w:right w:w="80" w:type="dxa"/>
            </w:tcMar>
            <w:vAlign w:val="center"/>
          </w:tcPr>
          <w:p w14:paraId="462B7386" w14:textId="77777777" w:rsidR="00083AA0" w:rsidRPr="00A7390A" w:rsidRDefault="00083AA0" w:rsidP="00CD0244">
            <w:pPr>
              <w:pStyle w:val="MDPI42tablebody"/>
            </w:pPr>
            <w:r w:rsidRPr="00A7390A">
              <w:t>Tree depth: 1, 2, 3; minimum leaf: 5, 15; estimators: 100, 250; learning rate: 0.03, 0.10</w:t>
            </w:r>
          </w:p>
        </w:tc>
      </w:tr>
      <w:tr w:rsidR="00083AA0" w:rsidRPr="00A7390A" w14:paraId="4E906B24" w14:textId="77777777" w:rsidTr="00CD0244">
        <w:trPr>
          <w:cantSplit/>
          <w:jc w:val="center"/>
        </w:trPr>
        <w:tc>
          <w:tcPr>
            <w:tcW w:w="2610" w:type="dxa"/>
            <w:tcBorders>
              <w:bottom w:val="single" w:sz="8" w:space="0" w:color="auto"/>
            </w:tcBorders>
            <w:tcMar>
              <w:top w:w="80" w:type="dxa"/>
              <w:left w:w="80" w:type="dxa"/>
              <w:bottom w:w="80" w:type="dxa"/>
              <w:right w:w="80" w:type="dxa"/>
            </w:tcMar>
            <w:vAlign w:val="center"/>
          </w:tcPr>
          <w:p w14:paraId="52360393" w14:textId="77777777" w:rsidR="00083AA0" w:rsidRPr="00A7390A" w:rsidRDefault="00083AA0" w:rsidP="00CD0244">
            <w:pPr>
              <w:pStyle w:val="MDPI42tablebody"/>
            </w:pPr>
            <w:r w:rsidRPr="00A7390A">
              <w:t>Histogram gradient boosting</w:t>
            </w:r>
          </w:p>
        </w:tc>
        <w:tc>
          <w:tcPr>
            <w:tcW w:w="4680" w:type="dxa"/>
            <w:tcBorders>
              <w:bottom w:val="single" w:sz="8" w:space="0" w:color="auto"/>
            </w:tcBorders>
            <w:tcMar>
              <w:top w:w="80" w:type="dxa"/>
              <w:left w:w="80" w:type="dxa"/>
              <w:bottom w:w="80" w:type="dxa"/>
              <w:right w:w="80" w:type="dxa"/>
            </w:tcMar>
            <w:vAlign w:val="center"/>
          </w:tcPr>
          <w:p w14:paraId="7D33FD7C" w14:textId="77777777" w:rsidR="00083AA0" w:rsidRPr="00A7390A" w:rsidRDefault="00083AA0" w:rsidP="00CD0244">
            <w:pPr>
              <w:pStyle w:val="MDPI42tablebody"/>
            </w:pPr>
            <w:r w:rsidRPr="00A7390A">
              <w:t>Maximum leaves: 15, 31; minimum leaf: 10, 20; iterations: 100, 200; learning rate: 0.03, 0.10; L2: 0, 1</w:t>
            </w:r>
          </w:p>
        </w:tc>
      </w:tr>
    </w:tbl>
    <w:p w14:paraId="156B2FE7" w14:textId="77777777" w:rsidR="00083AA0" w:rsidRPr="00A7390A" w:rsidRDefault="00083AA0" w:rsidP="00CD0244">
      <w:pPr>
        <w:pStyle w:val="MDPI43tablefooter"/>
        <w:spacing w:after="240"/>
        <w:jc w:val="both"/>
        <w:rPr>
          <w:rFonts w:cs="Times New Roman"/>
          <w:snapToGrid w:val="0"/>
          <w:szCs w:val="18"/>
        </w:rPr>
      </w:pPr>
      <w:r w:rsidRPr="00A7390A">
        <w:rPr>
          <w:rFonts w:cs="Times New Roman"/>
          <w:snapToGrid w:val="0"/>
          <w:szCs w:val="18"/>
        </w:rPr>
        <w:t>Note. For each learner and analysis split, up to eight configurations were sampled without replacement. Configurations were ranked by mean inner-CV AUROC, then by lower AUROC SD and finally by a deterministic parameter-string tie-break.</w:t>
      </w:r>
    </w:p>
    <w:p w14:paraId="4C197301" w14:textId="77777777" w:rsidR="00083AA0" w:rsidRPr="00CD0244" w:rsidRDefault="00CD0244" w:rsidP="00CD0244">
      <w:pPr>
        <w:pStyle w:val="MDPI22heading2"/>
        <w:spacing w:before="240"/>
        <w:rPr>
          <w:szCs w:val="20"/>
        </w:rPr>
      </w:pPr>
      <w:r w:rsidRPr="00A7390A">
        <w:t>4.5 Repeated nested cross-validation</w:t>
      </w:r>
    </w:p>
    <w:p w14:paraId="075DCF26" w14:textId="77777777" w:rsidR="00083AA0" w:rsidRPr="00E960CB" w:rsidRDefault="00083AA0" w:rsidP="00CD0244">
      <w:pPr>
        <w:pStyle w:val="MDPI31text"/>
        <w:rPr>
          <w:szCs w:val="20"/>
        </w:rPr>
      </w:pPr>
      <w:r w:rsidRPr="00CD0244">
        <w:rPr>
          <w:szCs w:val="20"/>
        </w:rPr>
        <w:t xml:space="preserve">Primary internal evaluation used five repeats of five-fold outer cross-validation with four-fold inner cross-validation. Splits were jointly stratified by gene and processed outcome when feasible; sparse gene-outcome strata were pooled by outcome. Each outer-test fold comprised 432 records. Within each outer-training partition, learners were ranked lexicographically by calibrated inner out-of-fold balanced accuracy, AUROC and AUPRC. </w:t>
      </w:r>
      <w:r w:rsidRPr="00E960CB">
        <w:rPr>
          <w:szCs w:val="20"/>
        </w:rPr>
        <w:lastRenderedPageBreak/>
        <w:t xml:space="preserve">Learner-specific thresholds </w:t>
      </w:r>
      <w:proofErr w:type="spellStart"/>
      <w:r w:rsidRPr="00E960CB">
        <w:rPr>
          <w:szCs w:val="20"/>
        </w:rPr>
        <w:t>maximised</w:t>
      </w:r>
      <w:proofErr w:type="spellEnd"/>
      <w:r w:rsidRPr="00E960CB">
        <w:rPr>
          <w:szCs w:val="20"/>
        </w:rPr>
        <w:t xml:space="preserve"> balanced accuracy. If several thresholds produced the same maximum, the value closest to 0.5 was selected; if an equal-distance tie remained, the lower threshold was retained. Within each repeat, predictions from its five outer-test folds were pooled, and performance was </w:t>
      </w:r>
      <w:proofErr w:type="spellStart"/>
      <w:r w:rsidRPr="00E960CB">
        <w:rPr>
          <w:szCs w:val="20"/>
        </w:rPr>
        <w:t>summarised</w:t>
      </w:r>
      <w:proofErr w:type="spellEnd"/>
      <w:r w:rsidRPr="00E960CB">
        <w:rPr>
          <w:szCs w:val="20"/>
        </w:rPr>
        <w:t xml:space="preserve"> as the mean, sample SD and range across the five repeat-level estimates.</w:t>
      </w:r>
    </w:p>
    <w:p w14:paraId="34E099DB" w14:textId="77777777" w:rsidR="00083AA0" w:rsidRPr="00E960CB" w:rsidRDefault="00CD0244" w:rsidP="00CD0244">
      <w:pPr>
        <w:pStyle w:val="MDPI22heading2"/>
        <w:spacing w:before="240"/>
        <w:rPr>
          <w:szCs w:val="20"/>
        </w:rPr>
      </w:pPr>
      <w:r w:rsidRPr="00E960CB">
        <w:t>4.6 Calibration, adaptive voting and deployment refit</w:t>
      </w:r>
    </w:p>
    <w:p w14:paraId="277B311D" w14:textId="77777777" w:rsidR="00083AA0" w:rsidRPr="00E960CB" w:rsidRDefault="00083AA0" w:rsidP="00CD0244">
      <w:pPr>
        <w:pStyle w:val="MDPI31text"/>
        <w:rPr>
          <w:szCs w:val="20"/>
        </w:rPr>
      </w:pPr>
      <w:r w:rsidRPr="00E960CB">
        <w:t xml:space="preserve">Each learner produced an LP/P-directed score. Decision-function outputs were calibrated by Platt scaling; probability-only outputs were clipped to [10^-6, 1 - 10^-6] and logit-transformed before calibration. Learner-specific thresholds, estimated solely within training partitions, converted calibrated probabilities to four binary votes. The primary state V0–V4 equals the total number of LP/P-directed votes, while the complete vote vector preserves learner-family identity. S_MAC is a logistic meta-calibration of Mean4 and contributes no additional vote. All final preprocessing objects, learner specifications, calibrators and thresholds were frozen before application to the unresolved catalogue; the external resource remained isolated from </w:t>
      </w:r>
      <w:proofErr w:type="spellStart"/>
      <w:r w:rsidRPr="00E960CB">
        <w:t>HBOCpred</w:t>
      </w:r>
      <w:proofErr w:type="spellEnd"/>
      <w:r w:rsidRPr="00E960CB">
        <w:t xml:space="preserve"> development.</w:t>
      </w:r>
    </w:p>
    <w:p w14:paraId="3C17F51C" w14:textId="77777777" w:rsidR="00666642" w:rsidRPr="00E960CB" w:rsidRDefault="00000000" w:rsidP="00166C5F">
      <w:pPr>
        <w:ind w:left="2550" w:firstLine="510"/>
      </w:pPr>
      <w:r w:rsidRPr="00E960CB">
        <w:t>The ≥3-of-4 threshold was retained as the prespecified secondary binary endpoint for conventional sensitivity, specificity and balanced-accuracy benchmarking. The three-output reporting rule was evaluated separately using definite-output coverage, Uncertain rate, output-specific source-label composition and conditional source-direction concordance among V0 and V4 records. Definite-output coverage was (nV0 + nV4)/n, the Uncertain rate was (nV1 + nV2 + nV3)/n, and conditional source-direction concordance was (B/LB records in V0 + LP/P records in V4)/(nV0 + nV4). Coverage and conditional concordance were always reported together.</w:t>
      </w:r>
    </w:p>
    <w:p w14:paraId="7E230943" w14:textId="77777777" w:rsidR="00083AA0" w:rsidRPr="00E960CB" w:rsidRDefault="00CD0244" w:rsidP="00CD0244">
      <w:pPr>
        <w:pStyle w:val="MDPI22heading2"/>
        <w:spacing w:before="240"/>
        <w:rPr>
          <w:iCs/>
          <w:szCs w:val="20"/>
        </w:rPr>
      </w:pPr>
      <w:r w:rsidRPr="00E960CB">
        <w:t>4.7 Independent external-resource three-output audit</w:t>
      </w:r>
    </w:p>
    <w:p w14:paraId="19D9E30D" w14:textId="77777777" w:rsidR="00E960CB" w:rsidRPr="00E960CB" w:rsidRDefault="00E960CB" w:rsidP="005C23FA">
      <w:pPr>
        <w:ind w:left="2550" w:firstLine="510"/>
      </w:pPr>
      <w:r w:rsidRPr="00E960CB">
        <w:t xml:space="preserve">The external resource was inherited from the </w:t>
      </w:r>
      <w:proofErr w:type="spellStart"/>
      <w:r w:rsidRPr="00E960CB">
        <w:t>HCSpred</w:t>
      </w:r>
      <w:proofErr w:type="spellEnd"/>
      <w:r w:rsidRPr="00E960CB">
        <w:t xml:space="preserve"> study and remained fully isolated from </w:t>
      </w:r>
      <w:proofErr w:type="spellStart"/>
      <w:r w:rsidRPr="00E960CB">
        <w:t>HBOCpred</w:t>
      </w:r>
      <w:proofErr w:type="spellEnd"/>
      <w:r w:rsidRPr="00E960CB">
        <w:t xml:space="preserve"> feature selection, fitting, calibration and threshold estimation. The hospital source began with 122 HCS-tested records. From these, an HBOC-enriched subset was selected based on a personal history of breast or ovarian cancer in the tested individual together with breast or ovarian cancer in at least four additional relatives. This yielded 33 patients with 24 unique hospital variants. Following unique-variant collapsing, restriction to the prespecified 17-gene missense/transcript scope, SPDI </w:t>
      </w:r>
      <w:proofErr w:type="spellStart"/>
      <w:r w:rsidRPr="00E960CB">
        <w:t>normalisation</w:t>
      </w:r>
      <w:proofErr w:type="spellEnd"/>
      <w:r w:rsidRPr="00E960CB">
        <w:t xml:space="preserve">, anchor-overlap screening and score-availability requirements, 16 unique hospital LP/P variants remained and constituted the hospital external-validation arm. The </w:t>
      </w:r>
      <w:proofErr w:type="spellStart"/>
      <w:r w:rsidRPr="00E960CB">
        <w:t>gnomAD</w:t>
      </w:r>
      <w:proofErr w:type="spellEnd"/>
      <w:r w:rsidRPr="00E960CB">
        <w:t xml:space="preserve"> v4.1 arm began with 63 common missense candidates; 50 non-anchor proxies were selected and 49 satisfied the score-availability requirement.</w:t>
      </w:r>
    </w:p>
    <w:p w14:paraId="7A714CB1" w14:textId="3987627B" w:rsidR="00666642" w:rsidRPr="00E960CB" w:rsidRDefault="00000000" w:rsidP="005C23FA">
      <w:pPr>
        <w:ind w:left="2550" w:firstLine="510"/>
      </w:pPr>
      <w:r w:rsidRPr="00E960CB">
        <w:t xml:space="preserve">The </w:t>
      </w:r>
      <w:proofErr w:type="spellStart"/>
      <w:r w:rsidRPr="00E960CB">
        <w:t>HBOCpred</w:t>
      </w:r>
      <w:proofErr w:type="spellEnd"/>
      <w:r w:rsidRPr="00E960CB">
        <w:t xml:space="preserve"> pipeline was applied without refitting or threshold modification. For hospital LP/P variants, V4 was a concordant predicted LP/P output, V1–V3 were Uncertain and V0 was an opposite predicted B/LB output. For </w:t>
      </w:r>
      <w:proofErr w:type="spellStart"/>
      <w:r w:rsidRPr="00E960CB">
        <w:t>gnomAD</w:t>
      </w:r>
      <w:proofErr w:type="spellEnd"/>
      <w:r w:rsidRPr="00E960CB">
        <w:t xml:space="preserve"> benign proxies, V0 was a concordant predicted B/LB output, V1–V3 were Uncertain and V4 was an opposite predicted LP/P output. The hospital audit retained exact V-states. The selected </w:t>
      </w:r>
      <w:proofErr w:type="spellStart"/>
      <w:r w:rsidRPr="00E960CB">
        <w:t>gnomAD</w:t>
      </w:r>
      <w:proofErr w:type="spellEnd"/>
      <w:r w:rsidRPr="00E960CB">
        <w:t xml:space="preserve"> export retained only whether each evaluable record remained below the ≥3-of-4 LP/P-directed endpoint; </w:t>
      </w:r>
      <w:proofErr w:type="gramStart"/>
      <w:r w:rsidRPr="00E960CB">
        <w:t>therefore</w:t>
      </w:r>
      <w:proofErr w:type="gramEnd"/>
      <w:r w:rsidRPr="00E960CB">
        <w:t xml:space="preserve"> all evaluable proxies were known to lie in V0–V2 and to avoid the predicted LP/P </w:t>
      </w:r>
      <w:proofErr w:type="gramStart"/>
      <w:r w:rsidRPr="00E960CB">
        <w:t>output, but</w:t>
      </w:r>
      <w:proofErr w:type="gramEnd"/>
      <w:r w:rsidRPr="00E960CB">
        <w:t xml:space="preserve"> predicted B/LB versus Uncertain could not be reconstructed.</w:t>
      </w:r>
    </w:p>
    <w:p w14:paraId="67982A85" w14:textId="77777777" w:rsidR="00083AA0" w:rsidRPr="00E960CB" w:rsidRDefault="00CD0244" w:rsidP="00CD0244">
      <w:pPr>
        <w:pStyle w:val="MDPI22heading2"/>
        <w:spacing w:before="240"/>
        <w:rPr>
          <w:szCs w:val="20"/>
        </w:rPr>
      </w:pPr>
      <w:r w:rsidRPr="00E960CB">
        <w:lastRenderedPageBreak/>
        <w:t>4.8 Context-specific output and audit summaries</w:t>
      </w:r>
    </w:p>
    <w:p w14:paraId="53A412D9" w14:textId="77777777" w:rsidR="00666642" w:rsidRPr="00E960CB" w:rsidRDefault="00000000" w:rsidP="005C23FA">
      <w:pPr>
        <w:ind w:left="2550" w:firstLine="510"/>
      </w:pPr>
      <w:proofErr w:type="gramStart"/>
      <w:r w:rsidRPr="00E960CB">
        <w:t>Labelled-anchor</w:t>
      </w:r>
      <w:proofErr w:type="gramEnd"/>
      <w:r w:rsidRPr="00E960CB">
        <w:t xml:space="preserve"> and hospital records were </w:t>
      </w:r>
      <w:proofErr w:type="spellStart"/>
      <w:r w:rsidRPr="00E960CB">
        <w:t>summarised</w:t>
      </w:r>
      <w:proofErr w:type="spellEnd"/>
      <w:r w:rsidRPr="00E960CB">
        <w:t xml:space="preserve"> under the predicted B/LB / Uncertain / predicted LP/P output rule. Application counts were </w:t>
      </w:r>
      <w:proofErr w:type="spellStart"/>
      <w:r w:rsidRPr="00E960CB">
        <w:t>summarised</w:t>
      </w:r>
      <w:proofErr w:type="spellEnd"/>
      <w:r w:rsidRPr="00E960CB">
        <w:t xml:space="preserve"> separately by exact V0–V4 audit state and by the unresolved-only Uncertain-low/mid/high zones. The V1, V2 and V3 components were retained separately for descriptive audit, and exact V2 records were additionally </w:t>
      </w:r>
      <w:proofErr w:type="spellStart"/>
      <w:r w:rsidRPr="00E960CB">
        <w:t>summarised</w:t>
      </w:r>
      <w:proofErr w:type="spellEnd"/>
      <w:r w:rsidRPr="00E960CB">
        <w:t xml:space="preserve"> by the identity of the two LP/P-directed learners. External-resource records were </w:t>
      </w:r>
      <w:proofErr w:type="spellStart"/>
      <w:r w:rsidRPr="00E960CB">
        <w:t>summarised</w:t>
      </w:r>
      <w:proofErr w:type="spellEnd"/>
      <w:r w:rsidRPr="00E960CB">
        <w:t xml:space="preserve"> by gene and evaluability.</w:t>
      </w:r>
    </w:p>
    <w:p w14:paraId="5873E333" w14:textId="77777777" w:rsidR="00666642" w:rsidRPr="00E960CB" w:rsidRDefault="00000000" w:rsidP="005C23FA">
      <w:pPr>
        <w:ind w:left="2550" w:firstLine="510"/>
      </w:pPr>
      <w:r w:rsidRPr="00E960CB">
        <w:t xml:space="preserve">The earlier </w:t>
      </w:r>
      <w:proofErr w:type="spellStart"/>
      <w:r w:rsidRPr="00E960CB">
        <w:t>UniProt</w:t>
      </w:r>
      <w:proofErr w:type="spellEnd"/>
      <w:r w:rsidRPr="00E960CB">
        <w:t xml:space="preserve"> </w:t>
      </w:r>
      <w:proofErr w:type="spellStart"/>
      <w:r w:rsidRPr="00E960CB">
        <w:t>localisation</w:t>
      </w:r>
      <w:proofErr w:type="spellEnd"/>
      <w:r w:rsidRPr="00E960CB">
        <w:t xml:space="preserve"> analysis used the incompatible grouping V0–V1, V2 and V3–V4. Because the row-level </w:t>
      </w:r>
      <w:proofErr w:type="spellStart"/>
      <w:r w:rsidRPr="00E960CB">
        <w:t>localisation</w:t>
      </w:r>
      <w:proofErr w:type="spellEnd"/>
      <w:r w:rsidRPr="00E960CB">
        <w:t xml:space="preserve"> table required to recompute the analysis under the revised V0, V1–V3 and V4 mapping was not available in the supplied revision package, the analysis was removed rather than </w:t>
      </w:r>
      <w:proofErr w:type="spellStart"/>
      <w:r w:rsidRPr="00E960CB">
        <w:t>relabelled</w:t>
      </w:r>
      <w:proofErr w:type="spellEnd"/>
      <w:r w:rsidRPr="00E960CB">
        <w:t>.</w:t>
      </w:r>
    </w:p>
    <w:p w14:paraId="70E00998" w14:textId="77777777" w:rsidR="00083AA0" w:rsidRPr="00E960CB" w:rsidRDefault="00CD0244" w:rsidP="00CD0244">
      <w:pPr>
        <w:pStyle w:val="MDPI22heading2"/>
        <w:spacing w:before="240"/>
        <w:rPr>
          <w:szCs w:val="20"/>
        </w:rPr>
      </w:pPr>
      <w:r w:rsidRPr="00E960CB">
        <w:rPr>
          <w:b/>
          <w:i w:val="0"/>
        </w:rPr>
        <w:t>4.9 Statistical analysis</w:t>
      </w:r>
    </w:p>
    <w:p w14:paraId="5DDD05E7" w14:textId="77777777" w:rsidR="00666642" w:rsidRPr="00E960CB" w:rsidRDefault="00000000" w:rsidP="005C23FA">
      <w:pPr>
        <w:ind w:left="2550" w:firstLine="510"/>
      </w:pPr>
      <w:r w:rsidRPr="00E960CB">
        <w:t>Continuous discrimination was assessed by AUROC and AUPRC, and probabilistic accuracy by the Brier score. The mean ± sample SD across five complete repeated outer-test evaluations is reported only as resampling-stability information and is not interpreted as a confidence interval for model performance. Conventional sensitivity, specificity, PPV, NPV, F1, MCC and balanced accuracy refer to the prespecified secondary ≥3-of-4 binary endpoint unless explicitly stated otherwise.</w:t>
      </w:r>
    </w:p>
    <w:p w14:paraId="03384829" w14:textId="77777777" w:rsidR="00666642" w:rsidRPr="00E960CB" w:rsidRDefault="00000000" w:rsidP="005C23FA">
      <w:pPr>
        <w:ind w:left="2550" w:firstLine="510"/>
      </w:pPr>
      <w:r w:rsidRPr="00E960CB">
        <w:t>For the three-output reporting rule, exact counts and proportions were reported for predicted B/LB (V0), Uncertain (V1–V3) and predicted LP/P (V4), together with definite-output coverage, Uncertain rate and conditional source-direction concordance. For unresolved application records, the same V-state counts were additionally displayed as Uncertain-low, Uncertain-mid and Uncertain-high zones. Wilson 95% confidence intervals were calculated for binomial proportions. Uncertain records were not counted as correct or incorrect in conditional concordance; they remained in the denominator for coverage and abstention. External records failing the completeness requirement were retained in resource accounting but excluded from evaluable proportions.</w:t>
      </w:r>
    </w:p>
    <w:p w14:paraId="21350D2F" w14:textId="2FB7A4F4" w:rsidR="00666642" w:rsidRPr="00E960CB" w:rsidRDefault="00000000" w:rsidP="005C23FA">
      <w:pPr>
        <w:ind w:left="2550" w:firstLine="510"/>
      </w:pPr>
      <w:r w:rsidRPr="00E960CB">
        <w:t xml:space="preserve">Internal constituent-score comparisons are descriptive because the comparators were candidate or retained model inputs; no inferential superiority claim is made. The stable-rescue and review-status analyses use the secondary ≥3-of-4 binary endpoint and are explicitly separated from both the three-output reporting rule and the unresolved application zones. Per-gene external results are interpreted descriptively where counts permit. Analyses used </w:t>
      </w:r>
      <w:proofErr w:type="spellStart"/>
      <w:r w:rsidR="008A5188" w:rsidRPr="00E960CB">
        <w:t>Rstudio</w:t>
      </w:r>
      <w:proofErr w:type="spellEnd"/>
      <w:r w:rsidR="008A5188" w:rsidRPr="00E960CB">
        <w:t xml:space="preserve"> 4.13</w:t>
      </w:r>
      <w:r w:rsidR="00D459CC" w:rsidRPr="00E960CB">
        <w:t xml:space="preserve"> (</w:t>
      </w:r>
      <w:r w:rsidR="008A5188" w:rsidRPr="00E960CB">
        <w:t>ggplot2 package</w:t>
      </w:r>
      <w:r w:rsidR="00D459CC" w:rsidRPr="00E960CB">
        <w:t>),</w:t>
      </w:r>
      <w:r w:rsidR="008A5188" w:rsidRPr="00E960CB">
        <w:t xml:space="preserve"> </w:t>
      </w:r>
      <w:r w:rsidRPr="00E960CB">
        <w:t>Python 3.12.13</w:t>
      </w:r>
      <w:r w:rsidR="00D459CC" w:rsidRPr="00E960CB">
        <w:t xml:space="preserve"> (</w:t>
      </w:r>
      <w:r w:rsidRPr="00E960CB">
        <w:t>NumPy 2.3.5, pandas 2.3.3 and scikit-learn 1.8.0</w:t>
      </w:r>
      <w:r w:rsidR="00D459CC" w:rsidRPr="00E960CB">
        <w:t>)</w:t>
      </w:r>
      <w:r w:rsidRPr="00E960CB">
        <w:t xml:space="preserve">. Data preparation used seed 20260723; modelling used seed 20260714 with deterministic offsets. </w:t>
      </w:r>
    </w:p>
    <w:p w14:paraId="0B479813" w14:textId="77777777" w:rsidR="005C23FA" w:rsidRPr="00E960CB" w:rsidRDefault="005C23FA" w:rsidP="005C23FA">
      <w:pPr>
        <w:ind w:left="2550" w:firstLine="510"/>
      </w:pPr>
    </w:p>
    <w:p w14:paraId="54A1CCC5" w14:textId="77777777" w:rsidR="00083AA0" w:rsidRPr="00E960CB" w:rsidRDefault="00083AA0" w:rsidP="00CD0244">
      <w:pPr>
        <w:pStyle w:val="MDPI62backmatter"/>
        <w:rPr>
          <w:szCs w:val="18"/>
        </w:rPr>
      </w:pPr>
      <w:r w:rsidRPr="00E960CB">
        <w:rPr>
          <w:b/>
        </w:rPr>
        <w:t>Institutional Review Board Statement:</w:t>
      </w:r>
      <w:r w:rsidRPr="00E960CB">
        <w:t xml:space="preserve"> Model development used public variant resources. The external-validation resource was derived from the Ankara </w:t>
      </w:r>
      <w:proofErr w:type="spellStart"/>
      <w:r w:rsidRPr="00E960CB">
        <w:t>Etlik</w:t>
      </w:r>
      <w:proofErr w:type="spellEnd"/>
      <w:r w:rsidRPr="00E960CB">
        <w:t xml:space="preserve"> City Hospital hereditary-cancer testing workflow under institutional ethics approval AEŞH-BADEK-2024-219. Only de-identified variant-level data were used in the </w:t>
      </w:r>
      <w:proofErr w:type="spellStart"/>
      <w:r w:rsidRPr="00E960CB">
        <w:t>HBOCpred</w:t>
      </w:r>
      <w:proofErr w:type="spellEnd"/>
      <w:r w:rsidRPr="00E960CB">
        <w:t xml:space="preserve"> analysis.</w:t>
      </w:r>
    </w:p>
    <w:p w14:paraId="5E39806D" w14:textId="77777777" w:rsidR="00083AA0" w:rsidRPr="00E960CB" w:rsidRDefault="00083AA0" w:rsidP="00CD0244">
      <w:pPr>
        <w:pStyle w:val="MDPI62backmatter"/>
        <w:rPr>
          <w:szCs w:val="18"/>
        </w:rPr>
      </w:pPr>
      <w:r w:rsidRPr="00E960CB">
        <w:rPr>
          <w:b/>
        </w:rPr>
        <w:t>Informed Consent Statement:</w:t>
      </w:r>
      <w:r w:rsidRPr="00E960CB">
        <w:t xml:space="preserve"> Written informed consent was obtained from all individuals included in the source clinical testing workflow. No patient identifier was supplied to the </w:t>
      </w:r>
      <w:proofErr w:type="spellStart"/>
      <w:r w:rsidRPr="00E960CB">
        <w:t>HBOCpred</w:t>
      </w:r>
      <w:proofErr w:type="spellEnd"/>
      <w:r w:rsidRPr="00E960CB">
        <w:t xml:space="preserve"> model.</w:t>
      </w:r>
    </w:p>
    <w:p w14:paraId="5F00ADC9" w14:textId="77777777" w:rsidR="00083AA0" w:rsidRPr="00E960CB" w:rsidRDefault="00083AA0" w:rsidP="00CD0244">
      <w:pPr>
        <w:pStyle w:val="MDPI62backmatter"/>
        <w:rPr>
          <w:szCs w:val="18"/>
        </w:rPr>
      </w:pPr>
      <w:r w:rsidRPr="00E960CB">
        <w:lastRenderedPageBreak/>
        <w:t>Data Availability Statement: The interactive HBOCpred Variant Score Atlas and integrated variant-level outputs are available at https://alaymd.shinyapps.io/hbocpred/. Public inputs were obtained from ClinVar, gnomAD and Ensembl. De-identified external-validation summaries, including per-gene denominators and the hospital variant-level audit, are reported in Results 2.5 and Figure 4. Additional de-identified processed research outputs are available from the corresponding author upon reasonable request, subject to institutional and privacy restrictions; patient-level clinical data are not publicly available.</w:t>
      </w:r>
    </w:p>
    <w:p w14:paraId="3817F035" w14:textId="77777777" w:rsidR="00083AA0" w:rsidRPr="00E960CB" w:rsidRDefault="00083AA0" w:rsidP="00CD0244">
      <w:pPr>
        <w:pStyle w:val="MDPI62backmatter"/>
        <w:rPr>
          <w:szCs w:val="18"/>
        </w:rPr>
      </w:pPr>
      <w:r w:rsidRPr="00E960CB">
        <w:rPr>
          <w:b/>
        </w:rPr>
        <w:t>Code Availability:</w:t>
      </w:r>
      <w:r w:rsidRPr="00E960CB">
        <w:t xml:space="preserve"> The source code, frozen model objects and scripts required to reproduce the reported analyses will be made publicly available on GitHub after publication.</w:t>
      </w:r>
    </w:p>
    <w:p w14:paraId="0966E238" w14:textId="77777777" w:rsidR="00083AA0" w:rsidRPr="00E960CB" w:rsidRDefault="00083AA0" w:rsidP="00CD0244">
      <w:pPr>
        <w:pStyle w:val="MDPI62backmatter"/>
        <w:spacing w:before="240"/>
        <w:rPr>
          <w:szCs w:val="18"/>
        </w:rPr>
      </w:pPr>
      <w:r w:rsidRPr="00E960CB">
        <w:rPr>
          <w:b/>
          <w:szCs w:val="18"/>
        </w:rPr>
        <w:t xml:space="preserve">Acknowledgments: </w:t>
      </w:r>
      <w:r w:rsidRPr="00E960CB">
        <w:rPr>
          <w:szCs w:val="18"/>
        </w:rPr>
        <w:t>We thank the Alay family for supporting novel ideas.</w:t>
      </w:r>
    </w:p>
    <w:p w14:paraId="4B014454" w14:textId="77777777" w:rsidR="00083AA0" w:rsidRPr="00E960CB" w:rsidRDefault="00083AA0" w:rsidP="00CD0244">
      <w:pPr>
        <w:pStyle w:val="MDPI62backmatter"/>
        <w:rPr>
          <w:szCs w:val="18"/>
        </w:rPr>
      </w:pPr>
      <w:r w:rsidRPr="00E960CB">
        <w:rPr>
          <w:b/>
          <w:szCs w:val="18"/>
        </w:rPr>
        <w:t>Conflicts of Interest: None.</w:t>
      </w:r>
    </w:p>
    <w:p w14:paraId="0AA71705" w14:textId="77777777" w:rsidR="00083AA0" w:rsidRPr="00E960CB" w:rsidRDefault="00083AA0" w:rsidP="00CD0244">
      <w:pPr>
        <w:pStyle w:val="MDPI21heading1"/>
        <w:rPr>
          <w:szCs w:val="24"/>
        </w:rPr>
      </w:pPr>
      <w:r w:rsidRPr="00E960CB">
        <w:rPr>
          <w:szCs w:val="24"/>
        </w:rPr>
        <w:t>Abbreviations</w:t>
      </w:r>
    </w:p>
    <w:p w14:paraId="472ADFC0" w14:textId="77777777" w:rsidR="00083AA0" w:rsidRPr="00CD0244" w:rsidRDefault="00083AA0" w:rsidP="00CD0244">
      <w:pPr>
        <w:pStyle w:val="MDPI31text"/>
        <w:rPr>
          <w:szCs w:val="20"/>
        </w:rPr>
      </w:pPr>
      <w:r w:rsidRPr="00E960CB">
        <w:t xml:space="preserve">Abbreviations: ACMG/AMP, American College of Medical Genetics and Genomics/Association for Molecular Pathology; AUPRC, area under the precision–recall curve; AUROC, area under the receiver-operating-characteristic curve; B/LB, benign/likely benign; </w:t>
      </w:r>
      <w:proofErr w:type="spellStart"/>
      <w:r w:rsidRPr="00E960CB">
        <w:t>HistGB</w:t>
      </w:r>
      <w:proofErr w:type="spellEnd"/>
      <w:r w:rsidRPr="00E960CB">
        <w:t xml:space="preserve">, histogram-based gradient boosting; LP/P, likely pathogenic/pathogenic; MAC, modified adaptive classifier; OOF, out-of-fold; S_MAC, continuous </w:t>
      </w:r>
      <w:proofErr w:type="spellStart"/>
      <w:r w:rsidRPr="00E960CB">
        <w:t>HBOCpred</w:t>
      </w:r>
      <w:proofErr w:type="spellEnd"/>
      <w:r w:rsidRPr="00E960CB">
        <w:t xml:space="preserve"> ranking score; SMD, </w:t>
      </w:r>
      <w:proofErr w:type="spellStart"/>
      <w:r w:rsidRPr="00E960CB">
        <w:t>standardised</w:t>
      </w:r>
      <w:proofErr w:type="spellEnd"/>
      <w:r w:rsidRPr="00E960CB">
        <w:t xml:space="preserve"> mean difference; SVM–RBF, support vector machine with radial basis function kernel; V0–V4, audit states defined by 0–4 LP/P-directed learner votes; Uncertain, non-unanimous categorical output for labelled internal or external records; Uncertain-low, unresolved application zone defined by V0; Uncertain-mid, unresolved application zone defined by V1–V3; Uncertain-high, unresolved application zone defined by V4; VUS, variant of uncertain significance.</w:t>
      </w:r>
    </w:p>
    <w:p w14:paraId="52D6A6C9" w14:textId="77777777" w:rsidR="00083AA0" w:rsidRPr="00CD0244" w:rsidRDefault="00083AA0" w:rsidP="00CD0244">
      <w:pPr>
        <w:pStyle w:val="MDPI21heading1"/>
        <w:ind w:left="0"/>
        <w:rPr>
          <w:szCs w:val="24"/>
        </w:rPr>
      </w:pPr>
      <w:bookmarkStart w:id="1" w:name="referenceBookmark"/>
      <w:bookmarkEnd w:id="1"/>
      <w:r w:rsidRPr="00CD0244">
        <w:rPr>
          <w:szCs w:val="24"/>
        </w:rPr>
        <w:t>References</w:t>
      </w:r>
    </w:p>
    <w:p w14:paraId="0FC9454A" w14:textId="77777777" w:rsidR="0066732E" w:rsidRPr="0066732E" w:rsidRDefault="00083AA0" w:rsidP="0066732E">
      <w:pPr>
        <w:widowControl w:val="0"/>
        <w:autoSpaceDE w:val="0"/>
        <w:autoSpaceDN w:val="0"/>
        <w:adjustRightInd w:val="0"/>
        <w:spacing w:line="240" w:lineRule="atLeast"/>
        <w:ind w:left="640" w:hanging="640"/>
        <w:rPr>
          <w:noProof/>
          <w:sz w:val="18"/>
        </w:rPr>
      </w:pPr>
      <w:r w:rsidRPr="00CD0244">
        <w:rPr>
          <w:sz w:val="18"/>
          <w:lang w:eastAsia="de-DE" w:bidi="en-US"/>
        </w:rPr>
        <w:fldChar w:fldCharType="begin" w:fldLock="1"/>
      </w:r>
      <w:r w:rsidRPr="00CD0244">
        <w:rPr>
          <w:sz w:val="18"/>
          <w:lang w:eastAsia="de-DE" w:bidi="en-US"/>
        </w:rPr>
        <w:instrText xml:space="preserve">ADDIN Mendeley Bibliography CSL_BIBLIOGRAPHY </w:instrText>
      </w:r>
      <w:r w:rsidRPr="00CD0244">
        <w:rPr>
          <w:sz w:val="18"/>
          <w:lang w:eastAsia="de-DE" w:bidi="en-US"/>
        </w:rPr>
        <w:fldChar w:fldCharType="separate"/>
      </w:r>
      <w:r w:rsidR="0066732E" w:rsidRPr="0066732E">
        <w:rPr>
          <w:noProof/>
          <w:sz w:val="18"/>
        </w:rPr>
        <w:t xml:space="preserve">1. </w:t>
      </w:r>
      <w:r w:rsidR="0066732E" w:rsidRPr="0066732E">
        <w:rPr>
          <w:noProof/>
          <w:sz w:val="18"/>
        </w:rPr>
        <w:tab/>
        <w:t xml:space="preserve">Doğan, C.; Akosman, C.; Sönmez, M. Analysis of the Results of the BRCA1 and BRCA2 Genes in Early-Onset Breast Cancer Patients from the Ordu Province. </w:t>
      </w:r>
      <w:r w:rsidR="0066732E" w:rsidRPr="0066732E">
        <w:rPr>
          <w:i/>
          <w:iCs/>
          <w:noProof/>
          <w:sz w:val="18"/>
        </w:rPr>
        <w:t>Atl. J. Med. Sci. Res.</w:t>
      </w:r>
      <w:r w:rsidR="0066732E" w:rsidRPr="0066732E">
        <w:rPr>
          <w:noProof/>
          <w:sz w:val="18"/>
        </w:rPr>
        <w:t xml:space="preserve"> </w:t>
      </w:r>
      <w:r w:rsidR="0066732E" w:rsidRPr="0066732E">
        <w:rPr>
          <w:b/>
          <w:bCs/>
          <w:noProof/>
          <w:sz w:val="18"/>
        </w:rPr>
        <w:t>2026</w:t>
      </w:r>
      <w:r w:rsidR="0066732E" w:rsidRPr="0066732E">
        <w:rPr>
          <w:noProof/>
          <w:sz w:val="18"/>
        </w:rPr>
        <w:t xml:space="preserve">, </w:t>
      </w:r>
      <w:r w:rsidR="0066732E" w:rsidRPr="0066732E">
        <w:rPr>
          <w:i/>
          <w:iCs/>
          <w:noProof/>
          <w:sz w:val="18"/>
        </w:rPr>
        <w:t>6</w:t>
      </w:r>
      <w:r w:rsidR="0066732E" w:rsidRPr="0066732E">
        <w:rPr>
          <w:noProof/>
          <w:sz w:val="18"/>
        </w:rPr>
        <w:t>, 93–99.</w:t>
      </w:r>
    </w:p>
    <w:p w14:paraId="3773DA4F"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 </w:t>
      </w:r>
      <w:r w:rsidRPr="0066732E">
        <w:rPr>
          <w:noProof/>
          <w:sz w:val="18"/>
        </w:rPr>
        <w:tab/>
        <w:t xml:space="preserve">Elias, K.; Smyczynska, U.; Stawiski, K.; Nowicka, Z.; Webber, J.; Kaplan, J.; Landen, C.; Lubinski, J.; Mukhopadhyay, A.; Chakraborty, D.; et al. Identification of BRCA1/2 Mutation Female Carriers Using Circulating MicroRNA Profiles. </w:t>
      </w:r>
      <w:r w:rsidRPr="0066732E">
        <w:rPr>
          <w:i/>
          <w:iCs/>
          <w:noProof/>
          <w:sz w:val="18"/>
        </w:rPr>
        <w:t>Nat. Commun.</w:t>
      </w:r>
      <w:r w:rsidRPr="0066732E">
        <w:rPr>
          <w:noProof/>
          <w:sz w:val="18"/>
        </w:rPr>
        <w:t xml:space="preserve"> </w:t>
      </w:r>
      <w:r w:rsidRPr="0066732E">
        <w:rPr>
          <w:b/>
          <w:bCs/>
          <w:noProof/>
          <w:sz w:val="18"/>
        </w:rPr>
        <w:t>2023</w:t>
      </w:r>
      <w:r w:rsidRPr="0066732E">
        <w:rPr>
          <w:noProof/>
          <w:sz w:val="18"/>
        </w:rPr>
        <w:t xml:space="preserve">, </w:t>
      </w:r>
      <w:r w:rsidRPr="0066732E">
        <w:rPr>
          <w:i/>
          <w:iCs/>
          <w:noProof/>
          <w:sz w:val="18"/>
        </w:rPr>
        <w:t>14</w:t>
      </w:r>
      <w:r w:rsidRPr="0066732E">
        <w:rPr>
          <w:noProof/>
          <w:sz w:val="18"/>
        </w:rPr>
        <w:t>, 3350, doi:10.1038/s41467-023-38925-4.</w:t>
      </w:r>
    </w:p>
    <w:p w14:paraId="728AEBE7"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3. </w:t>
      </w:r>
      <w:r w:rsidRPr="0066732E">
        <w:rPr>
          <w:noProof/>
          <w:sz w:val="18"/>
        </w:rPr>
        <w:tab/>
        <w:t xml:space="preserve">Kuchenbaecker, K.B.; Hopper, J.L.; Barnes, D.R.; Phillips, K.-A.; Mooij, T.M.; Roos-Blom, M.-J.; Jervis, S.; van Leeuwen, F.E.; Milne, R.L.; Andrieu, N.; et al. Risks of Breast, Ovarian, and Contralateral Breast Cancer for BRCA1 and BRCA2 Mutation Carriers. </w:t>
      </w:r>
      <w:r w:rsidRPr="0066732E">
        <w:rPr>
          <w:i/>
          <w:iCs/>
          <w:noProof/>
          <w:sz w:val="18"/>
        </w:rPr>
        <w:t>JAMA</w:t>
      </w:r>
      <w:r w:rsidRPr="0066732E">
        <w:rPr>
          <w:noProof/>
          <w:sz w:val="18"/>
        </w:rPr>
        <w:t xml:space="preserve"> </w:t>
      </w:r>
      <w:r w:rsidRPr="0066732E">
        <w:rPr>
          <w:b/>
          <w:bCs/>
          <w:noProof/>
          <w:sz w:val="18"/>
        </w:rPr>
        <w:t>2017</w:t>
      </w:r>
      <w:r w:rsidRPr="0066732E">
        <w:rPr>
          <w:noProof/>
          <w:sz w:val="18"/>
        </w:rPr>
        <w:t xml:space="preserve">, </w:t>
      </w:r>
      <w:r w:rsidRPr="0066732E">
        <w:rPr>
          <w:i/>
          <w:iCs/>
          <w:noProof/>
          <w:sz w:val="18"/>
        </w:rPr>
        <w:t>317</w:t>
      </w:r>
      <w:r w:rsidRPr="0066732E">
        <w:rPr>
          <w:noProof/>
          <w:sz w:val="18"/>
        </w:rPr>
        <w:t>, 2402–2416, doi:10.1001/jama.2017.7112.</w:t>
      </w:r>
    </w:p>
    <w:p w14:paraId="5688E9A3"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4. </w:t>
      </w:r>
      <w:r w:rsidRPr="0066732E">
        <w:rPr>
          <w:noProof/>
          <w:sz w:val="18"/>
        </w:rPr>
        <w:tab/>
        <w:t xml:space="preserve">Yang, X.; Leslie, G.; Doroszuk, A.; Schneider, S.; Allen, J.; Decker, B.; Dunning, A.M.; Redman, J.; Scarth, J.; Plaskocinska, I.; et al. Cancer Risks Associated With Germline PALB2 Pathogenic Variants: An International Study of 524 Families. </w:t>
      </w:r>
      <w:r w:rsidRPr="0066732E">
        <w:rPr>
          <w:i/>
          <w:iCs/>
          <w:noProof/>
          <w:sz w:val="18"/>
        </w:rPr>
        <w:t>J. Clin. Oncol.</w:t>
      </w:r>
      <w:r w:rsidRPr="0066732E">
        <w:rPr>
          <w:noProof/>
          <w:sz w:val="18"/>
        </w:rPr>
        <w:t xml:space="preserve"> </w:t>
      </w:r>
      <w:r w:rsidRPr="0066732E">
        <w:rPr>
          <w:b/>
          <w:bCs/>
          <w:noProof/>
          <w:sz w:val="18"/>
        </w:rPr>
        <w:t>2019</w:t>
      </w:r>
      <w:r w:rsidRPr="0066732E">
        <w:rPr>
          <w:noProof/>
          <w:sz w:val="18"/>
        </w:rPr>
        <w:t xml:space="preserve">, </w:t>
      </w:r>
      <w:r w:rsidRPr="0066732E">
        <w:rPr>
          <w:i/>
          <w:iCs/>
          <w:noProof/>
          <w:sz w:val="18"/>
        </w:rPr>
        <w:t>38</w:t>
      </w:r>
      <w:r w:rsidRPr="0066732E">
        <w:rPr>
          <w:noProof/>
          <w:sz w:val="18"/>
        </w:rPr>
        <w:t>, 674–685, doi:10.1200/JCO.19.01907.</w:t>
      </w:r>
    </w:p>
    <w:p w14:paraId="5D7801A2"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5. </w:t>
      </w:r>
      <w:r w:rsidRPr="0066732E">
        <w:rPr>
          <w:noProof/>
          <w:sz w:val="18"/>
        </w:rPr>
        <w:tab/>
        <w:t xml:space="preserve">Antoniou, A.C.; Casadei, S.; Heikkinen, T.; Barrowdale, D.; Pylkäs, K.; Roberts, J.; Lee, A.; Subramanian, D.; De Leeneer, K.; Fostira, F.; et al. Breast-Cancer Risk in Families with Mutations in PALB2. </w:t>
      </w:r>
      <w:r w:rsidRPr="0066732E">
        <w:rPr>
          <w:i/>
          <w:iCs/>
          <w:noProof/>
          <w:sz w:val="18"/>
        </w:rPr>
        <w:t>N. Engl. J. Med.</w:t>
      </w:r>
      <w:r w:rsidRPr="0066732E">
        <w:rPr>
          <w:noProof/>
          <w:sz w:val="18"/>
        </w:rPr>
        <w:t xml:space="preserve"> </w:t>
      </w:r>
      <w:r w:rsidRPr="0066732E">
        <w:rPr>
          <w:b/>
          <w:bCs/>
          <w:noProof/>
          <w:sz w:val="18"/>
        </w:rPr>
        <w:t>2014</w:t>
      </w:r>
      <w:r w:rsidRPr="0066732E">
        <w:rPr>
          <w:noProof/>
          <w:sz w:val="18"/>
        </w:rPr>
        <w:t xml:space="preserve">, </w:t>
      </w:r>
      <w:r w:rsidRPr="0066732E">
        <w:rPr>
          <w:i/>
          <w:iCs/>
          <w:noProof/>
          <w:sz w:val="18"/>
        </w:rPr>
        <w:t>371</w:t>
      </w:r>
      <w:r w:rsidRPr="0066732E">
        <w:rPr>
          <w:noProof/>
          <w:sz w:val="18"/>
        </w:rPr>
        <w:t>, 497–506, doi:10.1056/NEJMoa1400382.</w:t>
      </w:r>
    </w:p>
    <w:p w14:paraId="5FE38183"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6. </w:t>
      </w:r>
      <w:r w:rsidRPr="0066732E">
        <w:rPr>
          <w:noProof/>
          <w:sz w:val="18"/>
        </w:rPr>
        <w:tab/>
        <w:t xml:space="preserve">Breast Cancer Risk Genes — Association Analysis in More than 113,000 Women. </w:t>
      </w:r>
      <w:r w:rsidRPr="0066732E">
        <w:rPr>
          <w:i/>
          <w:iCs/>
          <w:noProof/>
          <w:sz w:val="18"/>
        </w:rPr>
        <w:t>N. Engl. J. Med.</w:t>
      </w:r>
      <w:r w:rsidRPr="0066732E">
        <w:rPr>
          <w:noProof/>
          <w:sz w:val="18"/>
        </w:rPr>
        <w:t xml:space="preserve"> </w:t>
      </w:r>
      <w:r w:rsidRPr="0066732E">
        <w:rPr>
          <w:b/>
          <w:bCs/>
          <w:noProof/>
          <w:sz w:val="18"/>
        </w:rPr>
        <w:t>2021</w:t>
      </w:r>
      <w:r w:rsidRPr="0066732E">
        <w:rPr>
          <w:noProof/>
          <w:sz w:val="18"/>
        </w:rPr>
        <w:t xml:space="preserve">, </w:t>
      </w:r>
      <w:r w:rsidRPr="0066732E">
        <w:rPr>
          <w:i/>
          <w:iCs/>
          <w:noProof/>
          <w:sz w:val="18"/>
        </w:rPr>
        <w:t>384</w:t>
      </w:r>
      <w:r w:rsidRPr="0066732E">
        <w:rPr>
          <w:noProof/>
          <w:sz w:val="18"/>
        </w:rPr>
        <w:t>, 428–439, doi:10.1056/NEJMoa1913948.</w:t>
      </w:r>
    </w:p>
    <w:p w14:paraId="35EC5A61"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7. </w:t>
      </w:r>
      <w:r w:rsidRPr="0066732E">
        <w:rPr>
          <w:noProof/>
          <w:sz w:val="18"/>
        </w:rPr>
        <w:tab/>
        <w:t xml:space="preserve">Qian, M.; Cao, X.; Devidas, M.; Yang, W.; Cheng, C.; Dai, Y.; Carroll, A.; Heerema, N.A.; Zhang, H.; Moriyama, T.; et al. TP53 Germline Variations Influence the Predisposition and Prognosis of B-Cell  Acute Lymphoblastic Leukemia in Children. </w:t>
      </w:r>
      <w:r w:rsidRPr="0066732E">
        <w:rPr>
          <w:i/>
          <w:iCs/>
          <w:noProof/>
          <w:sz w:val="18"/>
        </w:rPr>
        <w:t>J. Clin. Oncol.  Off. J. Am. Soc.  Clin. Oncol.</w:t>
      </w:r>
      <w:r w:rsidRPr="0066732E">
        <w:rPr>
          <w:noProof/>
          <w:sz w:val="18"/>
        </w:rPr>
        <w:t xml:space="preserve"> </w:t>
      </w:r>
      <w:r w:rsidRPr="0066732E">
        <w:rPr>
          <w:b/>
          <w:bCs/>
          <w:noProof/>
          <w:sz w:val="18"/>
        </w:rPr>
        <w:t>2018</w:t>
      </w:r>
      <w:r w:rsidRPr="0066732E">
        <w:rPr>
          <w:noProof/>
          <w:sz w:val="18"/>
        </w:rPr>
        <w:t xml:space="preserve">, </w:t>
      </w:r>
      <w:r w:rsidRPr="0066732E">
        <w:rPr>
          <w:i/>
          <w:iCs/>
          <w:noProof/>
          <w:sz w:val="18"/>
        </w:rPr>
        <w:t>36</w:t>
      </w:r>
      <w:r w:rsidRPr="0066732E">
        <w:rPr>
          <w:noProof/>
          <w:sz w:val="18"/>
        </w:rPr>
        <w:t>, 591–599, doi:10.1200/JCO.2017.75.5215.</w:t>
      </w:r>
    </w:p>
    <w:p w14:paraId="47540245"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8. </w:t>
      </w:r>
      <w:r w:rsidRPr="0066732E">
        <w:rPr>
          <w:noProof/>
          <w:sz w:val="18"/>
        </w:rPr>
        <w:tab/>
        <w:t xml:space="preserve">Tischkowitz, M.; Colas, C.; Pouwels, S.; Hoogerbrugge, N.; Bisseling, T.; Bubien, V.; Caux, F.; Chabbert-Buffet, N.; Colas, C.; </w:t>
      </w:r>
      <w:r w:rsidRPr="0066732E">
        <w:rPr>
          <w:noProof/>
          <w:sz w:val="18"/>
        </w:rPr>
        <w:lastRenderedPageBreak/>
        <w:t xml:space="preserve">Da Mota Gomes, S.; et al. Cancer Surveillance Guideline for Individuals with PTEN Hamartoma Tumour Syndrome. </w:t>
      </w:r>
      <w:r w:rsidRPr="0066732E">
        <w:rPr>
          <w:i/>
          <w:iCs/>
          <w:noProof/>
          <w:sz w:val="18"/>
        </w:rPr>
        <w:t>Eur. J. Hum. Genet.</w:t>
      </w:r>
      <w:r w:rsidRPr="0066732E">
        <w:rPr>
          <w:noProof/>
          <w:sz w:val="18"/>
        </w:rPr>
        <w:t xml:space="preserve"> </w:t>
      </w:r>
      <w:r w:rsidRPr="0066732E">
        <w:rPr>
          <w:b/>
          <w:bCs/>
          <w:noProof/>
          <w:sz w:val="18"/>
        </w:rPr>
        <w:t>2020</w:t>
      </w:r>
      <w:r w:rsidRPr="0066732E">
        <w:rPr>
          <w:noProof/>
          <w:sz w:val="18"/>
        </w:rPr>
        <w:t xml:space="preserve">, </w:t>
      </w:r>
      <w:r w:rsidRPr="0066732E">
        <w:rPr>
          <w:i/>
          <w:iCs/>
          <w:noProof/>
          <w:sz w:val="18"/>
        </w:rPr>
        <w:t>28</w:t>
      </w:r>
      <w:r w:rsidRPr="0066732E">
        <w:rPr>
          <w:noProof/>
          <w:sz w:val="18"/>
        </w:rPr>
        <w:t>, 1387–1393, doi:10.1038/s41431-020-0651-7.</w:t>
      </w:r>
    </w:p>
    <w:p w14:paraId="7CE7F265"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9. </w:t>
      </w:r>
      <w:r w:rsidRPr="0066732E">
        <w:rPr>
          <w:noProof/>
          <w:sz w:val="18"/>
        </w:rPr>
        <w:tab/>
        <w:t xml:space="preserve">Duarte, M.; Milikowski, C. Gastrointestinal Polyposis with Associated Cutaneous Manifestations. </w:t>
      </w:r>
      <w:r w:rsidRPr="0066732E">
        <w:rPr>
          <w:i/>
          <w:iCs/>
          <w:noProof/>
          <w:sz w:val="18"/>
        </w:rPr>
        <w:t>Pathology</w:t>
      </w:r>
      <w:r w:rsidRPr="0066732E">
        <w:rPr>
          <w:noProof/>
          <w:sz w:val="18"/>
        </w:rPr>
        <w:t xml:space="preserve"> </w:t>
      </w:r>
      <w:r w:rsidRPr="0066732E">
        <w:rPr>
          <w:b/>
          <w:bCs/>
          <w:noProof/>
          <w:sz w:val="18"/>
        </w:rPr>
        <w:t>2022</w:t>
      </w:r>
      <w:r w:rsidRPr="0066732E">
        <w:rPr>
          <w:noProof/>
          <w:sz w:val="18"/>
        </w:rPr>
        <w:t xml:space="preserve">, </w:t>
      </w:r>
      <w:r w:rsidRPr="0066732E">
        <w:rPr>
          <w:i/>
          <w:iCs/>
          <w:noProof/>
          <w:sz w:val="18"/>
        </w:rPr>
        <w:t>54</w:t>
      </w:r>
      <w:r w:rsidRPr="0066732E">
        <w:rPr>
          <w:noProof/>
          <w:sz w:val="18"/>
        </w:rPr>
        <w:t>, 157–166, doi:10.1016/j.pathol.2021.08.009.</w:t>
      </w:r>
    </w:p>
    <w:p w14:paraId="694B0B05"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10. </w:t>
      </w:r>
      <w:r w:rsidRPr="0066732E">
        <w:rPr>
          <w:noProof/>
          <w:sz w:val="18"/>
        </w:rPr>
        <w:tab/>
        <w:t xml:space="preserve">Blair, V.R.; McLeod, M.; Carneiro, F.; Coit, D.G.; D’Addario, J.L.; van Dieren, J.M.; Harris, K.L.; Hoogerbrugge, N.; Oliveira, C.; van der Post, R.S.; et al. Hereditary Diffuse Gastric Cancer: Updated Clinical Practice Guidelines. </w:t>
      </w:r>
      <w:r w:rsidRPr="0066732E">
        <w:rPr>
          <w:i/>
          <w:iCs/>
          <w:noProof/>
          <w:sz w:val="18"/>
        </w:rPr>
        <w:t>Lancet Oncol.</w:t>
      </w:r>
      <w:r w:rsidRPr="0066732E">
        <w:rPr>
          <w:noProof/>
          <w:sz w:val="18"/>
        </w:rPr>
        <w:t xml:space="preserve"> </w:t>
      </w:r>
      <w:r w:rsidRPr="0066732E">
        <w:rPr>
          <w:b/>
          <w:bCs/>
          <w:noProof/>
          <w:sz w:val="18"/>
        </w:rPr>
        <w:t>2020</w:t>
      </w:r>
      <w:r w:rsidRPr="0066732E">
        <w:rPr>
          <w:noProof/>
          <w:sz w:val="18"/>
        </w:rPr>
        <w:t xml:space="preserve">, </w:t>
      </w:r>
      <w:r w:rsidRPr="0066732E">
        <w:rPr>
          <w:i/>
          <w:iCs/>
          <w:noProof/>
          <w:sz w:val="18"/>
        </w:rPr>
        <w:t>21</w:t>
      </w:r>
      <w:r w:rsidRPr="0066732E">
        <w:rPr>
          <w:noProof/>
          <w:sz w:val="18"/>
        </w:rPr>
        <w:t>, e386–e397, doi:10.1016/S1470-2045(20)30219-9.</w:t>
      </w:r>
    </w:p>
    <w:p w14:paraId="7EF2A23E"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11. </w:t>
      </w:r>
      <w:r w:rsidRPr="0066732E">
        <w:rPr>
          <w:noProof/>
          <w:sz w:val="18"/>
        </w:rPr>
        <w:tab/>
        <w:t xml:space="preserve">Alenezi, W.M.; Milano, L.; Fierheller, C.T.; Serruya, C.; Revil, T.; Oros, K.K.; Behl, S.; Arcand, S.L.; Nayar, P.; Spiegelman, D.; et al. The Genetic and Molecular Analyses of RAD51C and RAD51D Identifies Rare Variants  Implicated in Hereditary Ovarian Cancer from a Genetically Unique Population. </w:t>
      </w:r>
      <w:r w:rsidRPr="0066732E">
        <w:rPr>
          <w:i/>
          <w:iCs/>
          <w:noProof/>
          <w:sz w:val="18"/>
        </w:rPr>
        <w:t>Cancers (Basel).</w:t>
      </w:r>
      <w:r w:rsidRPr="0066732E">
        <w:rPr>
          <w:noProof/>
          <w:sz w:val="18"/>
        </w:rPr>
        <w:t xml:space="preserve"> </w:t>
      </w:r>
      <w:r w:rsidRPr="0066732E">
        <w:rPr>
          <w:b/>
          <w:bCs/>
          <w:noProof/>
          <w:sz w:val="18"/>
        </w:rPr>
        <w:t>2022</w:t>
      </w:r>
      <w:r w:rsidRPr="0066732E">
        <w:rPr>
          <w:noProof/>
          <w:sz w:val="18"/>
        </w:rPr>
        <w:t xml:space="preserve">, </w:t>
      </w:r>
      <w:r w:rsidRPr="0066732E">
        <w:rPr>
          <w:i/>
          <w:iCs/>
          <w:noProof/>
          <w:sz w:val="18"/>
        </w:rPr>
        <w:t>14</w:t>
      </w:r>
      <w:r w:rsidRPr="0066732E">
        <w:rPr>
          <w:noProof/>
          <w:sz w:val="18"/>
        </w:rPr>
        <w:t>, doi:10.3390/cancers14092251.</w:t>
      </w:r>
    </w:p>
    <w:p w14:paraId="3D472626"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12. </w:t>
      </w:r>
      <w:r w:rsidRPr="0066732E">
        <w:rPr>
          <w:noProof/>
          <w:sz w:val="18"/>
        </w:rPr>
        <w:tab/>
        <w:t xml:space="preserve">Yang, X.; Song, H.; Leslie, G.; Engel, C.; Hahnen, E.; Auber, B.; Horváth, J.; Kast, K.; Niederacher, D.; Turnbull, C.; et al. Ovarian and Breast Cancer Risks Associated With Pathogenic Variants in RAD51C and  RAD51D. </w:t>
      </w:r>
      <w:r w:rsidRPr="0066732E">
        <w:rPr>
          <w:i/>
          <w:iCs/>
          <w:noProof/>
          <w:sz w:val="18"/>
        </w:rPr>
        <w:t>J. Natl. Cancer Inst.</w:t>
      </w:r>
      <w:r w:rsidRPr="0066732E">
        <w:rPr>
          <w:noProof/>
          <w:sz w:val="18"/>
        </w:rPr>
        <w:t xml:space="preserve"> </w:t>
      </w:r>
      <w:r w:rsidRPr="0066732E">
        <w:rPr>
          <w:b/>
          <w:bCs/>
          <w:noProof/>
          <w:sz w:val="18"/>
        </w:rPr>
        <w:t>2020</w:t>
      </w:r>
      <w:r w:rsidRPr="0066732E">
        <w:rPr>
          <w:noProof/>
          <w:sz w:val="18"/>
        </w:rPr>
        <w:t xml:space="preserve">, </w:t>
      </w:r>
      <w:r w:rsidRPr="0066732E">
        <w:rPr>
          <w:i/>
          <w:iCs/>
          <w:noProof/>
          <w:sz w:val="18"/>
        </w:rPr>
        <w:t>112</w:t>
      </w:r>
      <w:r w:rsidRPr="0066732E">
        <w:rPr>
          <w:noProof/>
          <w:sz w:val="18"/>
        </w:rPr>
        <w:t>, 1242–1250, doi:10.1093/jnci/djaa030.</w:t>
      </w:r>
    </w:p>
    <w:p w14:paraId="6D8F62EF"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13. </w:t>
      </w:r>
      <w:r w:rsidRPr="0066732E">
        <w:rPr>
          <w:noProof/>
          <w:sz w:val="18"/>
        </w:rPr>
        <w:tab/>
        <w:t xml:space="preserve">Santamariña, M.; Fuentes-Ríos, O.; Blanco-Pérez, A.; Rodríguez-Lage, B.; Crujeiras-González, A.; Sánchez de Abajo, A.M.; Galego-Carro, J.; Coedo-Costa, C.; Aguado-Barrera, M.E.; Sampayo, V.; et al.  Splicing Predictions, Splicing Assays, and Variant Classification Using ACMG/AMP Guidelines: Challenges Observed with BRCA1 and BRCA2 Variants . </w:t>
      </w:r>
      <w:r w:rsidRPr="0066732E">
        <w:rPr>
          <w:i/>
          <w:iCs/>
          <w:noProof/>
          <w:sz w:val="18"/>
        </w:rPr>
        <w:t>Clin. Chem.</w:t>
      </w:r>
      <w:r w:rsidRPr="0066732E">
        <w:rPr>
          <w:noProof/>
          <w:sz w:val="18"/>
        </w:rPr>
        <w:t xml:space="preserve"> </w:t>
      </w:r>
      <w:r w:rsidRPr="0066732E">
        <w:rPr>
          <w:b/>
          <w:bCs/>
          <w:noProof/>
          <w:sz w:val="18"/>
        </w:rPr>
        <w:t>2026</w:t>
      </w:r>
      <w:r w:rsidRPr="0066732E">
        <w:rPr>
          <w:noProof/>
          <w:sz w:val="18"/>
        </w:rPr>
        <w:t xml:space="preserve">, </w:t>
      </w:r>
      <w:r w:rsidRPr="0066732E">
        <w:rPr>
          <w:i/>
          <w:iCs/>
          <w:noProof/>
          <w:sz w:val="18"/>
        </w:rPr>
        <w:t>72</w:t>
      </w:r>
      <w:r w:rsidRPr="0066732E">
        <w:rPr>
          <w:noProof/>
          <w:sz w:val="18"/>
        </w:rPr>
        <w:t>, 266–280, doi:10.1093/clinchem/hvaf177.</w:t>
      </w:r>
    </w:p>
    <w:p w14:paraId="30D35094"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14. </w:t>
      </w:r>
      <w:r w:rsidRPr="0066732E">
        <w:rPr>
          <w:noProof/>
          <w:sz w:val="18"/>
        </w:rPr>
        <w:tab/>
        <w:t xml:space="preserve">Zanti, M.; O’Mahony, D.G.; Parsons, M.T.; Dorling, L.; Dennis, J.; Boddicker, N.J.; Chen, W.; Hu, C.; Naven, M.; Yiangou, K.; et al. Analysis of More than 400,000 Women Provides Case-Control Evidence for BRCA1 and BRCA2 Variant Classification. </w:t>
      </w:r>
      <w:r w:rsidRPr="0066732E">
        <w:rPr>
          <w:i/>
          <w:iCs/>
          <w:noProof/>
          <w:sz w:val="18"/>
        </w:rPr>
        <w:t xml:space="preserve">Nat. Commun. </w:t>
      </w:r>
      <w:r w:rsidRPr="0066732E">
        <w:rPr>
          <w:noProof/>
          <w:sz w:val="18"/>
        </w:rPr>
        <w:t xml:space="preserve"> </w:t>
      </w:r>
      <w:r w:rsidRPr="0066732E">
        <w:rPr>
          <w:b/>
          <w:bCs/>
          <w:noProof/>
          <w:sz w:val="18"/>
        </w:rPr>
        <w:t>2025</w:t>
      </w:r>
      <w:r w:rsidRPr="0066732E">
        <w:rPr>
          <w:noProof/>
          <w:sz w:val="18"/>
        </w:rPr>
        <w:t xml:space="preserve">, </w:t>
      </w:r>
      <w:r w:rsidRPr="0066732E">
        <w:rPr>
          <w:i/>
          <w:iCs/>
          <w:noProof/>
          <w:sz w:val="18"/>
        </w:rPr>
        <w:t>16</w:t>
      </w:r>
      <w:r w:rsidRPr="0066732E">
        <w:rPr>
          <w:noProof/>
          <w:sz w:val="18"/>
        </w:rPr>
        <w:t>, 1–18, doi:10.1038/s41467-025-59979-6.</w:t>
      </w:r>
    </w:p>
    <w:p w14:paraId="35C70B05"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15. </w:t>
      </w:r>
      <w:r w:rsidRPr="0066732E">
        <w:rPr>
          <w:noProof/>
          <w:sz w:val="18"/>
        </w:rPr>
        <w:tab/>
        <w:t xml:space="preserve">Favalli, V.; Tini, G.; Bonetti, E.; Vozza, G.; Guida, A.; Gandini, S.; Pelicci, P.G.; Mazzarella, L. Machine Learning-Based Reclassification of Germline Variants of Unknown  Significance: The RENOVO Algorithm. </w:t>
      </w:r>
      <w:r w:rsidRPr="0066732E">
        <w:rPr>
          <w:i/>
          <w:iCs/>
          <w:noProof/>
          <w:sz w:val="18"/>
        </w:rPr>
        <w:t>Am. J. Hum. Genet.</w:t>
      </w:r>
      <w:r w:rsidRPr="0066732E">
        <w:rPr>
          <w:noProof/>
          <w:sz w:val="18"/>
        </w:rPr>
        <w:t xml:space="preserve"> </w:t>
      </w:r>
      <w:r w:rsidRPr="0066732E">
        <w:rPr>
          <w:b/>
          <w:bCs/>
          <w:noProof/>
          <w:sz w:val="18"/>
        </w:rPr>
        <w:t>2021</w:t>
      </w:r>
      <w:r w:rsidRPr="0066732E">
        <w:rPr>
          <w:noProof/>
          <w:sz w:val="18"/>
        </w:rPr>
        <w:t xml:space="preserve">, </w:t>
      </w:r>
      <w:r w:rsidRPr="0066732E">
        <w:rPr>
          <w:i/>
          <w:iCs/>
          <w:noProof/>
          <w:sz w:val="18"/>
        </w:rPr>
        <w:t>108</w:t>
      </w:r>
      <w:r w:rsidRPr="0066732E">
        <w:rPr>
          <w:noProof/>
          <w:sz w:val="18"/>
        </w:rPr>
        <w:t>, 682–695, doi:10.1016/j.ajhg.2021.03.010.</w:t>
      </w:r>
    </w:p>
    <w:p w14:paraId="2FFE7CB5"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16. </w:t>
      </w:r>
      <w:r w:rsidRPr="0066732E">
        <w:rPr>
          <w:noProof/>
          <w:sz w:val="18"/>
        </w:rPr>
        <w:tab/>
        <w:t>Düzenli, T.; Babazade, A.; Vural, O.; Bahap, Y.; Ergün, M.A. HECTOR</w:t>
      </w:r>
      <w:r w:rsidRPr="0066732E">
        <w:rPr>
          <w:rFonts w:ascii="Times New Roman" w:hAnsi="Times New Roman"/>
          <w:noProof/>
          <w:sz w:val="18"/>
        </w:rPr>
        <w:t> </w:t>
      </w:r>
      <w:r w:rsidRPr="0066732E">
        <w:rPr>
          <w:noProof/>
          <w:sz w:val="18"/>
        </w:rPr>
        <w:t xml:space="preserve">: A Web-Based Tool for Automated BRCA1 / BRCA2 Variant Classification Under the ClinGen ENIGMA Specifications. </w:t>
      </w:r>
      <w:r w:rsidRPr="0066732E">
        <w:rPr>
          <w:b/>
          <w:bCs/>
          <w:noProof/>
          <w:sz w:val="18"/>
        </w:rPr>
        <w:t>2026</w:t>
      </w:r>
      <w:r w:rsidRPr="0066732E">
        <w:rPr>
          <w:noProof/>
          <w:sz w:val="18"/>
        </w:rPr>
        <w:t>.</w:t>
      </w:r>
    </w:p>
    <w:p w14:paraId="510306F1"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17. </w:t>
      </w:r>
      <w:r w:rsidRPr="0066732E">
        <w:rPr>
          <w:noProof/>
          <w:sz w:val="18"/>
        </w:rPr>
        <w:tab/>
        <w:t xml:space="preserve">Savige, J.; Storey, H.; Watson, E.; Hertz, J.M.; Deltas, C.; Renieri, A.; Mari, F.; Hilbert, P.; Plevova, P.; Byers, P.; et al. Consensus Statement on Standards and Guidelines for the Molecular Diagnostics of  Alport Syndrome: Refining the ACMG Criteria. </w:t>
      </w:r>
      <w:r w:rsidRPr="0066732E">
        <w:rPr>
          <w:i/>
          <w:iCs/>
          <w:noProof/>
          <w:sz w:val="18"/>
        </w:rPr>
        <w:t>Eur. J. Hum. Genet.</w:t>
      </w:r>
      <w:r w:rsidRPr="0066732E">
        <w:rPr>
          <w:noProof/>
          <w:sz w:val="18"/>
        </w:rPr>
        <w:t xml:space="preserve"> </w:t>
      </w:r>
      <w:r w:rsidRPr="0066732E">
        <w:rPr>
          <w:b/>
          <w:bCs/>
          <w:noProof/>
          <w:sz w:val="18"/>
        </w:rPr>
        <w:t>2021</w:t>
      </w:r>
      <w:r w:rsidRPr="0066732E">
        <w:rPr>
          <w:noProof/>
          <w:sz w:val="18"/>
        </w:rPr>
        <w:t xml:space="preserve">, </w:t>
      </w:r>
      <w:r w:rsidRPr="0066732E">
        <w:rPr>
          <w:i/>
          <w:iCs/>
          <w:noProof/>
          <w:sz w:val="18"/>
        </w:rPr>
        <w:t>29</w:t>
      </w:r>
      <w:r w:rsidRPr="0066732E">
        <w:rPr>
          <w:noProof/>
          <w:sz w:val="18"/>
        </w:rPr>
        <w:t>, 1186–1197, doi:10.1038/s41431-021-00858-1.</w:t>
      </w:r>
    </w:p>
    <w:p w14:paraId="7C2E278F"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18. </w:t>
      </w:r>
      <w:r w:rsidRPr="0066732E">
        <w:rPr>
          <w:noProof/>
          <w:sz w:val="18"/>
        </w:rPr>
        <w:tab/>
        <w:t xml:space="preserve">Wilcox, E.H.; Sarmady, M.; Wulf, B.; Wright, M.W.; Rehm, H.L.; Biesecker, L.G.; Abou Tayoun, A.N. Evaluating the Impact of in Silico Predictors on Clinical Variant Classification. </w:t>
      </w:r>
      <w:r w:rsidRPr="0066732E">
        <w:rPr>
          <w:i/>
          <w:iCs/>
          <w:noProof/>
          <w:sz w:val="18"/>
        </w:rPr>
        <w:t>Genet. Med.  Off. J. Am. Coll. Med.  Genet.</w:t>
      </w:r>
      <w:r w:rsidRPr="0066732E">
        <w:rPr>
          <w:noProof/>
          <w:sz w:val="18"/>
        </w:rPr>
        <w:t xml:space="preserve"> </w:t>
      </w:r>
      <w:r w:rsidRPr="0066732E">
        <w:rPr>
          <w:b/>
          <w:bCs/>
          <w:noProof/>
          <w:sz w:val="18"/>
        </w:rPr>
        <w:t>2022</w:t>
      </w:r>
      <w:r w:rsidRPr="0066732E">
        <w:rPr>
          <w:noProof/>
          <w:sz w:val="18"/>
        </w:rPr>
        <w:t xml:space="preserve">, </w:t>
      </w:r>
      <w:r w:rsidRPr="0066732E">
        <w:rPr>
          <w:i/>
          <w:iCs/>
          <w:noProof/>
          <w:sz w:val="18"/>
        </w:rPr>
        <w:t>24</w:t>
      </w:r>
      <w:r w:rsidRPr="0066732E">
        <w:rPr>
          <w:noProof/>
          <w:sz w:val="18"/>
        </w:rPr>
        <w:t>, 924–930, doi:10.1016/j.gim.2021.11.018.</w:t>
      </w:r>
    </w:p>
    <w:p w14:paraId="11B09B41"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19. </w:t>
      </w:r>
      <w:r w:rsidRPr="0066732E">
        <w:rPr>
          <w:noProof/>
          <w:sz w:val="18"/>
        </w:rPr>
        <w:tab/>
        <w:t xml:space="preserve">Zhuo, X.; Bi, X.; Aggarwal, V.; Liao, J. Calibration and Evaluation of Machine-Learning Algorithms for Missense Variant Classification under ACMG/ClinGen Recommendations. </w:t>
      </w:r>
      <w:r w:rsidRPr="0066732E">
        <w:rPr>
          <w:i/>
          <w:iCs/>
          <w:noProof/>
          <w:sz w:val="18"/>
        </w:rPr>
        <w:t>Genet. Med.</w:t>
      </w:r>
      <w:r w:rsidRPr="0066732E">
        <w:rPr>
          <w:noProof/>
          <w:sz w:val="18"/>
        </w:rPr>
        <w:t xml:space="preserve"> </w:t>
      </w:r>
      <w:r w:rsidRPr="0066732E">
        <w:rPr>
          <w:b/>
          <w:bCs/>
          <w:noProof/>
          <w:sz w:val="18"/>
        </w:rPr>
        <w:t>2026</w:t>
      </w:r>
      <w:r w:rsidRPr="0066732E">
        <w:rPr>
          <w:noProof/>
          <w:sz w:val="18"/>
        </w:rPr>
        <w:t>, 102606, doi:https://doi.org/10.1016/j.gim.2026.102606.</w:t>
      </w:r>
    </w:p>
    <w:p w14:paraId="3F40BB4B"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20. </w:t>
      </w:r>
      <w:r w:rsidRPr="0066732E">
        <w:rPr>
          <w:noProof/>
          <w:sz w:val="18"/>
        </w:rPr>
        <w:tab/>
        <w:t xml:space="preserve">Lucas, M.C.; Keßler, T.; Benet-Pagès, A.; Holinski-Feder, E.; Laner, A.; Klink, B. Validation Structures for Sequence Variants of Uncertain Significance in Hereditary Cancer. </w:t>
      </w:r>
      <w:r w:rsidRPr="0066732E">
        <w:rPr>
          <w:i/>
          <w:iCs/>
          <w:noProof/>
          <w:sz w:val="18"/>
        </w:rPr>
        <w:t>Eur. J. Hum. Genet.</w:t>
      </w:r>
      <w:r w:rsidRPr="0066732E">
        <w:rPr>
          <w:noProof/>
          <w:sz w:val="18"/>
        </w:rPr>
        <w:t xml:space="preserve"> </w:t>
      </w:r>
      <w:r w:rsidRPr="0066732E">
        <w:rPr>
          <w:b/>
          <w:bCs/>
          <w:noProof/>
          <w:sz w:val="18"/>
        </w:rPr>
        <w:t>2026</w:t>
      </w:r>
      <w:r w:rsidRPr="0066732E">
        <w:rPr>
          <w:noProof/>
          <w:sz w:val="18"/>
        </w:rPr>
        <w:t>, 1–7, doi:10.1038/s41431-026-02073-2.</w:t>
      </w:r>
    </w:p>
    <w:p w14:paraId="315E0C4E"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21. </w:t>
      </w:r>
      <w:r w:rsidRPr="0066732E">
        <w:rPr>
          <w:noProof/>
          <w:sz w:val="18"/>
        </w:rPr>
        <w:tab/>
        <w:t xml:space="preserve">Nakahara, H.; Niitsu, H.; Toshida, A.; Goto, K.; Yamauchi, M.; Saipova, K.M.; Hayes, C.N.; Hinata, N.; Oka, S.; Hinoi, T. A Prioritization Framework for BRCA1/2 Variants of Uncertain Significance Identified by Comprehensive Genomic Profiling. </w:t>
      </w:r>
      <w:r w:rsidRPr="0066732E">
        <w:rPr>
          <w:i/>
          <w:iCs/>
          <w:noProof/>
          <w:sz w:val="18"/>
        </w:rPr>
        <w:t>Eur. J. Hum. Genet.</w:t>
      </w:r>
      <w:r w:rsidRPr="0066732E">
        <w:rPr>
          <w:noProof/>
          <w:sz w:val="18"/>
        </w:rPr>
        <w:t xml:space="preserve"> </w:t>
      </w:r>
      <w:r w:rsidRPr="0066732E">
        <w:rPr>
          <w:b/>
          <w:bCs/>
          <w:noProof/>
          <w:sz w:val="18"/>
        </w:rPr>
        <w:t>2026</w:t>
      </w:r>
      <w:r w:rsidRPr="0066732E">
        <w:rPr>
          <w:noProof/>
          <w:sz w:val="18"/>
        </w:rPr>
        <w:t>, 1–8, doi:10.1038/s41431-026-02058-1.</w:t>
      </w:r>
    </w:p>
    <w:p w14:paraId="000AE0EF"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22. </w:t>
      </w:r>
      <w:r w:rsidRPr="0066732E">
        <w:rPr>
          <w:noProof/>
          <w:sz w:val="18"/>
        </w:rPr>
        <w:tab/>
        <w:t xml:space="preserve">Alay, M.T. A Novel Seven-Tier Framework for the Classification of MEFV Missense Variants Using Adaptive and Rigid Classifiers. </w:t>
      </w:r>
      <w:r w:rsidRPr="0066732E">
        <w:rPr>
          <w:i/>
          <w:iCs/>
          <w:noProof/>
          <w:sz w:val="18"/>
        </w:rPr>
        <w:t>Sci. Rep.</w:t>
      </w:r>
      <w:r w:rsidRPr="0066732E">
        <w:rPr>
          <w:noProof/>
          <w:sz w:val="18"/>
        </w:rPr>
        <w:t xml:space="preserve"> </w:t>
      </w:r>
      <w:r w:rsidRPr="0066732E">
        <w:rPr>
          <w:b/>
          <w:bCs/>
          <w:noProof/>
          <w:sz w:val="18"/>
        </w:rPr>
        <w:t>2025</w:t>
      </w:r>
      <w:r w:rsidRPr="0066732E">
        <w:rPr>
          <w:noProof/>
          <w:sz w:val="18"/>
        </w:rPr>
        <w:t xml:space="preserve">, </w:t>
      </w:r>
      <w:r w:rsidRPr="0066732E">
        <w:rPr>
          <w:i/>
          <w:iCs/>
          <w:noProof/>
          <w:sz w:val="18"/>
        </w:rPr>
        <w:t>15</w:t>
      </w:r>
      <w:r w:rsidRPr="0066732E">
        <w:rPr>
          <w:noProof/>
          <w:sz w:val="18"/>
        </w:rPr>
        <w:t>, 9054, doi:10.1038/s41598-025-94142-7.</w:t>
      </w:r>
    </w:p>
    <w:p w14:paraId="3C63E713"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23. </w:t>
      </w:r>
      <w:r w:rsidRPr="0066732E">
        <w:rPr>
          <w:noProof/>
          <w:sz w:val="18"/>
        </w:rPr>
        <w:tab/>
        <w:t xml:space="preserve">Alay, M.T. Integrative Classifiers for Variant Interpretation: Supervised Votes Meet Unsupervised Cluster Dominance. </w:t>
      </w:r>
      <w:r w:rsidRPr="0066732E">
        <w:rPr>
          <w:i/>
          <w:iCs/>
          <w:noProof/>
          <w:sz w:val="18"/>
        </w:rPr>
        <w:t>Digit. Heal. Technol. -Innovative Technol. Chang. ProcesessChanging Procesess</w:t>
      </w:r>
      <w:r w:rsidRPr="0066732E">
        <w:rPr>
          <w:noProof/>
          <w:sz w:val="18"/>
        </w:rPr>
        <w:t xml:space="preserve"> </w:t>
      </w:r>
      <w:r w:rsidRPr="0066732E">
        <w:rPr>
          <w:b/>
          <w:bCs/>
          <w:noProof/>
          <w:sz w:val="18"/>
        </w:rPr>
        <w:t>2025</w:t>
      </w:r>
      <w:r w:rsidRPr="0066732E">
        <w:rPr>
          <w:noProof/>
          <w:sz w:val="18"/>
        </w:rPr>
        <w:t>, 147–160, doi:10.59537/saupress.2415.</w:t>
      </w:r>
    </w:p>
    <w:p w14:paraId="5FA48ADC"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24. </w:t>
      </w:r>
      <w:r w:rsidRPr="0066732E">
        <w:rPr>
          <w:noProof/>
          <w:sz w:val="18"/>
        </w:rPr>
        <w:tab/>
        <w:t xml:space="preserve">Akyerli, C.B.; Gerdan, G.; Bülbül, A.; Keskin-Karakoyun, H.; Yüksel, Ş.K.; Timucin, E. Pathogenicity Prediction of Missense </w:t>
      </w:r>
      <w:r w:rsidRPr="0066732E">
        <w:rPr>
          <w:noProof/>
          <w:sz w:val="18"/>
        </w:rPr>
        <w:lastRenderedPageBreak/>
        <w:t xml:space="preserve">Variations in Hereditary Cancer Genes. </w:t>
      </w:r>
      <w:r w:rsidRPr="0066732E">
        <w:rPr>
          <w:i/>
          <w:iCs/>
          <w:noProof/>
          <w:sz w:val="18"/>
        </w:rPr>
        <w:t>Int. J. Mol. Sci.</w:t>
      </w:r>
      <w:r w:rsidRPr="0066732E">
        <w:rPr>
          <w:noProof/>
          <w:sz w:val="18"/>
        </w:rPr>
        <w:t xml:space="preserve"> </w:t>
      </w:r>
      <w:r w:rsidRPr="0066732E">
        <w:rPr>
          <w:b/>
          <w:bCs/>
          <w:noProof/>
          <w:sz w:val="18"/>
        </w:rPr>
        <w:t>2026</w:t>
      </w:r>
      <w:r w:rsidRPr="0066732E">
        <w:rPr>
          <w:noProof/>
          <w:sz w:val="18"/>
        </w:rPr>
        <w:t xml:space="preserve">, </w:t>
      </w:r>
      <w:r w:rsidRPr="0066732E">
        <w:rPr>
          <w:i/>
          <w:iCs/>
          <w:noProof/>
          <w:sz w:val="18"/>
        </w:rPr>
        <w:t>27</w:t>
      </w:r>
      <w:r w:rsidRPr="0066732E">
        <w:rPr>
          <w:noProof/>
          <w:sz w:val="18"/>
        </w:rPr>
        <w:t>, 1–17, doi:10.3390/ijms27052453.</w:t>
      </w:r>
    </w:p>
    <w:p w14:paraId="467001EC"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25. </w:t>
      </w:r>
      <w:r w:rsidRPr="0066732E">
        <w:rPr>
          <w:noProof/>
          <w:sz w:val="18"/>
        </w:rPr>
        <w:tab/>
        <w:t xml:space="preserve">Hart, S.N.; Polley, E.C.; Shimelis, H.; Yadav, S.; Couch, F.J. Prediction of the Functional Impact of Missense Variants in BRCA1 and BRCA2 with BRCA-ML. </w:t>
      </w:r>
      <w:r w:rsidRPr="0066732E">
        <w:rPr>
          <w:i/>
          <w:iCs/>
          <w:noProof/>
          <w:sz w:val="18"/>
        </w:rPr>
        <w:t>npj Breast Cancer</w:t>
      </w:r>
      <w:r w:rsidRPr="0066732E">
        <w:rPr>
          <w:noProof/>
          <w:sz w:val="18"/>
        </w:rPr>
        <w:t xml:space="preserve"> </w:t>
      </w:r>
      <w:r w:rsidRPr="0066732E">
        <w:rPr>
          <w:b/>
          <w:bCs/>
          <w:noProof/>
          <w:sz w:val="18"/>
        </w:rPr>
        <w:t>2020</w:t>
      </w:r>
      <w:r w:rsidRPr="0066732E">
        <w:rPr>
          <w:noProof/>
          <w:sz w:val="18"/>
        </w:rPr>
        <w:t xml:space="preserve">, </w:t>
      </w:r>
      <w:r w:rsidRPr="0066732E">
        <w:rPr>
          <w:i/>
          <w:iCs/>
          <w:noProof/>
          <w:sz w:val="18"/>
        </w:rPr>
        <w:t>6</w:t>
      </w:r>
      <w:r w:rsidRPr="0066732E">
        <w:rPr>
          <w:noProof/>
          <w:sz w:val="18"/>
        </w:rPr>
        <w:t>, 13, doi:10.1038/s41523-020-0159-x.</w:t>
      </w:r>
    </w:p>
    <w:p w14:paraId="52069911"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26. </w:t>
      </w:r>
      <w:r w:rsidRPr="0066732E">
        <w:rPr>
          <w:noProof/>
          <w:sz w:val="18"/>
        </w:rPr>
        <w:tab/>
        <w:t xml:space="preserve">Aljarf, R.; Shen, M.; Pires, D.E. V; Ascher, D.B. Understanding and Predicting the Functional Consequences of Missense Mutations in BRCA1 and BRCA2. </w:t>
      </w:r>
      <w:r w:rsidRPr="0066732E">
        <w:rPr>
          <w:i/>
          <w:iCs/>
          <w:noProof/>
          <w:sz w:val="18"/>
        </w:rPr>
        <w:t>Sci. Rep.</w:t>
      </w:r>
      <w:r w:rsidRPr="0066732E">
        <w:rPr>
          <w:noProof/>
          <w:sz w:val="18"/>
        </w:rPr>
        <w:t xml:space="preserve"> </w:t>
      </w:r>
      <w:r w:rsidRPr="0066732E">
        <w:rPr>
          <w:b/>
          <w:bCs/>
          <w:noProof/>
          <w:sz w:val="18"/>
        </w:rPr>
        <w:t>2022</w:t>
      </w:r>
      <w:r w:rsidRPr="0066732E">
        <w:rPr>
          <w:noProof/>
          <w:sz w:val="18"/>
        </w:rPr>
        <w:t xml:space="preserve">, </w:t>
      </w:r>
      <w:r w:rsidRPr="0066732E">
        <w:rPr>
          <w:i/>
          <w:iCs/>
          <w:noProof/>
          <w:sz w:val="18"/>
        </w:rPr>
        <w:t>12</w:t>
      </w:r>
      <w:r w:rsidRPr="0066732E">
        <w:rPr>
          <w:noProof/>
          <w:sz w:val="18"/>
        </w:rPr>
        <w:t>, 10458, doi:10.1038/s41598-022-13508-3.</w:t>
      </w:r>
    </w:p>
    <w:p w14:paraId="622B1550"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27. </w:t>
      </w:r>
      <w:r w:rsidRPr="0066732E">
        <w:rPr>
          <w:noProof/>
          <w:sz w:val="18"/>
        </w:rPr>
        <w:tab/>
        <w:t xml:space="preserve">Kang, M.; Kim, S.; Lee, D.-B.; Hong, C.; Hwang, K.-B. Gene-Specific Machine Learning for Pathogenicity Prediction of Rare BRCA1 and BRCA2 Missense Variants. </w:t>
      </w:r>
      <w:r w:rsidRPr="0066732E">
        <w:rPr>
          <w:i/>
          <w:iCs/>
          <w:noProof/>
          <w:sz w:val="18"/>
        </w:rPr>
        <w:t>Sci. Rep.</w:t>
      </w:r>
      <w:r w:rsidRPr="0066732E">
        <w:rPr>
          <w:noProof/>
          <w:sz w:val="18"/>
        </w:rPr>
        <w:t xml:space="preserve"> </w:t>
      </w:r>
      <w:r w:rsidRPr="0066732E">
        <w:rPr>
          <w:b/>
          <w:bCs/>
          <w:noProof/>
          <w:sz w:val="18"/>
        </w:rPr>
        <w:t>2023</w:t>
      </w:r>
      <w:r w:rsidRPr="0066732E">
        <w:rPr>
          <w:noProof/>
          <w:sz w:val="18"/>
        </w:rPr>
        <w:t xml:space="preserve">, </w:t>
      </w:r>
      <w:r w:rsidRPr="0066732E">
        <w:rPr>
          <w:i/>
          <w:iCs/>
          <w:noProof/>
          <w:sz w:val="18"/>
        </w:rPr>
        <w:t>13</w:t>
      </w:r>
      <w:r w:rsidRPr="0066732E">
        <w:rPr>
          <w:noProof/>
          <w:sz w:val="18"/>
        </w:rPr>
        <w:t>, 10478, doi:10.1038/s41598-023-37698-6.</w:t>
      </w:r>
    </w:p>
    <w:p w14:paraId="29DD8CBC"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28. </w:t>
      </w:r>
      <w:r w:rsidRPr="0066732E">
        <w:rPr>
          <w:noProof/>
          <w:sz w:val="18"/>
        </w:rPr>
        <w:tab/>
        <w:t xml:space="preserve">Ahmad, R.M.; AlDhaheri, N.; Mohamad, M.S.; Ali, B.R. Precision in Prediction: Tailoring Machine Learning Models for Breast Cancer Missense Variants Pathogenicity Prediction. </w:t>
      </w:r>
      <w:r w:rsidRPr="0066732E">
        <w:rPr>
          <w:i/>
          <w:iCs/>
          <w:noProof/>
          <w:sz w:val="18"/>
        </w:rPr>
        <w:t>Brief. Bioinform.</w:t>
      </w:r>
      <w:r w:rsidRPr="0066732E">
        <w:rPr>
          <w:noProof/>
          <w:sz w:val="18"/>
        </w:rPr>
        <w:t xml:space="preserve"> </w:t>
      </w:r>
      <w:r w:rsidRPr="0066732E">
        <w:rPr>
          <w:b/>
          <w:bCs/>
          <w:noProof/>
          <w:sz w:val="18"/>
        </w:rPr>
        <w:t>2025</w:t>
      </w:r>
      <w:r w:rsidRPr="0066732E">
        <w:rPr>
          <w:noProof/>
          <w:sz w:val="18"/>
        </w:rPr>
        <w:t xml:space="preserve">, </w:t>
      </w:r>
      <w:r w:rsidRPr="0066732E">
        <w:rPr>
          <w:i/>
          <w:iCs/>
          <w:noProof/>
          <w:sz w:val="18"/>
        </w:rPr>
        <w:t>26</w:t>
      </w:r>
      <w:r w:rsidRPr="0066732E">
        <w:rPr>
          <w:noProof/>
          <w:sz w:val="18"/>
        </w:rPr>
        <w:t>, bbaf611, doi:10.1093/bib/bbaf611.</w:t>
      </w:r>
    </w:p>
    <w:p w14:paraId="336CC6A3"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29. </w:t>
      </w:r>
      <w:r w:rsidRPr="0066732E">
        <w:rPr>
          <w:noProof/>
          <w:sz w:val="18"/>
        </w:rPr>
        <w:tab/>
        <w:t>Alay, M.; Erdem, H.; Bahsi, T.; Onat, A.; Saat, H. A Novel Ensemble Tool for Hereditary Cancer Genes Variant Detection HCSPred. In Proceedings of the EUROPEAN JOURNAL OF HUMAN GENETICS; SPRINGERNATURE CAMPUS, 4 CRINAN ST, LONDON, N1 9XW, ENGLAND, 2025; Vol. 33, p. 436.</w:t>
      </w:r>
    </w:p>
    <w:p w14:paraId="6F0D39D9"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30. </w:t>
      </w:r>
      <w:r w:rsidRPr="0066732E">
        <w:rPr>
          <w:noProof/>
          <w:sz w:val="18"/>
        </w:rPr>
        <w:tab/>
        <w:t xml:space="preserve">Lee, D. Bin; Kang, H.U.; Hwang, K.B. Disease- and Gene-Specific Deep Learning for Pathogenicity Prediction of Rare Missense Variants in Cancer Predisposition Genes. </w:t>
      </w:r>
      <w:r w:rsidRPr="0066732E">
        <w:rPr>
          <w:i/>
          <w:iCs/>
          <w:noProof/>
          <w:sz w:val="18"/>
        </w:rPr>
        <w:t>BioData Min.</w:t>
      </w:r>
      <w:r w:rsidRPr="0066732E">
        <w:rPr>
          <w:noProof/>
          <w:sz w:val="18"/>
        </w:rPr>
        <w:t xml:space="preserve"> </w:t>
      </w:r>
      <w:r w:rsidRPr="0066732E">
        <w:rPr>
          <w:b/>
          <w:bCs/>
          <w:noProof/>
          <w:sz w:val="18"/>
        </w:rPr>
        <w:t>2026</w:t>
      </w:r>
      <w:r w:rsidRPr="0066732E">
        <w:rPr>
          <w:noProof/>
          <w:sz w:val="18"/>
        </w:rPr>
        <w:t xml:space="preserve">, </w:t>
      </w:r>
      <w:r w:rsidRPr="0066732E">
        <w:rPr>
          <w:i/>
          <w:iCs/>
          <w:noProof/>
          <w:sz w:val="18"/>
        </w:rPr>
        <w:t>19</w:t>
      </w:r>
      <w:r w:rsidRPr="0066732E">
        <w:rPr>
          <w:noProof/>
          <w:sz w:val="18"/>
        </w:rPr>
        <w:t>, doi:10.1186/s13040-026-00533-5.</w:t>
      </w:r>
    </w:p>
    <w:p w14:paraId="6971237B"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31. </w:t>
      </w:r>
      <w:r w:rsidRPr="0066732E">
        <w:rPr>
          <w:noProof/>
          <w:sz w:val="18"/>
        </w:rPr>
        <w:tab/>
        <w:t xml:space="preserve">Katsonis, P.; Lichtarge, O. Meta-EA: A Gene-Specific Combination of Available Computational Tools for Predicting Missense Variant Effects. </w:t>
      </w:r>
      <w:r w:rsidRPr="0066732E">
        <w:rPr>
          <w:i/>
          <w:iCs/>
          <w:noProof/>
          <w:sz w:val="18"/>
        </w:rPr>
        <w:t>Nat. Commun.</w:t>
      </w:r>
      <w:r w:rsidRPr="0066732E">
        <w:rPr>
          <w:noProof/>
          <w:sz w:val="18"/>
        </w:rPr>
        <w:t xml:space="preserve"> </w:t>
      </w:r>
      <w:r w:rsidRPr="0066732E">
        <w:rPr>
          <w:b/>
          <w:bCs/>
          <w:noProof/>
          <w:sz w:val="18"/>
        </w:rPr>
        <w:t>2025</w:t>
      </w:r>
      <w:r w:rsidRPr="0066732E">
        <w:rPr>
          <w:noProof/>
          <w:sz w:val="18"/>
        </w:rPr>
        <w:t xml:space="preserve">, </w:t>
      </w:r>
      <w:r w:rsidRPr="0066732E">
        <w:rPr>
          <w:i/>
          <w:iCs/>
          <w:noProof/>
          <w:sz w:val="18"/>
        </w:rPr>
        <w:t>16</w:t>
      </w:r>
      <w:r w:rsidRPr="0066732E">
        <w:rPr>
          <w:noProof/>
          <w:sz w:val="18"/>
        </w:rPr>
        <w:t>, 159, doi:10.1038/s41467-024-55066-4.</w:t>
      </w:r>
    </w:p>
    <w:p w14:paraId="346B0405"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32. </w:t>
      </w:r>
      <w:r w:rsidRPr="0066732E">
        <w:rPr>
          <w:noProof/>
          <w:sz w:val="18"/>
        </w:rPr>
        <w:tab/>
        <w:t xml:space="preserve">Chow, R.D.; Nathanson, K.L.; Parikh, R.B. Phenotypic Evaluation of Deep Learning Models for Classifying Germline Variant Pathogenicity. </w:t>
      </w:r>
      <w:r w:rsidRPr="0066732E">
        <w:rPr>
          <w:i/>
          <w:iCs/>
          <w:noProof/>
          <w:sz w:val="18"/>
        </w:rPr>
        <w:t>npj Precis. Oncol.</w:t>
      </w:r>
      <w:r w:rsidRPr="0066732E">
        <w:rPr>
          <w:noProof/>
          <w:sz w:val="18"/>
        </w:rPr>
        <w:t xml:space="preserve"> </w:t>
      </w:r>
      <w:r w:rsidRPr="0066732E">
        <w:rPr>
          <w:b/>
          <w:bCs/>
          <w:noProof/>
          <w:sz w:val="18"/>
        </w:rPr>
        <w:t>2024</w:t>
      </w:r>
      <w:r w:rsidRPr="0066732E">
        <w:rPr>
          <w:noProof/>
          <w:sz w:val="18"/>
        </w:rPr>
        <w:t xml:space="preserve">, </w:t>
      </w:r>
      <w:r w:rsidRPr="0066732E">
        <w:rPr>
          <w:i/>
          <w:iCs/>
          <w:noProof/>
          <w:sz w:val="18"/>
        </w:rPr>
        <w:t>8</w:t>
      </w:r>
      <w:r w:rsidRPr="0066732E">
        <w:rPr>
          <w:noProof/>
          <w:sz w:val="18"/>
        </w:rPr>
        <w:t>, 235, doi:10.1038/s41698-024-00710-x.</w:t>
      </w:r>
    </w:p>
    <w:p w14:paraId="08860198"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33. </w:t>
      </w:r>
      <w:r w:rsidRPr="0066732E">
        <w:rPr>
          <w:noProof/>
          <w:sz w:val="18"/>
        </w:rPr>
        <w:tab/>
        <w:t xml:space="preserve">Alay, T.; Demir, İ.; Kirisci, M. Modified Hard Voting Classifier Implementation on MEFV Gene Variants Increases in Silico Tool Performance: A Novel Approach for Small Sample Size TT  - MEFY Gen Varyantlarında Modifiye Edilmiş Sert Oylama Sınıflandırıcısı Uygulaması, In-Silico Araç Perfor. </w:t>
      </w:r>
      <w:r w:rsidRPr="0066732E">
        <w:rPr>
          <w:i/>
          <w:iCs/>
          <w:noProof/>
          <w:sz w:val="18"/>
        </w:rPr>
        <w:t>J. Intell. Syst. Theory Appl.</w:t>
      </w:r>
      <w:r w:rsidRPr="0066732E">
        <w:rPr>
          <w:noProof/>
          <w:sz w:val="18"/>
        </w:rPr>
        <w:t xml:space="preserve"> </w:t>
      </w:r>
      <w:r w:rsidRPr="0066732E">
        <w:rPr>
          <w:b/>
          <w:bCs/>
          <w:noProof/>
          <w:sz w:val="18"/>
        </w:rPr>
        <w:t>2025</w:t>
      </w:r>
      <w:r w:rsidRPr="0066732E">
        <w:rPr>
          <w:noProof/>
          <w:sz w:val="18"/>
        </w:rPr>
        <w:t xml:space="preserve">, </w:t>
      </w:r>
      <w:r w:rsidRPr="0066732E">
        <w:rPr>
          <w:i/>
          <w:iCs/>
          <w:noProof/>
          <w:sz w:val="18"/>
        </w:rPr>
        <w:t>8</w:t>
      </w:r>
      <w:r w:rsidRPr="0066732E">
        <w:rPr>
          <w:noProof/>
          <w:sz w:val="18"/>
        </w:rPr>
        <w:t>, 35–46, doi:10.38016/jista.1501164.</w:t>
      </w:r>
    </w:p>
    <w:p w14:paraId="17F7EC87"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34. </w:t>
      </w:r>
      <w:r w:rsidRPr="0066732E">
        <w:rPr>
          <w:noProof/>
          <w:sz w:val="18"/>
        </w:rPr>
        <w:tab/>
        <w:t xml:space="preserve">Pejaver, V.; Byrne, A.B.; Feng, B.-J.; Pagel, K.A.; Mooney, S.D.; Karchin, R.; O’Donnell-Luria, A.; Harrison, S.M.; Tavtigian, S. V; Greenblatt, M.S.; et al. Calibration of Computational Tools for Missense Variant Pathogenicity  Classification and ClinGen Recommendations for PP3/BP4 Criteria. </w:t>
      </w:r>
      <w:r w:rsidRPr="0066732E">
        <w:rPr>
          <w:i/>
          <w:iCs/>
          <w:noProof/>
          <w:sz w:val="18"/>
        </w:rPr>
        <w:t>Am. J. Hum. Genet.</w:t>
      </w:r>
      <w:r w:rsidRPr="0066732E">
        <w:rPr>
          <w:noProof/>
          <w:sz w:val="18"/>
        </w:rPr>
        <w:t xml:space="preserve"> </w:t>
      </w:r>
      <w:r w:rsidRPr="0066732E">
        <w:rPr>
          <w:b/>
          <w:bCs/>
          <w:noProof/>
          <w:sz w:val="18"/>
        </w:rPr>
        <w:t>2022</w:t>
      </w:r>
      <w:r w:rsidRPr="0066732E">
        <w:rPr>
          <w:noProof/>
          <w:sz w:val="18"/>
        </w:rPr>
        <w:t xml:space="preserve">, </w:t>
      </w:r>
      <w:r w:rsidRPr="0066732E">
        <w:rPr>
          <w:i/>
          <w:iCs/>
          <w:noProof/>
          <w:sz w:val="18"/>
        </w:rPr>
        <w:t>109</w:t>
      </w:r>
      <w:r w:rsidRPr="0066732E">
        <w:rPr>
          <w:noProof/>
          <w:sz w:val="18"/>
        </w:rPr>
        <w:t>, 2163–2177, doi:10.1016/j.ajhg.2022.10.013.</w:t>
      </w:r>
    </w:p>
    <w:p w14:paraId="1D39B563" w14:textId="77777777" w:rsidR="0066732E" w:rsidRPr="0066732E" w:rsidRDefault="0066732E" w:rsidP="0066732E">
      <w:pPr>
        <w:widowControl w:val="0"/>
        <w:autoSpaceDE w:val="0"/>
        <w:autoSpaceDN w:val="0"/>
        <w:adjustRightInd w:val="0"/>
        <w:spacing w:line="240" w:lineRule="atLeast"/>
        <w:ind w:left="640" w:hanging="640"/>
        <w:rPr>
          <w:noProof/>
          <w:sz w:val="18"/>
        </w:rPr>
      </w:pPr>
      <w:r w:rsidRPr="0066732E">
        <w:rPr>
          <w:noProof/>
          <w:sz w:val="18"/>
        </w:rPr>
        <w:t xml:space="preserve">35. </w:t>
      </w:r>
      <w:r w:rsidRPr="0066732E">
        <w:rPr>
          <w:noProof/>
          <w:sz w:val="18"/>
        </w:rPr>
        <w:tab/>
        <w:t xml:space="preserve">Jaganathan, K.; Kyriazopoulou Panagiotopoulou, S.; McRae, J.F.; Darbandi, S.F.; Knowles, D.; Li, Y.I.; Kosmicki, J.A.; Arbelaez, J.; Cui, W.; Schwartz, G.B.; et al. Predicting Splicing from Primary Sequence with Deep Learning. </w:t>
      </w:r>
      <w:r w:rsidRPr="0066732E">
        <w:rPr>
          <w:i/>
          <w:iCs/>
          <w:noProof/>
          <w:sz w:val="18"/>
        </w:rPr>
        <w:t>Cell</w:t>
      </w:r>
      <w:r w:rsidRPr="0066732E">
        <w:rPr>
          <w:noProof/>
          <w:sz w:val="18"/>
        </w:rPr>
        <w:t xml:space="preserve"> </w:t>
      </w:r>
      <w:r w:rsidRPr="0066732E">
        <w:rPr>
          <w:b/>
          <w:bCs/>
          <w:noProof/>
          <w:sz w:val="18"/>
        </w:rPr>
        <w:t>2019</w:t>
      </w:r>
      <w:r w:rsidRPr="0066732E">
        <w:rPr>
          <w:noProof/>
          <w:sz w:val="18"/>
        </w:rPr>
        <w:t xml:space="preserve">, </w:t>
      </w:r>
      <w:r w:rsidRPr="0066732E">
        <w:rPr>
          <w:i/>
          <w:iCs/>
          <w:noProof/>
          <w:sz w:val="18"/>
        </w:rPr>
        <w:t>176</w:t>
      </w:r>
      <w:r w:rsidRPr="0066732E">
        <w:rPr>
          <w:noProof/>
          <w:sz w:val="18"/>
        </w:rPr>
        <w:t>, 535-548.e24, doi:https://doi.org/10.1016/j.cell.2018.12.015.</w:t>
      </w:r>
    </w:p>
    <w:p w14:paraId="49F04F3C" w14:textId="77777777" w:rsidR="00083AA0" w:rsidRPr="00CD0244" w:rsidRDefault="00083AA0" w:rsidP="00CD0244">
      <w:pPr>
        <w:tabs>
          <w:tab w:val="left" w:pos="1260"/>
        </w:tabs>
        <w:adjustRightInd w:val="0"/>
        <w:snapToGrid w:val="0"/>
        <w:ind w:left="425" w:hanging="425"/>
        <w:rPr>
          <w:lang w:eastAsia="de-DE" w:bidi="en-US"/>
        </w:rPr>
      </w:pPr>
      <w:r w:rsidRPr="00CD0244">
        <w:rPr>
          <w:sz w:val="18"/>
          <w:lang w:eastAsia="de-DE" w:bidi="en-US"/>
        </w:rPr>
        <w:fldChar w:fldCharType="end"/>
      </w:r>
    </w:p>
    <w:p w14:paraId="231C9A73" w14:textId="77777777" w:rsidR="00083AA0" w:rsidRPr="00CD0244" w:rsidRDefault="00083AA0" w:rsidP="00083AA0">
      <w:pPr>
        <w:pStyle w:val="MDPI63notes"/>
      </w:pPr>
      <w:r w:rsidRPr="00CD0244">
        <w:rPr>
          <w:b/>
        </w:rPr>
        <w:t>Disclaimer/Publisher’s Note:</w:t>
      </w:r>
      <w:r w:rsidRPr="00CD0244">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1B5DE59A" w14:textId="77777777" w:rsidR="009323F1" w:rsidRPr="00CD0244" w:rsidRDefault="009323F1" w:rsidP="00083AA0"/>
    <w:sectPr w:rsidR="009323F1" w:rsidRPr="00CD0244" w:rsidSect="000E2070">
      <w:headerReference w:type="even" r:id="rId17"/>
      <w:headerReference w:type="default" r:id="rId18"/>
      <w:footerReference w:type="default" r:id="rId19"/>
      <w:headerReference w:type="first" r:id="rId20"/>
      <w:footerReference w:type="first" r:id="rId21"/>
      <w:type w:val="continuous"/>
      <w:pgSz w:w="11906" w:h="16838" w:code="9"/>
      <w:pgMar w:top="1417" w:right="720" w:bottom="907" w:left="720" w:header="720" w:footer="612"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F6881" w14:textId="77777777" w:rsidR="008169C6" w:rsidRPr="00AF0422" w:rsidRDefault="008169C6">
      <w:pPr>
        <w:spacing w:line="240" w:lineRule="auto"/>
      </w:pPr>
      <w:r w:rsidRPr="00AF0422">
        <w:separator/>
      </w:r>
    </w:p>
  </w:endnote>
  <w:endnote w:type="continuationSeparator" w:id="0">
    <w:p w14:paraId="4C0EF98C" w14:textId="77777777" w:rsidR="008169C6" w:rsidRPr="00AF0422" w:rsidRDefault="008169C6">
      <w:pPr>
        <w:spacing w:line="240" w:lineRule="auto"/>
      </w:pPr>
      <w:r w:rsidRPr="00AF04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18FB" w14:textId="77777777" w:rsidR="007D0675" w:rsidRPr="00425155" w:rsidRDefault="007D0675" w:rsidP="00E97D90">
    <w:pPr>
      <w:pStyle w:val="Footer"/>
      <w:spacing w:line="240" w:lineRule="auto"/>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C66A" w14:textId="77777777" w:rsidR="008D336B" w:rsidRPr="00AF0422" w:rsidRDefault="008D336B" w:rsidP="00B96AFE">
    <w:pPr>
      <w:pBdr>
        <w:top w:val="single" w:sz="4" w:space="0" w:color="000000"/>
      </w:pBdr>
      <w:adjustRightInd w:val="0"/>
      <w:snapToGrid w:val="0"/>
      <w:spacing w:before="480" w:line="100" w:lineRule="exact"/>
      <w:rPr>
        <w:i/>
        <w:iCs/>
        <w:sz w:val="16"/>
        <w:szCs w:val="16"/>
      </w:rPr>
    </w:pPr>
  </w:p>
  <w:p w14:paraId="27419392" w14:textId="77777777" w:rsidR="009C03A4" w:rsidRPr="000038F4" w:rsidRDefault="009C03A4" w:rsidP="009C03A4">
    <w:pPr>
      <w:pStyle w:val="MDPIfooterfirstpage"/>
      <w:tabs>
        <w:tab w:val="clear" w:pos="8845"/>
        <w:tab w:val="right" w:pos="10466"/>
      </w:tabs>
      <w:spacing w:line="240" w:lineRule="auto"/>
      <w:jc w:val="both"/>
    </w:pPr>
    <w:r w:rsidRPr="000038F4">
      <w:rPr>
        <w:i/>
        <w:iCs/>
      </w:rPr>
      <w:t>Int. J. Mol. Sci.</w:t>
    </w:r>
    <w:r w:rsidRPr="000038F4">
      <w:rPr>
        <w:i/>
      </w:rPr>
      <w:t xml:space="preserve"> </w:t>
    </w:r>
    <w:r w:rsidRPr="000038F4">
      <w:rPr>
        <w:b/>
        <w:iCs/>
      </w:rPr>
      <w:t>202</w:t>
    </w:r>
    <w:r>
      <w:rPr>
        <w:b/>
        <w:iCs/>
      </w:rPr>
      <w:t>6</w:t>
    </w:r>
    <w:r w:rsidRPr="000038F4">
      <w:rPr>
        <w:iCs/>
      </w:rPr>
      <w:t>,</w:t>
    </w:r>
    <w:r w:rsidRPr="000038F4">
      <w:rPr>
        <w:i/>
        <w:iCs/>
      </w:rPr>
      <w:t xml:space="preserve"> 24</w:t>
    </w:r>
    <w:r w:rsidRPr="000038F4">
      <w:rPr>
        <w:iCs/>
      </w:rPr>
      <w:t>, x. https://doi.org/10.3390/xxxxx</w:t>
    </w:r>
    <w:r w:rsidRPr="000038F4">
      <w:tab/>
      <w:t>www.mdpi.com/journal/ijms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33A0" w14:textId="77777777" w:rsidR="008169C6" w:rsidRPr="00AF0422" w:rsidRDefault="008169C6">
      <w:pPr>
        <w:spacing w:line="240" w:lineRule="auto"/>
      </w:pPr>
      <w:r w:rsidRPr="00AF0422">
        <w:separator/>
      </w:r>
    </w:p>
  </w:footnote>
  <w:footnote w:type="continuationSeparator" w:id="0">
    <w:p w14:paraId="4A663BA6" w14:textId="77777777" w:rsidR="008169C6" w:rsidRPr="00AF0422" w:rsidRDefault="008169C6">
      <w:pPr>
        <w:spacing w:line="240" w:lineRule="auto"/>
      </w:pPr>
      <w:r w:rsidRPr="00AF04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F8EF" w14:textId="77777777" w:rsidR="007D0675" w:rsidRPr="00AF0422" w:rsidRDefault="007D0675" w:rsidP="007D067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5A96" w14:textId="77777777" w:rsidR="008D336B" w:rsidRPr="00AF0422" w:rsidRDefault="007D0675" w:rsidP="00B94E07">
    <w:pPr>
      <w:tabs>
        <w:tab w:val="right" w:pos="10466"/>
      </w:tabs>
      <w:adjustRightInd w:val="0"/>
      <w:snapToGrid w:val="0"/>
      <w:spacing w:line="240" w:lineRule="auto"/>
      <w:rPr>
        <w:sz w:val="16"/>
      </w:rPr>
    </w:pPr>
    <w:r w:rsidRPr="00AF0422">
      <w:rPr>
        <w:i/>
        <w:sz w:val="16"/>
      </w:rPr>
      <w:t xml:space="preserve">Molecules </w:t>
    </w:r>
    <w:r w:rsidR="00CD5F34" w:rsidRPr="00AF0422">
      <w:rPr>
        <w:b/>
        <w:sz w:val="16"/>
      </w:rPr>
      <w:t>2025</w:t>
    </w:r>
    <w:r w:rsidR="00103C88" w:rsidRPr="00AF0422">
      <w:rPr>
        <w:sz w:val="16"/>
      </w:rPr>
      <w:t>,</w:t>
    </w:r>
    <w:r w:rsidR="00CD5F34" w:rsidRPr="00AF0422">
      <w:rPr>
        <w:i/>
        <w:sz w:val="16"/>
      </w:rPr>
      <w:t xml:space="preserve"> 30</w:t>
    </w:r>
    <w:r w:rsidR="00131CEC" w:rsidRPr="00AF0422">
      <w:rPr>
        <w:sz w:val="16"/>
      </w:rPr>
      <w:t xml:space="preserve">, x </w:t>
    </w:r>
    <w:r w:rsidR="00CD5F34" w:rsidRPr="00AF0422">
      <w:rPr>
        <w:sz w:val="16"/>
      </w:rPr>
      <w:t>FOR PEER REVIEW</w:t>
    </w:r>
    <w:r w:rsidR="007356FF" w:rsidRPr="00AF0422">
      <w:rPr>
        <w:sz w:val="16"/>
      </w:rPr>
      <w:tab/>
    </w:r>
    <w:r w:rsidR="00CD5F34" w:rsidRPr="00AF0422">
      <w:rPr>
        <w:sz w:val="16"/>
      </w:rPr>
      <w:fldChar w:fldCharType="begin"/>
    </w:r>
    <w:r w:rsidR="00CD5F34" w:rsidRPr="00AF0422">
      <w:rPr>
        <w:sz w:val="16"/>
      </w:rPr>
      <w:instrText xml:space="preserve"> PAGE   \* MERGEFORMAT </w:instrText>
    </w:r>
    <w:r w:rsidR="00CD5F34" w:rsidRPr="00AF0422">
      <w:rPr>
        <w:sz w:val="16"/>
      </w:rPr>
      <w:fldChar w:fldCharType="separate"/>
    </w:r>
    <w:r w:rsidR="00CD5F34" w:rsidRPr="00AF0422">
      <w:rPr>
        <w:sz w:val="16"/>
      </w:rPr>
      <w:t>2</w:t>
    </w:r>
    <w:r w:rsidR="00CD5F34" w:rsidRPr="00AF0422">
      <w:rPr>
        <w:sz w:val="16"/>
      </w:rPr>
      <w:fldChar w:fldCharType="end"/>
    </w:r>
    <w:r w:rsidR="00CD5F34" w:rsidRPr="00AF0422">
      <w:rPr>
        <w:sz w:val="16"/>
      </w:rPr>
      <w:t xml:space="preserve"> of </w:t>
    </w:r>
    <w:r w:rsidR="00CD5F34" w:rsidRPr="00AF0422">
      <w:rPr>
        <w:sz w:val="16"/>
      </w:rPr>
      <w:fldChar w:fldCharType="begin"/>
    </w:r>
    <w:r w:rsidR="00CD5F34" w:rsidRPr="00AF0422">
      <w:rPr>
        <w:sz w:val="16"/>
      </w:rPr>
      <w:instrText xml:space="preserve"> NUMPAGES   \* MERGEFORMAT </w:instrText>
    </w:r>
    <w:r w:rsidR="00CD5F34" w:rsidRPr="00AF0422">
      <w:rPr>
        <w:sz w:val="16"/>
      </w:rPr>
      <w:fldChar w:fldCharType="separate"/>
    </w:r>
    <w:r w:rsidR="00CD5F34" w:rsidRPr="00AF0422">
      <w:rPr>
        <w:sz w:val="16"/>
      </w:rPr>
      <w:t>7</w:t>
    </w:r>
    <w:r w:rsidR="00CD5F34" w:rsidRPr="00AF0422">
      <w:rPr>
        <w:sz w:val="16"/>
      </w:rPr>
      <w:fldChar w:fldCharType="end"/>
    </w:r>
  </w:p>
  <w:p w14:paraId="0C37E54B" w14:textId="77777777" w:rsidR="007D0675" w:rsidRPr="00AF0422" w:rsidRDefault="007D0675" w:rsidP="00B96AF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E11A7" w:rsidRPr="004340C2" w14:paraId="55E34034" w14:textId="77777777" w:rsidTr="00F81B62">
      <w:trPr>
        <w:trHeight w:val="686"/>
      </w:trPr>
      <w:tc>
        <w:tcPr>
          <w:tcW w:w="3679" w:type="dxa"/>
          <w:vAlign w:val="center"/>
        </w:tcPr>
        <w:p w14:paraId="60EB528E" w14:textId="77777777" w:rsidR="00FE11A7" w:rsidRPr="00762525" w:rsidRDefault="00083AA0" w:rsidP="00FE11A7">
          <w:pPr>
            <w:pStyle w:val="Header"/>
            <w:pBdr>
              <w:bottom w:val="none" w:sz="0" w:space="0" w:color="auto"/>
            </w:pBdr>
            <w:jc w:val="left"/>
            <w:rPr>
              <w:rFonts w:eastAsia="DengXian"/>
              <w:b/>
              <w:bCs/>
            </w:rPr>
          </w:pPr>
          <w:r w:rsidRPr="00243346">
            <w:rPr>
              <w:rFonts w:eastAsia="DengXian"/>
              <w:b/>
              <w:bCs/>
              <w:noProof/>
            </w:rPr>
            <w:drawing>
              <wp:inline distT="0" distB="0" distL="0" distR="0" wp14:anchorId="563EF10B" wp14:editId="47B215D4">
                <wp:extent cx="1670050" cy="438785"/>
                <wp:effectExtent l="0" t="0" r="0" b="0"/>
                <wp:docPr id="5" name="Picture 3" descr="C:\Users\home\Desktop\logos\ijm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ijms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050" cy="438785"/>
                        </a:xfrm>
                        <a:prstGeom prst="rect">
                          <a:avLst/>
                        </a:prstGeom>
                        <a:noFill/>
                        <a:ln>
                          <a:noFill/>
                        </a:ln>
                      </pic:spPr>
                    </pic:pic>
                  </a:graphicData>
                </a:graphic>
              </wp:inline>
            </w:drawing>
          </w:r>
        </w:p>
      </w:tc>
      <w:tc>
        <w:tcPr>
          <w:tcW w:w="4535" w:type="dxa"/>
          <w:vAlign w:val="center"/>
        </w:tcPr>
        <w:p w14:paraId="3ECAEA3A" w14:textId="77777777" w:rsidR="00FE11A7" w:rsidRPr="00762525" w:rsidRDefault="00FE11A7" w:rsidP="00FE11A7">
          <w:pPr>
            <w:pStyle w:val="Header"/>
            <w:pBdr>
              <w:bottom w:val="none" w:sz="0" w:space="0" w:color="auto"/>
            </w:pBdr>
            <w:rPr>
              <w:rFonts w:eastAsia="DengXian"/>
              <w:b/>
              <w:bCs/>
            </w:rPr>
          </w:pPr>
        </w:p>
      </w:tc>
      <w:tc>
        <w:tcPr>
          <w:tcW w:w="2273" w:type="dxa"/>
          <w:vAlign w:val="center"/>
        </w:tcPr>
        <w:p w14:paraId="09888858" w14:textId="77777777" w:rsidR="00FE11A7" w:rsidRPr="00762525" w:rsidRDefault="00083AA0" w:rsidP="00FE11A7">
          <w:pPr>
            <w:pStyle w:val="Header"/>
            <w:pBdr>
              <w:bottom w:val="none" w:sz="0" w:space="0" w:color="auto"/>
            </w:pBdr>
            <w:jc w:val="right"/>
            <w:rPr>
              <w:rFonts w:eastAsia="DengXian"/>
              <w:b/>
              <w:bCs/>
            </w:rPr>
          </w:pPr>
          <w:r w:rsidRPr="00243346">
            <w:rPr>
              <w:rFonts w:eastAsia="DengXian"/>
              <w:b/>
              <w:bCs/>
              <w:noProof/>
            </w:rPr>
            <w:drawing>
              <wp:inline distT="0" distB="0" distL="0" distR="0" wp14:anchorId="15FC2FE6" wp14:editId="06C641C8">
                <wp:extent cx="541020" cy="35433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354330"/>
                        </a:xfrm>
                        <a:prstGeom prst="rect">
                          <a:avLst/>
                        </a:prstGeom>
                        <a:noFill/>
                        <a:ln>
                          <a:noFill/>
                        </a:ln>
                      </pic:spPr>
                    </pic:pic>
                  </a:graphicData>
                </a:graphic>
              </wp:inline>
            </w:drawing>
          </w:r>
        </w:p>
      </w:tc>
    </w:tr>
  </w:tbl>
  <w:p w14:paraId="0A22F97D" w14:textId="77777777" w:rsidR="007D0675" w:rsidRPr="00AF0422" w:rsidRDefault="007D0675" w:rsidP="00CD5F3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105"/>
    <w:multiLevelType w:val="hybridMultilevel"/>
    <w:tmpl w:val="F1829312"/>
    <w:lvl w:ilvl="0" w:tplc="F418E5F6">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8A74F628"/>
    <w:lvl w:ilvl="0" w:tplc="E8FA7396">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AF863CEA"/>
    <w:lvl w:ilvl="0" w:tplc="8D5C8AC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3A66122"/>
    <w:multiLevelType w:val="hybridMultilevel"/>
    <w:tmpl w:val="FD986F3E"/>
    <w:lvl w:ilvl="0" w:tplc="FDA65CD0">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2172AF"/>
    <w:multiLevelType w:val="hybridMultilevel"/>
    <w:tmpl w:val="17BCEA46"/>
    <w:lvl w:ilvl="0" w:tplc="AB2649D0">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FCCA6306"/>
    <w:lvl w:ilvl="0" w:tplc="4A34242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B777DBA"/>
    <w:multiLevelType w:val="hybridMultilevel"/>
    <w:tmpl w:val="687AA282"/>
    <w:lvl w:ilvl="0" w:tplc="19EE4730">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310346">
    <w:abstractNumId w:val="5"/>
  </w:num>
  <w:num w:numId="2" w16cid:durableId="1036851564">
    <w:abstractNumId w:val="7"/>
  </w:num>
  <w:num w:numId="3" w16cid:durableId="1882478259">
    <w:abstractNumId w:val="4"/>
  </w:num>
  <w:num w:numId="4" w16cid:durableId="12469604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7211765">
    <w:abstractNumId w:val="6"/>
  </w:num>
  <w:num w:numId="6" w16cid:durableId="656501134">
    <w:abstractNumId w:val="10"/>
  </w:num>
  <w:num w:numId="7" w16cid:durableId="810680964">
    <w:abstractNumId w:val="2"/>
  </w:num>
  <w:num w:numId="8" w16cid:durableId="851257561">
    <w:abstractNumId w:val="10"/>
  </w:num>
  <w:num w:numId="9" w16cid:durableId="929043293">
    <w:abstractNumId w:val="2"/>
  </w:num>
  <w:num w:numId="10" w16cid:durableId="84769301">
    <w:abstractNumId w:val="10"/>
  </w:num>
  <w:num w:numId="11" w16cid:durableId="1174536383">
    <w:abstractNumId w:val="2"/>
  </w:num>
  <w:num w:numId="12" w16cid:durableId="1608612702">
    <w:abstractNumId w:val="12"/>
  </w:num>
  <w:num w:numId="13" w16cid:durableId="677585569">
    <w:abstractNumId w:val="10"/>
  </w:num>
  <w:num w:numId="14" w16cid:durableId="745810739">
    <w:abstractNumId w:val="2"/>
  </w:num>
  <w:num w:numId="15" w16cid:durableId="1146369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8445925">
    <w:abstractNumId w:val="2"/>
  </w:num>
  <w:num w:numId="17" w16cid:durableId="10829903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5326464">
    <w:abstractNumId w:val="1"/>
  </w:num>
  <w:num w:numId="19" w16cid:durableId="2018116103">
    <w:abstractNumId w:val="9"/>
  </w:num>
  <w:num w:numId="20" w16cid:durableId="2115706431">
    <w:abstractNumId w:val="1"/>
  </w:num>
  <w:num w:numId="21" w16cid:durableId="472674075">
    <w:abstractNumId w:val="10"/>
  </w:num>
  <w:num w:numId="22" w16cid:durableId="816190154">
    <w:abstractNumId w:val="2"/>
  </w:num>
  <w:num w:numId="23" w16cid:durableId="139273190">
    <w:abstractNumId w:val="1"/>
  </w:num>
  <w:num w:numId="24" w16cid:durableId="1555657484">
    <w:abstractNumId w:val="3"/>
  </w:num>
  <w:num w:numId="25" w16cid:durableId="1378165967">
    <w:abstractNumId w:val="11"/>
  </w:num>
  <w:num w:numId="26" w16cid:durableId="1667368007">
    <w:abstractNumId w:val="8"/>
  </w:num>
  <w:num w:numId="27" w16cid:durableId="2025158483">
    <w:abstractNumId w:val="10"/>
  </w:num>
  <w:num w:numId="28" w16cid:durableId="1841040301">
    <w:abstractNumId w:val="2"/>
  </w:num>
  <w:num w:numId="29" w16cid:durableId="817919687">
    <w:abstractNumId w:val="0"/>
  </w:num>
  <w:num w:numId="30" w16cid:durableId="1965697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A0"/>
    <w:rsid w:val="000012F2"/>
    <w:rsid w:val="00005D6C"/>
    <w:rsid w:val="00015763"/>
    <w:rsid w:val="000210EA"/>
    <w:rsid w:val="00025E1B"/>
    <w:rsid w:val="000368A4"/>
    <w:rsid w:val="00036FB7"/>
    <w:rsid w:val="00044891"/>
    <w:rsid w:val="00045371"/>
    <w:rsid w:val="00051B8A"/>
    <w:rsid w:val="0005337B"/>
    <w:rsid w:val="00063B19"/>
    <w:rsid w:val="00066319"/>
    <w:rsid w:val="000765AD"/>
    <w:rsid w:val="00080C1D"/>
    <w:rsid w:val="000828A4"/>
    <w:rsid w:val="00083AA0"/>
    <w:rsid w:val="00092FE4"/>
    <w:rsid w:val="00097E91"/>
    <w:rsid w:val="000A1902"/>
    <w:rsid w:val="000A531A"/>
    <w:rsid w:val="000B658D"/>
    <w:rsid w:val="000C100E"/>
    <w:rsid w:val="000C436E"/>
    <w:rsid w:val="000C73A7"/>
    <w:rsid w:val="000D5A2B"/>
    <w:rsid w:val="000D65C6"/>
    <w:rsid w:val="000E2070"/>
    <w:rsid w:val="000E406D"/>
    <w:rsid w:val="000E79A3"/>
    <w:rsid w:val="000F138E"/>
    <w:rsid w:val="000F1758"/>
    <w:rsid w:val="000F4847"/>
    <w:rsid w:val="000F5B73"/>
    <w:rsid w:val="000F7453"/>
    <w:rsid w:val="00103C88"/>
    <w:rsid w:val="00112CE1"/>
    <w:rsid w:val="001170DC"/>
    <w:rsid w:val="00123936"/>
    <w:rsid w:val="00131358"/>
    <w:rsid w:val="00131CEC"/>
    <w:rsid w:val="00137AB8"/>
    <w:rsid w:val="00141821"/>
    <w:rsid w:val="00142540"/>
    <w:rsid w:val="001509AC"/>
    <w:rsid w:val="00151CDC"/>
    <w:rsid w:val="00151DBA"/>
    <w:rsid w:val="001533FE"/>
    <w:rsid w:val="0016553B"/>
    <w:rsid w:val="00166C5F"/>
    <w:rsid w:val="00177DD2"/>
    <w:rsid w:val="001A1B31"/>
    <w:rsid w:val="001A4F1B"/>
    <w:rsid w:val="001B4C93"/>
    <w:rsid w:val="001B5854"/>
    <w:rsid w:val="001B6875"/>
    <w:rsid w:val="001C470E"/>
    <w:rsid w:val="001C5FB1"/>
    <w:rsid w:val="001D07BE"/>
    <w:rsid w:val="001E2AEB"/>
    <w:rsid w:val="001E4047"/>
    <w:rsid w:val="001F62C1"/>
    <w:rsid w:val="00202D34"/>
    <w:rsid w:val="002136A6"/>
    <w:rsid w:val="00213838"/>
    <w:rsid w:val="00214A16"/>
    <w:rsid w:val="00226A72"/>
    <w:rsid w:val="00231EF3"/>
    <w:rsid w:val="00232EDB"/>
    <w:rsid w:val="00235727"/>
    <w:rsid w:val="00236957"/>
    <w:rsid w:val="00237992"/>
    <w:rsid w:val="00241E44"/>
    <w:rsid w:val="00243346"/>
    <w:rsid w:val="00244422"/>
    <w:rsid w:val="00260559"/>
    <w:rsid w:val="00287D71"/>
    <w:rsid w:val="00295161"/>
    <w:rsid w:val="002954D9"/>
    <w:rsid w:val="002A2B46"/>
    <w:rsid w:val="002A5F96"/>
    <w:rsid w:val="002B62FB"/>
    <w:rsid w:val="002C0E4C"/>
    <w:rsid w:val="002D1055"/>
    <w:rsid w:val="002D1B58"/>
    <w:rsid w:val="002D6280"/>
    <w:rsid w:val="002E012B"/>
    <w:rsid w:val="002E031A"/>
    <w:rsid w:val="002E2ABA"/>
    <w:rsid w:val="002E64FB"/>
    <w:rsid w:val="002F126F"/>
    <w:rsid w:val="00302133"/>
    <w:rsid w:val="0030449F"/>
    <w:rsid w:val="00310344"/>
    <w:rsid w:val="00313AAB"/>
    <w:rsid w:val="00315288"/>
    <w:rsid w:val="00326141"/>
    <w:rsid w:val="0033188F"/>
    <w:rsid w:val="00337C15"/>
    <w:rsid w:val="00340EED"/>
    <w:rsid w:val="00342799"/>
    <w:rsid w:val="003527DB"/>
    <w:rsid w:val="00361B93"/>
    <w:rsid w:val="00364200"/>
    <w:rsid w:val="003645F9"/>
    <w:rsid w:val="00372528"/>
    <w:rsid w:val="0037253D"/>
    <w:rsid w:val="003917CA"/>
    <w:rsid w:val="003A456B"/>
    <w:rsid w:val="003B0AB4"/>
    <w:rsid w:val="003B2F13"/>
    <w:rsid w:val="003B5D21"/>
    <w:rsid w:val="003C1171"/>
    <w:rsid w:val="003C1F71"/>
    <w:rsid w:val="003D2B79"/>
    <w:rsid w:val="003D6198"/>
    <w:rsid w:val="003D7AC4"/>
    <w:rsid w:val="003F52B8"/>
    <w:rsid w:val="00401D30"/>
    <w:rsid w:val="00402771"/>
    <w:rsid w:val="00402B40"/>
    <w:rsid w:val="004142BD"/>
    <w:rsid w:val="00420FE7"/>
    <w:rsid w:val="0042173B"/>
    <w:rsid w:val="00423E88"/>
    <w:rsid w:val="00425155"/>
    <w:rsid w:val="0042622F"/>
    <w:rsid w:val="00437414"/>
    <w:rsid w:val="0044185F"/>
    <w:rsid w:val="00451910"/>
    <w:rsid w:val="004520D2"/>
    <w:rsid w:val="00454A4A"/>
    <w:rsid w:val="00464526"/>
    <w:rsid w:val="00467560"/>
    <w:rsid w:val="00483DFA"/>
    <w:rsid w:val="00487414"/>
    <w:rsid w:val="00491EEF"/>
    <w:rsid w:val="004A5983"/>
    <w:rsid w:val="004B2BD7"/>
    <w:rsid w:val="004B5649"/>
    <w:rsid w:val="004B5C98"/>
    <w:rsid w:val="004B63E6"/>
    <w:rsid w:val="004C32BF"/>
    <w:rsid w:val="004D349E"/>
    <w:rsid w:val="004D4D9F"/>
    <w:rsid w:val="004D5213"/>
    <w:rsid w:val="004E2807"/>
    <w:rsid w:val="004E7DF2"/>
    <w:rsid w:val="004F257D"/>
    <w:rsid w:val="004F264C"/>
    <w:rsid w:val="004F362F"/>
    <w:rsid w:val="004F635A"/>
    <w:rsid w:val="0051616A"/>
    <w:rsid w:val="00520649"/>
    <w:rsid w:val="005264BC"/>
    <w:rsid w:val="005316EB"/>
    <w:rsid w:val="0053461A"/>
    <w:rsid w:val="00544170"/>
    <w:rsid w:val="00544265"/>
    <w:rsid w:val="00545B32"/>
    <w:rsid w:val="00550473"/>
    <w:rsid w:val="005632C4"/>
    <w:rsid w:val="00570824"/>
    <w:rsid w:val="00570F00"/>
    <w:rsid w:val="00576344"/>
    <w:rsid w:val="00584C50"/>
    <w:rsid w:val="00586653"/>
    <w:rsid w:val="005915C7"/>
    <w:rsid w:val="005B22A9"/>
    <w:rsid w:val="005B4197"/>
    <w:rsid w:val="005C1668"/>
    <w:rsid w:val="005C23FA"/>
    <w:rsid w:val="005C27D8"/>
    <w:rsid w:val="005E77D6"/>
    <w:rsid w:val="005F3FA6"/>
    <w:rsid w:val="005F7010"/>
    <w:rsid w:val="005F766B"/>
    <w:rsid w:val="00604611"/>
    <w:rsid w:val="006055B2"/>
    <w:rsid w:val="00605BAA"/>
    <w:rsid w:val="0061526F"/>
    <w:rsid w:val="00617065"/>
    <w:rsid w:val="0061774F"/>
    <w:rsid w:val="00617C95"/>
    <w:rsid w:val="00624B59"/>
    <w:rsid w:val="00635422"/>
    <w:rsid w:val="00640A9C"/>
    <w:rsid w:val="00647A3E"/>
    <w:rsid w:val="00663E30"/>
    <w:rsid w:val="00666642"/>
    <w:rsid w:val="0066732E"/>
    <w:rsid w:val="00685407"/>
    <w:rsid w:val="006915A4"/>
    <w:rsid w:val="00691D01"/>
    <w:rsid w:val="00692393"/>
    <w:rsid w:val="006979DB"/>
    <w:rsid w:val="006B0B50"/>
    <w:rsid w:val="006B13E4"/>
    <w:rsid w:val="006B3B82"/>
    <w:rsid w:val="006C2378"/>
    <w:rsid w:val="006D1B2E"/>
    <w:rsid w:val="006D1BD0"/>
    <w:rsid w:val="006D6EC6"/>
    <w:rsid w:val="006D7A97"/>
    <w:rsid w:val="006E0BCC"/>
    <w:rsid w:val="006E162C"/>
    <w:rsid w:val="006F6D13"/>
    <w:rsid w:val="006F7F4B"/>
    <w:rsid w:val="007129DB"/>
    <w:rsid w:val="0071438D"/>
    <w:rsid w:val="0071491B"/>
    <w:rsid w:val="00720A0F"/>
    <w:rsid w:val="00723436"/>
    <w:rsid w:val="007356FF"/>
    <w:rsid w:val="007409C2"/>
    <w:rsid w:val="00744AED"/>
    <w:rsid w:val="007476A3"/>
    <w:rsid w:val="007504DF"/>
    <w:rsid w:val="00752591"/>
    <w:rsid w:val="00755021"/>
    <w:rsid w:val="00772A71"/>
    <w:rsid w:val="007745C2"/>
    <w:rsid w:val="0077486D"/>
    <w:rsid w:val="007807AC"/>
    <w:rsid w:val="0078191D"/>
    <w:rsid w:val="007831CA"/>
    <w:rsid w:val="0079768D"/>
    <w:rsid w:val="007A7E02"/>
    <w:rsid w:val="007B084C"/>
    <w:rsid w:val="007B61BB"/>
    <w:rsid w:val="007C0A63"/>
    <w:rsid w:val="007C67E8"/>
    <w:rsid w:val="007D0675"/>
    <w:rsid w:val="007E082D"/>
    <w:rsid w:val="007F04E3"/>
    <w:rsid w:val="007F0B7A"/>
    <w:rsid w:val="00802A29"/>
    <w:rsid w:val="008151BF"/>
    <w:rsid w:val="00815523"/>
    <w:rsid w:val="008169C6"/>
    <w:rsid w:val="00817180"/>
    <w:rsid w:val="008267AD"/>
    <w:rsid w:val="00831D9C"/>
    <w:rsid w:val="00837DBE"/>
    <w:rsid w:val="00845164"/>
    <w:rsid w:val="00850437"/>
    <w:rsid w:val="00852555"/>
    <w:rsid w:val="00865AC6"/>
    <w:rsid w:val="00866CC9"/>
    <w:rsid w:val="00881961"/>
    <w:rsid w:val="00881A6D"/>
    <w:rsid w:val="008827EC"/>
    <w:rsid w:val="00883C53"/>
    <w:rsid w:val="008903A2"/>
    <w:rsid w:val="008966F2"/>
    <w:rsid w:val="008A5188"/>
    <w:rsid w:val="008B4373"/>
    <w:rsid w:val="008B63B7"/>
    <w:rsid w:val="008C00A3"/>
    <w:rsid w:val="008C4F1D"/>
    <w:rsid w:val="008D336B"/>
    <w:rsid w:val="008D6363"/>
    <w:rsid w:val="008E06E3"/>
    <w:rsid w:val="008E1A94"/>
    <w:rsid w:val="008E34FF"/>
    <w:rsid w:val="008F6039"/>
    <w:rsid w:val="009115BC"/>
    <w:rsid w:val="00920985"/>
    <w:rsid w:val="009220C8"/>
    <w:rsid w:val="00923B14"/>
    <w:rsid w:val="009323F1"/>
    <w:rsid w:val="00933998"/>
    <w:rsid w:val="00954B7C"/>
    <w:rsid w:val="00982C63"/>
    <w:rsid w:val="00986B25"/>
    <w:rsid w:val="009926FC"/>
    <w:rsid w:val="009C03A4"/>
    <w:rsid w:val="009C2BBE"/>
    <w:rsid w:val="009D0922"/>
    <w:rsid w:val="009D12D8"/>
    <w:rsid w:val="009D175B"/>
    <w:rsid w:val="009D3550"/>
    <w:rsid w:val="009E084B"/>
    <w:rsid w:val="009E10F3"/>
    <w:rsid w:val="009F6ADD"/>
    <w:rsid w:val="009F70E6"/>
    <w:rsid w:val="00A101E1"/>
    <w:rsid w:val="00A10E28"/>
    <w:rsid w:val="00A273D6"/>
    <w:rsid w:val="00A3125E"/>
    <w:rsid w:val="00A33384"/>
    <w:rsid w:val="00A33497"/>
    <w:rsid w:val="00A34F9D"/>
    <w:rsid w:val="00A376D5"/>
    <w:rsid w:val="00A57CD3"/>
    <w:rsid w:val="00A60721"/>
    <w:rsid w:val="00A613D5"/>
    <w:rsid w:val="00A71348"/>
    <w:rsid w:val="00A7390A"/>
    <w:rsid w:val="00A854F6"/>
    <w:rsid w:val="00A92055"/>
    <w:rsid w:val="00AA0C73"/>
    <w:rsid w:val="00AA38BE"/>
    <w:rsid w:val="00AB17DB"/>
    <w:rsid w:val="00AC53F4"/>
    <w:rsid w:val="00AE5FDC"/>
    <w:rsid w:val="00AF0422"/>
    <w:rsid w:val="00AF2EA0"/>
    <w:rsid w:val="00AF4DAD"/>
    <w:rsid w:val="00B056EB"/>
    <w:rsid w:val="00B21D88"/>
    <w:rsid w:val="00B325D7"/>
    <w:rsid w:val="00B371D0"/>
    <w:rsid w:val="00B43A65"/>
    <w:rsid w:val="00B51ACA"/>
    <w:rsid w:val="00B52665"/>
    <w:rsid w:val="00B53D3C"/>
    <w:rsid w:val="00B610E1"/>
    <w:rsid w:val="00B62415"/>
    <w:rsid w:val="00B72491"/>
    <w:rsid w:val="00B771B3"/>
    <w:rsid w:val="00B94E07"/>
    <w:rsid w:val="00B96AFE"/>
    <w:rsid w:val="00BA5FBA"/>
    <w:rsid w:val="00BA7E5C"/>
    <w:rsid w:val="00BB34E8"/>
    <w:rsid w:val="00BB626A"/>
    <w:rsid w:val="00BD2410"/>
    <w:rsid w:val="00BE6385"/>
    <w:rsid w:val="00BE6B2C"/>
    <w:rsid w:val="00BE6EF3"/>
    <w:rsid w:val="00BF2B96"/>
    <w:rsid w:val="00BF56CA"/>
    <w:rsid w:val="00C0018E"/>
    <w:rsid w:val="00C35943"/>
    <w:rsid w:val="00C433E4"/>
    <w:rsid w:val="00C53DE6"/>
    <w:rsid w:val="00C8158E"/>
    <w:rsid w:val="00C86473"/>
    <w:rsid w:val="00C87637"/>
    <w:rsid w:val="00C95C8A"/>
    <w:rsid w:val="00CB6B09"/>
    <w:rsid w:val="00CD0244"/>
    <w:rsid w:val="00CD2724"/>
    <w:rsid w:val="00CD4674"/>
    <w:rsid w:val="00CD5793"/>
    <w:rsid w:val="00CD5F34"/>
    <w:rsid w:val="00CE74F6"/>
    <w:rsid w:val="00CF08B6"/>
    <w:rsid w:val="00CF0AF6"/>
    <w:rsid w:val="00CF2C8E"/>
    <w:rsid w:val="00CF5BBD"/>
    <w:rsid w:val="00CF6D83"/>
    <w:rsid w:val="00D05A90"/>
    <w:rsid w:val="00D10D46"/>
    <w:rsid w:val="00D13D26"/>
    <w:rsid w:val="00D21971"/>
    <w:rsid w:val="00D23071"/>
    <w:rsid w:val="00D23271"/>
    <w:rsid w:val="00D236E4"/>
    <w:rsid w:val="00D24077"/>
    <w:rsid w:val="00D2505A"/>
    <w:rsid w:val="00D25A36"/>
    <w:rsid w:val="00D25BD1"/>
    <w:rsid w:val="00D30D71"/>
    <w:rsid w:val="00D459CC"/>
    <w:rsid w:val="00D50EC4"/>
    <w:rsid w:val="00D54B8F"/>
    <w:rsid w:val="00D55618"/>
    <w:rsid w:val="00D6434F"/>
    <w:rsid w:val="00D7517C"/>
    <w:rsid w:val="00D835B9"/>
    <w:rsid w:val="00D83D06"/>
    <w:rsid w:val="00D93C75"/>
    <w:rsid w:val="00DA4505"/>
    <w:rsid w:val="00DC68F9"/>
    <w:rsid w:val="00DD0DB0"/>
    <w:rsid w:val="00DD3D51"/>
    <w:rsid w:val="00DE40BC"/>
    <w:rsid w:val="00DE4B9D"/>
    <w:rsid w:val="00DF5057"/>
    <w:rsid w:val="00DF6F6D"/>
    <w:rsid w:val="00E11CAA"/>
    <w:rsid w:val="00E223EC"/>
    <w:rsid w:val="00E302D1"/>
    <w:rsid w:val="00E55545"/>
    <w:rsid w:val="00E61D1A"/>
    <w:rsid w:val="00E66B10"/>
    <w:rsid w:val="00E74E9F"/>
    <w:rsid w:val="00E80E1F"/>
    <w:rsid w:val="00E817B4"/>
    <w:rsid w:val="00E83CCC"/>
    <w:rsid w:val="00E9271D"/>
    <w:rsid w:val="00E960CB"/>
    <w:rsid w:val="00E97D90"/>
    <w:rsid w:val="00EC1E94"/>
    <w:rsid w:val="00EC41F7"/>
    <w:rsid w:val="00EC5EEE"/>
    <w:rsid w:val="00ED4238"/>
    <w:rsid w:val="00ED5DB0"/>
    <w:rsid w:val="00EF03D6"/>
    <w:rsid w:val="00EF5005"/>
    <w:rsid w:val="00F020B5"/>
    <w:rsid w:val="00F02F97"/>
    <w:rsid w:val="00F04AB5"/>
    <w:rsid w:val="00F2121E"/>
    <w:rsid w:val="00F33616"/>
    <w:rsid w:val="00F34FEE"/>
    <w:rsid w:val="00F360DC"/>
    <w:rsid w:val="00F3642E"/>
    <w:rsid w:val="00F528E4"/>
    <w:rsid w:val="00F54B92"/>
    <w:rsid w:val="00F644C5"/>
    <w:rsid w:val="00F70F4B"/>
    <w:rsid w:val="00F7507D"/>
    <w:rsid w:val="00F81B62"/>
    <w:rsid w:val="00F849D3"/>
    <w:rsid w:val="00F86D5E"/>
    <w:rsid w:val="00F91C4F"/>
    <w:rsid w:val="00FC31A5"/>
    <w:rsid w:val="00FD03AB"/>
    <w:rsid w:val="00FD3E7A"/>
    <w:rsid w:val="00FE11A7"/>
    <w:rsid w:val="00FF1279"/>
    <w:rsid w:val="00FF187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3DCBFC"/>
  <w15:chartTrackingRefBased/>
  <w15:docId w15:val="{93774968-2BE8-4880-A665-F8C47AF2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F1"/>
    <w:pPr>
      <w:spacing w:line="280" w:lineRule="atLeast"/>
      <w:jc w:val="both"/>
    </w:pPr>
    <w:rPr>
      <w:rFonts w:ascii="Palatino Linotype" w:hAnsi="Palatino Linotype"/>
      <w:color w:val="00000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E2070"/>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0E2070"/>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0E2070"/>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0E2070"/>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0E2070"/>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0E207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0E20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E2070"/>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605BA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9323F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323F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323F1"/>
    <w:rPr>
      <w:rFonts w:ascii="Palatino Linotype" w:hAnsi="Palatino Linotype"/>
      <w:noProof/>
      <w:color w:val="000000"/>
      <w:szCs w:val="18"/>
    </w:rPr>
  </w:style>
  <w:style w:type="paragraph" w:styleId="Header">
    <w:name w:val="header"/>
    <w:basedOn w:val="Normal"/>
    <w:link w:val="HeaderChar"/>
    <w:uiPriority w:val="99"/>
    <w:rsid w:val="009323F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323F1"/>
    <w:rPr>
      <w:rFonts w:ascii="Palatino Linotype" w:hAnsi="Palatino Linotype"/>
      <w:noProof/>
      <w:color w:val="000000"/>
      <w:szCs w:val="18"/>
    </w:rPr>
  </w:style>
  <w:style w:type="paragraph" w:customStyle="1" w:styleId="MDPI32textnoindent">
    <w:name w:val="MDPI_3.2_text_no_indent"/>
    <w:basedOn w:val="MDPI31text"/>
    <w:qFormat/>
    <w:rsid w:val="000E2070"/>
    <w:pPr>
      <w:ind w:firstLine="0"/>
    </w:pPr>
  </w:style>
  <w:style w:type="paragraph" w:customStyle="1" w:styleId="MDPI31text">
    <w:name w:val="MDPI_3.1_text"/>
    <w:qFormat/>
    <w:rsid w:val="000E20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0E207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0E20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0E20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0E207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0E2070"/>
    <w:pPr>
      <w:numPr>
        <w:numId w:val="27"/>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0E2070"/>
    <w:pPr>
      <w:numPr>
        <w:numId w:val="28"/>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0E207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E207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E2070"/>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0E2070"/>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0E2070"/>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0E2070"/>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0E2070"/>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0E207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0E207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0E207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0E207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0E207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CD0244"/>
    <w:pPr>
      <w:numPr>
        <w:numId w:val="30"/>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9323F1"/>
    <w:rPr>
      <w:rFonts w:cs="Tahoma"/>
      <w:szCs w:val="18"/>
    </w:rPr>
  </w:style>
  <w:style w:type="character" w:customStyle="1" w:styleId="BalloonTextChar">
    <w:name w:val="Balloon Text Char"/>
    <w:link w:val="BalloonText"/>
    <w:uiPriority w:val="99"/>
    <w:rsid w:val="009323F1"/>
    <w:rPr>
      <w:rFonts w:ascii="Palatino Linotype" w:hAnsi="Palatino Linotype" w:cs="Tahoma"/>
      <w:noProof/>
      <w:color w:val="000000"/>
      <w:szCs w:val="18"/>
    </w:rPr>
  </w:style>
  <w:style w:type="character" w:styleId="LineNumber">
    <w:name w:val="line number"/>
    <w:uiPriority w:val="99"/>
    <w:rsid w:val="00342799"/>
    <w:rPr>
      <w:rFonts w:ascii="Palatino Linotype" w:hAnsi="Palatino Linotype"/>
      <w:sz w:val="16"/>
    </w:rPr>
  </w:style>
  <w:style w:type="table" w:customStyle="1" w:styleId="MDPI41threelinetable">
    <w:name w:val="MDPI_4.1_three_line_table"/>
    <w:basedOn w:val="TableNormal"/>
    <w:uiPriority w:val="99"/>
    <w:rsid w:val="000E2070"/>
    <w:pPr>
      <w:adjustRightInd w:val="0"/>
      <w:snapToGrid w:val="0"/>
      <w:spacing w:line="280" w:lineRule="atLeast"/>
      <w:jc w:val="center"/>
    </w:pPr>
    <w:rPr>
      <w:rFonts w:ascii="Palatino Linotype" w:eastAsiaTheme="minorHAnsi" w:hAnsi="Palatino Linotype"/>
      <w:color w:val="000000"/>
      <w:lang w:bidi="ar-SA"/>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9323F1"/>
    <w:rPr>
      <w:color w:val="0000FF"/>
      <w:u w:val="single"/>
    </w:rPr>
  </w:style>
  <w:style w:type="character" w:styleId="UnresolvedMention">
    <w:name w:val="Unresolved Mention"/>
    <w:uiPriority w:val="99"/>
    <w:semiHidden/>
    <w:unhideWhenUsed/>
    <w:rsid w:val="00A10E28"/>
    <w:rPr>
      <w:color w:val="605E5C"/>
      <w:shd w:val="clear" w:color="auto" w:fill="E1DFDD"/>
    </w:rPr>
  </w:style>
  <w:style w:type="table" w:styleId="PlainTable4">
    <w:name w:val="Plain Table 4"/>
    <w:basedOn w:val="TableNormal"/>
    <w:uiPriority w:val="44"/>
    <w:rsid w:val="00103C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E2070"/>
    <w:pPr>
      <w:adjustRightInd w:val="0"/>
      <w:snapToGrid w:val="0"/>
      <w:spacing w:after="120" w:line="240" w:lineRule="atLeast"/>
      <w:ind w:right="113"/>
    </w:pPr>
    <w:rPr>
      <w:rFonts w:ascii="Palatino Linotype" w:hAnsi="Palatino Linotype" w:cs="Cordia New"/>
      <w:sz w:val="14"/>
      <w:szCs w:val="22"/>
      <w:lang w:bidi="ar-SA"/>
      <w14:ligatures w14:val="standardContextual"/>
    </w:rPr>
  </w:style>
  <w:style w:type="paragraph" w:customStyle="1" w:styleId="MDPI62backmatter">
    <w:name w:val="MDPI_6.2_back_matter"/>
    <w:qFormat/>
    <w:rsid w:val="000E2070"/>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0E2070"/>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0E2070"/>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0E2070"/>
    <w:pPr>
      <w:adjustRightInd w:val="0"/>
      <w:snapToGrid w:val="0"/>
      <w:spacing w:before="240" w:after="120" w:line="280" w:lineRule="atLeast"/>
      <w:jc w:val="center"/>
    </w:pPr>
    <w:rPr>
      <w:rFonts w:ascii="Palatino Linotype" w:eastAsiaTheme="minorHAnsi"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0E2070"/>
    <w:pPr>
      <w:adjustRightInd w:val="0"/>
      <w:snapToGrid w:val="0"/>
      <w:spacing w:before="240" w:after="120" w:line="280" w:lineRule="atLeast"/>
      <w:jc w:val="center"/>
    </w:pPr>
    <w:rPr>
      <w:rFonts w:ascii="Palatino Linotype" w:eastAsiaTheme="minorHAnsi" w:hAnsi="Palatino Linotype"/>
      <w:noProof/>
      <w:color w:val="000000"/>
      <w:sz w:val="18"/>
      <w:lang w:bidi="en-US"/>
      <w14:ligatures w14:val="standardContextual"/>
    </w:rPr>
  </w:style>
  <w:style w:type="paragraph" w:customStyle="1" w:styleId="MDPI72copyright">
    <w:name w:val="MDPI_7.2_copyright"/>
    <w:qFormat/>
    <w:rsid w:val="000E207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bidi="ar-SA"/>
      <w14:ligatures w14:val="standardContextual"/>
    </w:rPr>
  </w:style>
  <w:style w:type="table" w:customStyle="1" w:styleId="MDPItable">
    <w:name w:val="MDPI_table"/>
    <w:basedOn w:val="TableNormal"/>
    <w:uiPriority w:val="99"/>
    <w:rsid w:val="000E2070"/>
    <w:rPr>
      <w:rFonts w:ascii="Palatino Linotype" w:hAnsi="Palatino Linotype"/>
      <w:color w:val="000000" w:themeColor="text1"/>
      <w:lang w:val="en-CA" w:bidi="ar-SA"/>
      <w14:ligatures w14:val="standardContextual"/>
    </w:rPr>
    <w:tblPr>
      <w:tblCellMar>
        <w:left w:w="0" w:type="dxa"/>
        <w:right w:w="0" w:type="dxa"/>
      </w:tblCellMar>
    </w:tblPr>
  </w:style>
  <w:style w:type="character" w:customStyle="1" w:styleId="apple-converted-space">
    <w:name w:val="apple-converted-space"/>
    <w:rsid w:val="009323F1"/>
  </w:style>
  <w:style w:type="paragraph" w:styleId="Bibliography">
    <w:name w:val="Bibliography"/>
    <w:basedOn w:val="Normal"/>
    <w:next w:val="Normal"/>
    <w:uiPriority w:val="37"/>
    <w:semiHidden/>
    <w:unhideWhenUsed/>
    <w:rsid w:val="009323F1"/>
  </w:style>
  <w:style w:type="paragraph" w:styleId="BodyText">
    <w:name w:val="Body Text"/>
    <w:link w:val="BodyTextChar"/>
    <w:rsid w:val="009323F1"/>
    <w:pPr>
      <w:spacing w:after="120" w:line="340" w:lineRule="atLeast"/>
      <w:jc w:val="both"/>
    </w:pPr>
    <w:rPr>
      <w:rFonts w:ascii="Palatino Linotype" w:hAnsi="Palatino Linotype"/>
      <w:color w:val="000000"/>
      <w:sz w:val="24"/>
      <w:lang w:eastAsia="de-DE" w:bidi="ar-SA"/>
    </w:rPr>
  </w:style>
  <w:style w:type="character" w:customStyle="1" w:styleId="BodyTextChar">
    <w:name w:val="Body Text Char"/>
    <w:link w:val="BodyText"/>
    <w:rsid w:val="009323F1"/>
    <w:rPr>
      <w:rFonts w:ascii="Palatino Linotype" w:hAnsi="Palatino Linotype"/>
      <w:color w:val="000000"/>
      <w:sz w:val="24"/>
      <w:lang w:eastAsia="de-DE"/>
    </w:rPr>
  </w:style>
  <w:style w:type="character" w:styleId="CommentReference">
    <w:name w:val="annotation reference"/>
    <w:rsid w:val="009323F1"/>
    <w:rPr>
      <w:sz w:val="21"/>
      <w:szCs w:val="21"/>
    </w:rPr>
  </w:style>
  <w:style w:type="paragraph" w:styleId="CommentText">
    <w:name w:val="annotation text"/>
    <w:basedOn w:val="Normal"/>
    <w:link w:val="CommentTextChar"/>
    <w:rsid w:val="009323F1"/>
  </w:style>
  <w:style w:type="character" w:customStyle="1" w:styleId="CommentTextChar">
    <w:name w:val="Comment Text Char"/>
    <w:link w:val="CommentText"/>
    <w:rsid w:val="009323F1"/>
    <w:rPr>
      <w:rFonts w:ascii="Palatino Linotype" w:hAnsi="Palatino Linotype"/>
      <w:noProof/>
      <w:color w:val="000000"/>
    </w:rPr>
  </w:style>
  <w:style w:type="paragraph" w:styleId="CommentSubject">
    <w:name w:val="annotation subject"/>
    <w:basedOn w:val="CommentText"/>
    <w:next w:val="CommentText"/>
    <w:link w:val="CommentSubjectChar"/>
    <w:rsid w:val="009323F1"/>
    <w:rPr>
      <w:b/>
      <w:bCs/>
    </w:rPr>
  </w:style>
  <w:style w:type="character" w:customStyle="1" w:styleId="CommentSubjectChar">
    <w:name w:val="Comment Subject Char"/>
    <w:link w:val="CommentSubject"/>
    <w:rsid w:val="009323F1"/>
    <w:rPr>
      <w:rFonts w:ascii="Palatino Linotype" w:hAnsi="Palatino Linotype"/>
      <w:b/>
      <w:bCs/>
      <w:noProof/>
      <w:color w:val="000000"/>
    </w:rPr>
  </w:style>
  <w:style w:type="character" w:styleId="EndnoteReference">
    <w:name w:val="endnote reference"/>
    <w:rsid w:val="009323F1"/>
    <w:rPr>
      <w:vertAlign w:val="superscript"/>
    </w:rPr>
  </w:style>
  <w:style w:type="paragraph" w:styleId="EndnoteText">
    <w:name w:val="endnote text"/>
    <w:basedOn w:val="Normal"/>
    <w:link w:val="EndnoteTextChar"/>
    <w:semiHidden/>
    <w:unhideWhenUsed/>
    <w:rsid w:val="009323F1"/>
    <w:pPr>
      <w:spacing w:line="240" w:lineRule="auto"/>
    </w:pPr>
  </w:style>
  <w:style w:type="character" w:customStyle="1" w:styleId="EndnoteTextChar">
    <w:name w:val="Endnote Text Char"/>
    <w:link w:val="EndnoteText"/>
    <w:semiHidden/>
    <w:rsid w:val="009323F1"/>
    <w:rPr>
      <w:rFonts w:ascii="Palatino Linotype" w:hAnsi="Palatino Linotype"/>
      <w:noProof/>
      <w:color w:val="000000"/>
    </w:rPr>
  </w:style>
  <w:style w:type="character" w:styleId="FollowedHyperlink">
    <w:name w:val="FollowedHyperlink"/>
    <w:rsid w:val="009323F1"/>
    <w:rPr>
      <w:color w:val="954F72"/>
      <w:u w:val="single"/>
    </w:rPr>
  </w:style>
  <w:style w:type="paragraph" w:styleId="FootnoteText">
    <w:name w:val="footnote text"/>
    <w:basedOn w:val="Normal"/>
    <w:link w:val="FootnoteTextChar"/>
    <w:semiHidden/>
    <w:unhideWhenUsed/>
    <w:rsid w:val="009323F1"/>
    <w:pPr>
      <w:spacing w:line="240" w:lineRule="auto"/>
    </w:pPr>
  </w:style>
  <w:style w:type="character" w:customStyle="1" w:styleId="FootnoteTextChar">
    <w:name w:val="Footnote Text Char"/>
    <w:link w:val="FootnoteText"/>
    <w:semiHidden/>
    <w:rsid w:val="009323F1"/>
    <w:rPr>
      <w:rFonts w:ascii="Palatino Linotype" w:hAnsi="Palatino Linotype"/>
      <w:noProof/>
      <w:color w:val="000000"/>
    </w:rPr>
  </w:style>
  <w:style w:type="paragraph" w:styleId="NormalWeb">
    <w:name w:val="Normal (Web)"/>
    <w:basedOn w:val="Normal"/>
    <w:uiPriority w:val="99"/>
    <w:rsid w:val="009323F1"/>
    <w:rPr>
      <w:szCs w:val="24"/>
    </w:rPr>
  </w:style>
  <w:style w:type="paragraph" w:customStyle="1" w:styleId="MsoFootnoteText0">
    <w:name w:val="MsoFootnoteText"/>
    <w:basedOn w:val="NormalWeb"/>
    <w:qFormat/>
    <w:rsid w:val="009323F1"/>
    <w:rPr>
      <w:rFonts w:ascii="Times New Roman" w:hAnsi="Times New Roman"/>
    </w:rPr>
  </w:style>
  <w:style w:type="character" w:styleId="PageNumber">
    <w:name w:val="page number"/>
    <w:rsid w:val="009323F1"/>
  </w:style>
  <w:style w:type="character" w:styleId="PlaceholderText">
    <w:name w:val="Placeholder Text"/>
    <w:uiPriority w:val="99"/>
    <w:semiHidden/>
    <w:rsid w:val="009323F1"/>
    <w:rPr>
      <w:color w:val="808080"/>
    </w:rPr>
  </w:style>
  <w:style w:type="paragraph" w:customStyle="1" w:styleId="MDPI71footnotes">
    <w:name w:val="MDPI_7.1_footnotes"/>
    <w:qFormat/>
    <w:rsid w:val="000E2070"/>
    <w:pPr>
      <w:numPr>
        <w:numId w:val="29"/>
      </w:numPr>
      <w:adjustRightInd w:val="0"/>
      <w:snapToGrid w:val="0"/>
      <w:spacing w:line="280" w:lineRule="atLeast"/>
      <w:jc w:val="both"/>
    </w:pPr>
    <w:rPr>
      <w:rFonts w:ascii="Palatino Linotype" w:eastAsiaTheme="minorHAnsi" w:hAnsi="Palatino Linotype"/>
      <w:noProof/>
      <w:color w:val="000000"/>
      <w:sz w:val="18"/>
      <w:lang w:bidi="ar-SA"/>
      <w14:ligatures w14:val="standardContextual"/>
    </w:rPr>
  </w:style>
  <w:style w:type="character" w:styleId="Strong">
    <w:name w:val="Strong"/>
    <w:uiPriority w:val="22"/>
    <w:qFormat/>
    <w:rsid w:val="00B43A65"/>
    <w:rPr>
      <w:b/>
      <w:bCs/>
    </w:rPr>
  </w:style>
  <w:style w:type="paragraph" w:customStyle="1" w:styleId="MDPIfooterfirstpage">
    <w:name w:val="MDPI_footer_firstpage"/>
    <w:qFormat/>
    <w:rsid w:val="009C03A4"/>
    <w:pPr>
      <w:tabs>
        <w:tab w:val="right" w:pos="8845"/>
      </w:tabs>
      <w:spacing w:line="160" w:lineRule="exact"/>
    </w:pPr>
    <w:rPr>
      <w:rFonts w:ascii="Palatino Linotype" w:eastAsia="Times New Roman" w:hAnsi="Palatino Linotype"/>
      <w:color w:val="000000"/>
      <w:kern w:val="2"/>
      <w:sz w:val="16"/>
      <w:lang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4683">
      <w:bodyDiv w:val="1"/>
      <w:marLeft w:val="0"/>
      <w:marRight w:val="0"/>
      <w:marTop w:val="0"/>
      <w:marBottom w:val="0"/>
      <w:divBdr>
        <w:top w:val="none" w:sz="0" w:space="0" w:color="auto"/>
        <w:left w:val="none" w:sz="0" w:space="0" w:color="auto"/>
        <w:bottom w:val="none" w:sz="0" w:space="0" w:color="auto"/>
        <w:right w:val="none" w:sz="0" w:space="0" w:color="auto"/>
      </w:divBdr>
    </w:div>
    <w:div w:id="1041709622">
      <w:bodyDiv w:val="1"/>
      <w:marLeft w:val="0"/>
      <w:marRight w:val="0"/>
      <w:marTop w:val="0"/>
      <w:marBottom w:val="0"/>
      <w:divBdr>
        <w:top w:val="none" w:sz="0" w:space="0" w:color="auto"/>
        <w:left w:val="none" w:sz="0" w:space="0" w:color="auto"/>
        <w:bottom w:val="none" w:sz="0" w:space="0" w:color="auto"/>
        <w:right w:val="none" w:sz="0" w:space="0" w:color="auto"/>
      </w:divBdr>
    </w:div>
    <w:div w:id="1145973645">
      <w:bodyDiv w:val="1"/>
      <w:marLeft w:val="0"/>
      <w:marRight w:val="0"/>
      <w:marTop w:val="0"/>
      <w:marBottom w:val="0"/>
      <w:divBdr>
        <w:top w:val="none" w:sz="0" w:space="0" w:color="auto"/>
        <w:left w:val="none" w:sz="0" w:space="0" w:color="auto"/>
        <w:bottom w:val="none" w:sz="0" w:space="0" w:color="auto"/>
        <w:right w:val="none" w:sz="0" w:space="0" w:color="auto"/>
      </w:divBdr>
    </w:div>
    <w:div w:id="173559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ijm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BA133E5C658E428BCF2AB53DCBA6D2" ma:contentTypeVersion="10" ma:contentTypeDescription="Create a new document." ma:contentTypeScope="" ma:versionID="4594f68cc91095fe8447c5c74d06e01d">
  <xsd:schema xmlns:xsd="http://www.w3.org/2001/XMLSchema" xmlns:xs="http://www.w3.org/2001/XMLSchema" xmlns:p="http://schemas.microsoft.com/office/2006/metadata/properties" xmlns:ns3="8c702732-9904-44cc-a158-695fcfc6984d" targetNamespace="http://schemas.microsoft.com/office/2006/metadata/properties" ma:root="true" ma:fieldsID="f8330d1003b4d78daca5b127fac89721" ns3:_="">
    <xsd:import namespace="8c702732-9904-44cc-a158-695fcfc6984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02732-9904-44cc-a158-695fcfc698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923F3-5725-4A67-9AC5-0FC4C5326EE5}">
  <ds:schemaRefs>
    <ds:schemaRef ds:uri="http://schemas.microsoft.com/sharepoint/v3/contenttype/forms"/>
  </ds:schemaRefs>
</ds:datastoreItem>
</file>

<file path=customXml/itemProps2.xml><?xml version="1.0" encoding="utf-8"?>
<ds:datastoreItem xmlns:ds="http://schemas.openxmlformats.org/officeDocument/2006/customXml" ds:itemID="{F958DD60-0BEB-4948-BE16-90CAA7AA08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02732-9904-44cc-a158-695fcfc698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E0BFA8-B021-45EE-AA20-D12F83855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ijms-template</Template>
  <TotalTime>26</TotalTime>
  <Pages>24</Pages>
  <Words>35177</Words>
  <Characters>200509</Characters>
  <Application>Microsoft Office Word</Application>
  <DocSecurity>0</DocSecurity>
  <Lines>1670</Lines>
  <Paragraphs>470</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235216</CharactersWithSpaces>
  <SharedDoc>false</SharedDoc>
  <HLinks>
    <vt:vector size="24" baseType="variant">
      <vt:variant>
        <vt:i4>3997750</vt:i4>
      </vt:variant>
      <vt:variant>
        <vt:i4>6</vt:i4>
      </vt:variant>
      <vt:variant>
        <vt:i4>0</vt:i4>
      </vt:variant>
      <vt:variant>
        <vt:i4>5</vt:i4>
      </vt:variant>
      <vt:variant>
        <vt:lpwstr>https://img.mdpi.org/data/contributor-role-instruction.pdf</vt:lpwstr>
      </vt:variant>
      <vt:variant>
        <vt:lpwstr/>
      </vt:variant>
      <vt:variant>
        <vt:i4>5308424</vt:i4>
      </vt:variant>
      <vt:variant>
        <vt:i4>3</vt:i4>
      </vt:variant>
      <vt:variant>
        <vt:i4>0</vt:i4>
      </vt:variant>
      <vt:variant>
        <vt:i4>5</vt:i4>
      </vt:variant>
      <vt:variant>
        <vt:lpwstr>https://creativecommons.org/licenses/by/4.0/</vt:lpwstr>
      </vt:variant>
      <vt:variant>
        <vt:lpwstr/>
      </vt:variant>
      <vt:variant>
        <vt:i4>1704035</vt:i4>
      </vt:variant>
      <vt:variant>
        <vt:i4>0</vt:i4>
      </vt:variant>
      <vt:variant>
        <vt:i4>0</vt:i4>
      </vt:variant>
      <vt:variant>
        <vt:i4>5</vt:i4>
      </vt:variant>
      <vt:variant>
        <vt:lpwstr>https://crossmark.crossref.org/dialog?doi=10.3390/ma18194475&amp;domain=pdf&amp;date_stamp=2025-10-17</vt:lpwstr>
      </vt:variant>
      <vt:variant>
        <vt:lpwstr/>
      </vt:variant>
      <vt:variant>
        <vt:i4>1704035</vt:i4>
      </vt:variant>
      <vt:variant>
        <vt:i4>2156</vt:i4>
      </vt:variant>
      <vt:variant>
        <vt:i4>1025</vt:i4>
      </vt:variant>
      <vt:variant>
        <vt:i4>4</vt:i4>
      </vt:variant>
      <vt:variant>
        <vt:lpwstr>https://crossmark.crossref.org/dialog?doi=10.3390/ma18194475&amp;domain=pdf&amp;date_stamp=2025-10-17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Doctor Mustafa</cp:lastModifiedBy>
  <cp:revision>14</cp:revision>
  <dcterms:created xsi:type="dcterms:W3CDTF">2026-08-28T21:17:00Z</dcterms:created>
  <dcterms:modified xsi:type="dcterms:W3CDTF">2026-08-28T22:51:00Z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71069f15-958f-40b0-96c3-a7e6065fc05c</vt:lpwstr>
  </property>
  <property fmtid="{D5CDD505-2E9C-101B-9397-08002B2CF9AE}" pid="3" name="ContentTypeId">
    <vt:lpwstr>0x0101009ABA133E5C658E428BCF2AB53DCBA6D2</vt:lpwstr>
  </property>
  <property fmtid="{D5CDD505-2E9C-101B-9397-08002B2CF9AE}" pid="4" name="_activity">
    <vt:lpwstr/>
  </property>
  <property fmtid="{D5CDD505-2E9C-101B-9397-08002B2CF9AE}" pid="5" name="Mendeley Recent Style Id 0_1">
    <vt:lpwstr>http://www.zotero.org/styles/apa</vt:lpwstr>
  </property>
  <property fmtid="{D5CDD505-2E9C-101B-9397-08002B2CF9AE}" pid="6" name="Mendeley Recent Style Name 0_1">
    <vt:lpwstr>APA Style 7th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18th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(author-date/Harvard)</vt:lpwstr>
  </property>
  <property fmtid="{D5CDD505-2E9C-101B-9397-08002B2CF9AE}" pid="15" name="Mendeley Recent Style Id 5_1">
    <vt:lpwstr>http://www.zotero.org/styles/ieee</vt:lpwstr>
  </property>
  <property fmtid="{D5CDD505-2E9C-101B-9397-08002B2CF9AE}" pid="16" name="Mendeley Recent Style Name 5_1">
    <vt:lpwstr>IEEE Reference Guide version 11.29.2023</vt:lpwstr>
  </property>
  <property fmtid="{D5CDD505-2E9C-101B-9397-08002B2CF9AE}" pid="17" name="Mendeley Recent Style Id 6_1">
    <vt:lpwstr>http://www.zotero.org/styles/international-journal-of-molecular-sciences</vt:lpwstr>
  </property>
  <property fmtid="{D5CDD505-2E9C-101B-9397-08002B2CF9AE}" pid="18" name="Mendeley Recent Style Name 6_1">
    <vt:lpwstr>International Journal of Molecular Sciences</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4a0945eb-dd88-3d87-b49a-dc93a11f2dd1</vt:lpwstr>
  </property>
  <property fmtid="{D5CDD505-2E9C-101B-9397-08002B2CF9AE}" pid="27" name="Mendeley Citation Style_1">
    <vt:lpwstr>http://www.zotero.org/styles/international-journal-of-molecular-sciences</vt:lpwstr>
  </property>
</Properties>
</file>