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 1 — Second-Round Report</w:t>
      </w:r>
    </w:p>
    <w:p>
      <w:pPr>
        <w:jc w:val="center"/>
      </w:pPr>
      <w:r>
        <w:rPr>
          <w:b/>
        </w:rPr>
        <w:t>Manuscript: “HBOCpred: an ensemble framework for prioritisation of germline missense variants in hereditary breast and ovarian cancer”</w:t>
      </w:r>
    </w:p>
    <w:p>
      <w:pPr>
        <w:jc w:val="center"/>
      </w:pPr>
      <w:r>
        <w:t>Manuscript ID: ijms-4511203</w:t>
      </w:r>
    </w:p>
    <w:p>
      <w:pPr>
        <w:pBdr>
          <w:bottom w:val="single" w:sz="8" w:space="1" w:color="B4C6E7"/>
        </w:pBdr>
      </w:pPr>
    </w:p>
    <w:p>
      <w:r>
        <w:rPr>
          <w:b/>
        </w:rPr>
        <w:t xml:space="preserve">General response. </w:t>
      </w:r>
      <w:r>
        <w:t>We thank the reviewer for confirming that all four objections in the first report were addressed and that the revision is substantially improved. We have treated the new report in two ways. Where the reviewer identified genuine ambiguity or overstatement, we revised the manuscript directly. Where an objection conflated a class-conditional challenge set with a two-class validation cohort, treated post hoc mapping as in-sample model fitting, or characterised locus-level conservation scores as gene-level variables, we have clarified the relevant statistical distinction and moderated the manuscript's claims. No unresolved record is assigned an ACMG/AMP class, and no one-class external arm is now described as a complete external validation.</w:t>
      </w:r>
    </w:p>
    <w:p>
      <w:pPr>
        <w:pStyle w:val="Heading1"/>
      </w:pPr>
      <w:r>
        <w:t>1. Common output object and post hoc unanimity mapping</w:t>
      </w:r>
    </w:p>
    <w:p>
      <w:r>
        <w:rPr>
          <w:b/>
        </w:rPr>
        <w:t xml:space="preserve">Reviewer comment (condensed): </w:t>
      </w:r>
      <w:r>
        <w:rPr>
          <w:i/>
        </w:rPr>
        <w:t>The reviewer argues that the evaluated three-output object is never issued to unresolved variants and that its coverage/concordance are in-sample because the mapping was defined after inspection of V-states.</w:t>
      </w:r>
    </w:p>
    <w:p>
      <w:r>
        <w:rPr>
          <w:b/>
        </w:rPr>
        <w:t xml:space="preserve">Response: </w:t>
      </w:r>
      <w:r>
        <w:t>We agree that the previous context-dependent labels made the underlying common output difficult to see. However, the statement that the output object is never produced is not technically correct: every record receives the same four calibrated probabilities, four votes, complete vote vector, V0–V4 state and S_MAC. What differed was only the display label. We have removed that dual nomenclature. We also agree that the V0 / V1–V3 / V4 consolidation was introduced during revision. It is now explicitly labelled a post hoc, parameter-free descriptive audit of frozen out-of-fold predictions and is no longer presented as a prospectively prespecified primary endpoint. The predictions themselves are not in-sample: each anchor's out-of-fold prediction was generated by a model that did not include that anchor in fitting. Post hoc endpoint definition may bias interpretation of the summary, but it is distinct from training-set prediction or refitting.</w:t>
      </w:r>
    </w:p>
    <w:p>
      <w:r>
        <w:rPr>
          <w:b/>
        </w:rPr>
        <w:t>Changes made in the manuscript:</w:t>
      </w:r>
    </w:p>
    <w:p>
      <w:pPr>
        <w:pStyle w:val="ListBullet"/>
      </w:pPr>
      <w:r>
        <w:t>A single vote-state vocabulary is now used for labelled and unresolved records: V0 = unanimous B/LB-directed; V1–V3 = mixed-vote; V4 = unanimous LP/P-directed.</w:t>
      </w:r>
    </w:p>
    <w:p>
      <w:pPr>
        <w:pStyle w:val="ListBullet"/>
      </w:pPr>
      <w:r>
        <w:t>The Abstract, Results, Methods, figure legends and abbreviations now call the unanimity summary a post hoc descriptive audit.</w:t>
      </w:r>
    </w:p>
    <w:p>
      <w:pPr>
        <w:pStyle w:val="ListBullet"/>
      </w:pPr>
      <w:r>
        <w:t>The manuscript states explicitly that no accuracy, sensitivity or specificity can be estimated for the 43,679 unresolved records because they lack reference outcomes.</w:t>
      </w:r>
    </w:p>
    <w:p>
      <w:r>
        <w:rPr>
          <w:b/>
        </w:rPr>
        <w:t>Methodological basis:</w:t>
      </w:r>
    </w:p>
    <w:p>
      <w:pPr>
        <w:pStyle w:val="ListBullet"/>
      </w:pPr>
      <w:r>
        <w:t>Out-of-fold evaluation prevents direct self-prediction of each anchor; it does not make a post hoc reporting rule prospectively prespecified.</w:t>
      </w:r>
    </w:p>
    <w:p>
      <w:pPr>
        <w:pStyle w:val="ListBullet"/>
      </w:pPr>
      <w:r>
        <w:t>TRIPOD+AI distinguishes model-development/internal-validation estimates from external or deployment performance and requires transparent reporting of post hoc analyses.</w:t>
      </w:r>
    </w:p>
    <w:p>
      <w:pPr>
        <w:pStyle w:val="Heading1"/>
      </w:pPr>
      <w:r>
        <w:t>2. Ambiguous “Uncertain-low/mid/high” terminology</w:t>
      </w:r>
    </w:p>
    <w:p>
      <w:r>
        <w:rPr>
          <w:b/>
        </w:rPr>
        <w:t xml:space="preserve">Reviewer comment (condensed): </w:t>
      </w:r>
      <w:r>
        <w:rPr>
          <w:i/>
        </w:rPr>
        <w:t>The reviewer notes that low/high referred to pathogenic direction rather than model uncertainty, while V2 is the state of maximal vote disagreement.</w:t>
      </w:r>
    </w:p>
    <w:p>
      <w:r>
        <w:rPr>
          <w:b/>
        </w:rPr>
        <w:t xml:space="preserve">Response: </w:t>
      </w:r>
      <w:r>
        <w:t>We agree completely. The terminology could be read backwards by a curator and has been removed rather than defended.</w:t>
      </w:r>
    </w:p>
    <w:p>
      <w:r>
        <w:rPr>
          <w:b/>
        </w:rPr>
        <w:t>Changes made in the manuscript:</w:t>
      </w:r>
    </w:p>
    <w:p>
      <w:pPr>
        <w:pStyle w:val="ListBullet"/>
      </w:pPr>
      <w:r>
        <w:t>‘Uncertain-low’, ‘Uncertain-mid’ and ‘Uncertain-high’ have been deleted throughout.</w:t>
      </w:r>
    </w:p>
    <w:p>
      <w:pPr>
        <w:pStyle w:val="ListBullet"/>
      </w:pPr>
      <w:r>
        <w:t>The catalogue and figures now use explicit directional labels: unanimous B/LB-directed (V0), mixed-vote (V1–V3) and unanimous LP/P-directed (V4).</w:t>
      </w:r>
    </w:p>
    <w:p>
      <w:pPr>
        <w:pStyle w:val="ListBullet"/>
      </w:pPr>
      <w:r>
        <w:t>Lower/higher research priority is described only in explanatory prose and never as uncertainty magnitude or clinical risk.</w:t>
      </w:r>
    </w:p>
    <w:p>
      <w:pPr>
        <w:pStyle w:val="Heading1"/>
      </w:pPr>
      <w:r>
        <w:t>3. External arms, estimable quantities and the purpose of the gnomAD arm</w:t>
      </w:r>
    </w:p>
    <w:p>
      <w:r>
        <w:rPr>
          <w:b/>
        </w:rPr>
        <w:t xml:space="preserve">Reviewer comment (condensed): </w:t>
      </w:r>
      <w:r>
        <w:rPr>
          <w:i/>
        </w:rPr>
        <w:t>The reviewer correctly notes that the hospital arm contains only LP/P variants and the gnomAD arm only benign proxies, so no complete external confusion matrix is available; the reviewer further argues that the gnomAD result restates the frequency-based selection criterion.</w:t>
      </w:r>
    </w:p>
    <w:p>
      <w:r>
        <w:rPr>
          <w:b/>
        </w:rPr>
        <w:t xml:space="preserve">Response: </w:t>
      </w:r>
      <w:r>
        <w:t>We agree with the first point and have removed the term ‘independent external validation’. The two arms are now termed class-conditional directional challenge sets. A one-class positive arm can estimate LP/P-directed capture, abstention and opposite-direction calls; a one-class negative arm can estimate the corresponding negative-control error boundary, but neither arm alone or in the present unmatched combination yields overall accuracy or balanced accuracy. The gnomAD arm intentionally did not seek pathogenic variants. It was designed as the negative-control arm, while the hospital cohort supplied the pathogenic arm. Under the original ACMG/AMP framework, BA1 is stand-alone benign evidence when population allele frequency exceeds 5% in a sufficiently large reference population. ClinGen later refined BA1 toward disease- and gene-specific maximum credible frequencies. In a rare, predominantly dominant HBOC setting, variants exceeding the study's &gt;5% frequency screen are biologically incompatible with highly penetrant pathogenicity except for recognised special cases. gnomAD is the appropriate source for such population-frequency controls because it aggregates large population sequencing datasets; it is not a clinical pathogenic-variant registry and is not asserted to be a perfectly healthy control cohort. We nevertheless accept the reviewer's important limitation: BayesDel_addAF and other population-informed inputs make this a low-difficulty negative control. We therefore no longer use it as an estimate of external specificity.</w:t>
      </w:r>
    </w:p>
    <w:p>
      <w:r>
        <w:rPr>
          <w:b/>
        </w:rPr>
        <w:t>Changes made in the manuscript:</w:t>
      </w:r>
    </w:p>
    <w:p>
      <w:pPr>
        <w:pStyle w:val="ListBullet"/>
      </w:pPr>
      <w:r>
        <w:t>Section 2.5 and Section 4.7 are retitled ‘External class-conditional directional audits’.</w:t>
      </w:r>
    </w:p>
    <w:p>
      <w:pPr>
        <w:pStyle w:val="ListBullet"/>
      </w:pPr>
      <w:r>
        <w:t>The Abstract now states that no full external confusion matrix is available and includes the hospital Wilson interval if the result is retained.</w:t>
      </w:r>
    </w:p>
    <w:p>
      <w:pPr>
        <w:pStyle w:val="ListBullet"/>
      </w:pPr>
      <w:r>
        <w:t>The gnomAD set is described as ‘&gt;5% BA1-screened high-frequency benign proxies/negative controls’, not independently clinically adjudicated benign cases.</w:t>
      </w:r>
    </w:p>
    <w:p>
      <w:pPr>
        <w:pStyle w:val="ListBullet"/>
      </w:pPr>
      <w:r>
        <w:t>The Methods state why no pathogenic gnomAD sample was sought and that pathogenic-direction testing was supplied separately by the hospital LP/P arm.</w:t>
      </w:r>
    </w:p>
    <w:p>
      <w:pPr>
        <w:pStyle w:val="ListBullet"/>
      </w:pPr>
      <w:r>
        <w:t>The AF-related circularity limitation is stated explicitly.</w:t>
      </w:r>
    </w:p>
    <w:p>
      <w:r>
        <w:rPr>
          <w:b/>
        </w:rPr>
        <w:t>Methodological basis:</w:t>
      </w:r>
    </w:p>
    <w:p>
      <w:pPr>
        <w:pStyle w:val="ListBullet"/>
      </w:pPr>
      <w:r>
        <w:t>Richards S, et al. Genet Med. 2015;17:405–424. doi:10.1038/gim.2015.30 — original ACMG/AMP BA1 criterion.</w:t>
      </w:r>
    </w:p>
    <w:p>
      <w:pPr>
        <w:pStyle w:val="ListBullet"/>
      </w:pPr>
      <w:r>
        <w:t>Ghosh R, et al. Hum Mutat. 2018;39:1525–1530. doi:10.1002/humu.23642 — ClinGen SVI refinement of BA1/BS1 using disease-specific frequency thresholds.</w:t>
      </w:r>
    </w:p>
    <w:p>
      <w:pPr>
        <w:pStyle w:val="ListBullet"/>
      </w:pPr>
      <w:r>
        <w:t>Karczewski KJ, et al. Nature. 2020;581:434–443. doi:10.1038/s41586-020-2308-7 — gnomAD as a large population-variation resource.</w:t>
      </w:r>
    </w:p>
    <w:p>
      <w:pPr>
        <w:pStyle w:val="ListBullet"/>
      </w:pPr>
      <w:r>
        <w:t>gnomAD official resource description: https://gnomad.broadinstitute.org/about (accessed 2 September 2026).</w:t>
      </w:r>
    </w:p>
    <w:p>
      <w:pPr>
        <w:pStyle w:val="Heading1"/>
      </w:pPr>
      <w:r>
        <w:t>4. Hospital variants and upstream predictor-training overlap</w:t>
      </w:r>
    </w:p>
    <w:p>
      <w:r>
        <w:rPr>
          <w:b/>
        </w:rPr>
        <w:t xml:space="preserve">Reviewer comment (condensed): </w:t>
      </w:r>
      <w:r>
        <w:rPr>
          <w:i/>
        </w:rPr>
        <w:t>The reviewer notes that anchor-overlap removal does not prove that long-known hospital variants were absent from the training corpora of constituent predictors.</w:t>
      </w:r>
    </w:p>
    <w:p>
      <w:r>
        <w:rPr>
          <w:b/>
        </w:rPr>
        <w:t xml:space="preserve">Response: </w:t>
      </w:r>
      <w:r>
        <w:t>We agree. Exact overlap screening establishes independence from HBOCpred's 2,160-anchor development set, but it cannot establish independence from every historical corpus used by ClinPred, BayesDel, MetaLR or other inputs. We have changed the wording from ‘independent validation’ to ‘externally sourced and held outside HBOCpred development’. The hospital result is now a limited directional challenge, not an evidentially orthogonal clinical validation. The 15/16 estimate is accompanied by its Wilson 95% interval (71.7–98.9%).</w:t>
      </w:r>
    </w:p>
    <w:p>
      <w:r>
        <w:rPr>
          <w:b/>
        </w:rPr>
        <w:t>Changes made in the manuscript:</w:t>
      </w:r>
    </w:p>
    <w:p>
      <w:pPr>
        <w:pStyle w:val="ListBullet"/>
      </w:pPr>
      <w:r>
        <w:t>All claims of independence from upstream predictor corpora have been removed.</w:t>
      </w:r>
    </w:p>
    <w:p>
      <w:pPr>
        <w:pStyle w:val="ListBullet"/>
      </w:pPr>
      <w:r>
        <w:t>The three levels of independence—direct HBOCpred leakage, upstream predictor-corpus overlap and clinical-evidence independence—are now distinguished.</w:t>
      </w:r>
    </w:p>
    <w:p>
      <w:pPr>
        <w:pStyle w:val="ListBullet"/>
      </w:pPr>
      <w:r>
        <w:t>The hospital confidence interval is visible wherever the 15/16 result is reported.</w:t>
      </w:r>
    </w:p>
    <w:p>
      <w:pPr>
        <w:pStyle w:val="Heading1"/>
      </w:pPr>
      <w:r>
        <w:t>5. Circularity and interpretation of source-label concordance</w:t>
      </w:r>
    </w:p>
    <w:p>
      <w:r>
        <w:rPr>
          <w:b/>
        </w:rPr>
        <w:t xml:space="preserve">Reviewer comment (condensed): </w:t>
      </w:r>
      <w:r>
        <w:rPr>
          <w:i/>
        </w:rPr>
        <w:t>The reviewer argues that ClinVar-derived labels and ClinVar-trained predictors, as well as possible PP3/BP4 use in submissions, create circularity.</w:t>
      </w:r>
    </w:p>
    <w:p>
      <w:r>
        <w:rPr>
          <w:b/>
        </w:rPr>
        <w:t xml:space="preserve">Response: </w:t>
      </w:r>
      <w:r>
        <w:t>We agree that residual circularity limits evidential independence and that one sentence was insufficient. We do not agree that it converts out-of-fold predictions into in-sample predictions or proves that all source labels were caused by the retained predictors. ClinVar classifications can incorporate population, segregation, functional, case-level, allelic and computational evidence; the contribution of PP3/BP4 is not available uniformly for all anchors. The defensible conclusion is therefore potential and unquantified circularity, not that the entire 97.51% is produced by computational evidence. We now call this quantity source-label consistency rather than accuracy and expand the limitation substantially.</w:t>
      </w:r>
    </w:p>
    <w:p>
      <w:r>
        <w:rPr>
          <w:b/>
        </w:rPr>
        <w:t>Changes made in the manuscript:</w:t>
      </w:r>
    </w:p>
    <w:p>
      <w:pPr>
        <w:pStyle w:val="ListBullet"/>
      </w:pPr>
      <w:r>
        <w:t>A dedicated Discussion paragraph separates direct leakage, historical predictor-label overlap and possible PP3/BP4 feedback.</w:t>
      </w:r>
    </w:p>
    <w:p>
      <w:pPr>
        <w:pStyle w:val="ListBullet"/>
      </w:pPr>
      <w:r>
        <w:t>‘Accuracy’ has been replaced by ‘source-label consistency/concordance’ for the post hoc unanimity audit.</w:t>
      </w:r>
    </w:p>
    <w:p>
      <w:pPr>
        <w:pStyle w:val="ListBullet"/>
      </w:pPr>
      <w:r>
        <w:t>No retained predictor is described as an independent ACMG/AMP evidence item, and correlated computational scores are not counted as multiple PP3/BP4 criteria.</w:t>
      </w:r>
    </w:p>
    <w:p>
      <w:pPr>
        <w:pStyle w:val="ListBullet"/>
      </w:pPr>
      <w:r>
        <w:t>A feature-provenance inventory is included in the deposit-ready package so supervised meta-predictors can be distinguished from sequence/evolutionary inputs.</w:t>
      </w:r>
    </w:p>
    <w:p>
      <w:r>
        <w:rPr>
          <w:b/>
        </w:rPr>
        <w:t>Methodological basis:</w:t>
      </w:r>
    </w:p>
    <w:p>
      <w:pPr>
        <w:pStyle w:val="ListBullet"/>
      </w:pPr>
      <w:r>
        <w:t>Pejaver V, et al. Am J Hum Genet. 2022;109:2163–2177. doi:10.1016/j.ajhg.2022.10.013 — ClinGen recommendations for calibration and use of PP3/BP4 computational evidence.</w:t>
      </w:r>
    </w:p>
    <w:p>
      <w:pPr>
        <w:pStyle w:val="ListBullet"/>
      </w:pPr>
      <w:r>
        <w:t>Richards S, et al. Genet Med. 2015;17:405–424 — ACMG/AMP criteria are integrated from multiple evidence classes, not computational evidence alone.</w:t>
      </w:r>
    </w:p>
    <w:p>
      <w:pPr>
        <w:pStyle w:val="Heading1"/>
      </w:pPr>
      <w:r>
        <w:t>6. Anchor-to-application shift</w:t>
      </w:r>
    </w:p>
    <w:p>
      <w:r>
        <w:rPr>
          <w:b/>
        </w:rPr>
        <w:t xml:space="preserve">Reviewer comment (condensed): </w:t>
      </w:r>
      <w:r>
        <w:rPr>
          <w:i/>
        </w:rPr>
        <w:t>The reviewer links 17/25 predictors with |SMD| ≥0.20 and the 12.09% versus 5.14% mixed/uncertain fractions as evidence that internal performance is optimistic for intended use.</w:t>
      </w:r>
    </w:p>
    <w:p>
      <w:r>
        <w:rPr>
          <w:b/>
        </w:rPr>
        <w:t xml:space="preserve">Response: </w:t>
      </w:r>
      <w:r>
        <w:t>We agree that these are convergent indicators of covariate and ascertainment shift and have connected them explicitly. The 12.09%/5.14% ratio is 2.35. We also clarify the inferential boundary: the data demonstrate distributional shift but do not establish the reviewer's specific causal mechanism that variants became classified because computational evidence was decisive. ClinVar assertions may become definite for many non-computational reasons. The practical conclusion is nevertheless the same: internal anchor metrics are not transportable performance estimates for unresolved variants.</w:t>
      </w:r>
    </w:p>
    <w:p>
      <w:r>
        <w:rPr>
          <w:b/>
        </w:rPr>
        <w:t>Changes made in the manuscript:</w:t>
      </w:r>
    </w:p>
    <w:p>
      <w:pPr>
        <w:pStyle w:val="ListBullet"/>
      </w:pPr>
      <w:r>
        <w:t>The Results now report the 2.35-fold mixed-vote difference alongside the SMD profile.</w:t>
      </w:r>
    </w:p>
    <w:p>
      <w:pPr>
        <w:pStyle w:val="ListBullet"/>
      </w:pPr>
      <w:r>
        <w:t>The Discussion explicitly identifies covariate/selection shift and states that its effect on unresolved-variant accuracy cannot be quantified from the current data.</w:t>
      </w:r>
    </w:p>
    <w:p>
      <w:pPr>
        <w:pStyle w:val="ListBullet"/>
      </w:pPr>
      <w:r>
        <w:t>Prospective or temporally reclassified VUS outcomes are identified as the required validation target.</w:t>
      </w:r>
    </w:p>
    <w:p>
      <w:pPr>
        <w:pStyle w:val="Heading1"/>
      </w:pPr>
      <w:r>
        <w:t>7. Gene identity and grouped validation</w:t>
      </w:r>
    </w:p>
    <w:p>
      <w:r>
        <w:rPr>
          <w:b/>
        </w:rPr>
        <w:t xml:space="preserve">Reviewer comment (condensed): </w:t>
      </w:r>
      <w:r>
        <w:rPr>
          <w:i/>
        </w:rPr>
        <w:t>The reviewer argues that extreme gene-specific LP/P prevalences and conservation/context features permit recovery of gene identity and requests per-gene performance.</w:t>
      </w:r>
    </w:p>
    <w:p>
      <w:r>
        <w:rPr>
          <w:b/>
        </w:rPr>
        <w:t xml:space="preserve">Response: </w:t>
      </w:r>
      <w:r>
        <w:t>We accept the underlying concern about gene-level class imbalance and have removed any claim of uniform performance across genes. However, phyloP, phastCons and GERP are nucleotide- or local-region-level conservation measures, not gene-level variables, and the assertion that gene identity carries ‘most’ of the label signal is not demonstrated by the presented evidence. The strict gene-grouped analysis is specifically designed to challenge simple gene memorisation because complete genes are absent from feature selection, tuning, calibration and threshold estimation. We retain the pooled grouped estimate as the stable inferential summary. Several genes contain only one to three LP/P anchors, making standalone per-gene AUROC undefined or extremely unstable; exact gene counts and the variant-level OOF data are therefore the scientifically preferable disclosure. We have made that limitation explicit rather than presenting spuriously precise subgroup estimates.</w:t>
      </w:r>
    </w:p>
    <w:p>
      <w:r>
        <w:rPr>
          <w:b/>
        </w:rPr>
        <w:t>Changes made in the manuscript:</w:t>
      </w:r>
    </w:p>
    <w:p>
      <w:pPr>
        <w:pStyle w:val="ListBullet"/>
      </w:pPr>
      <w:r>
        <w:t>Gene-specific source counts remain tabulated and the manuscript now highlights the sparse strata.</w:t>
      </w:r>
    </w:p>
    <w:p>
      <w:pPr>
        <w:pStyle w:val="ListBullet"/>
      </w:pPr>
      <w:r>
        <w:t>The grouped analysis is described as a pooled sensitivity estimate, not proof of uniform per-gene validity.</w:t>
      </w:r>
    </w:p>
    <w:p>
      <w:pPr>
        <w:pStyle w:val="ListBullet"/>
      </w:pPr>
      <w:r>
        <w:t>The conservation predictors are correctly described as locus-level variables that may indirectly encode locus/gene information.</w:t>
      </w:r>
    </w:p>
    <w:p>
      <w:pPr>
        <w:pStyle w:val="ListBullet"/>
      </w:pPr>
      <w:r>
        <w:t>The deposit-ready specification requires release of the variant-level OOF file so any reader can compute per-gene counts with appropriate uncertainty.</w:t>
      </w:r>
    </w:p>
    <w:p>
      <w:pPr>
        <w:pStyle w:val="Heading1"/>
      </w:pPr>
      <w:r>
        <w:t>8. Asymmetric opposite-direction errors</w:t>
      </w:r>
    </w:p>
    <w:p>
      <w:r>
        <w:rPr>
          <w:b/>
        </w:rPr>
        <w:t xml:space="preserve">Reviewer comment (condensed): </w:t>
      </w:r>
      <w:r>
        <w:rPr>
          <w:i/>
        </w:rPr>
        <w:t>The reviewer notes that 34/973 LP/P anchors were assigned to the B/LB direction versus 17/1,187 B/LB anchors assigned to the LP/P direction.</w:t>
      </w:r>
    </w:p>
    <w:p>
      <w:r>
        <w:rPr>
          <w:b/>
        </w:rPr>
        <w:t xml:space="preserve">Response: </w:t>
      </w:r>
      <w:r>
        <w:t>We agree and thank the reviewer for requiring this clinically important asymmetry to be made explicit. The ratio is 2.44. This is not a clinical false-benign rate because HBOCpred does not issue ACMG/AMP classifications, but the prior label ‘predicted B/LB’ carried an avoidable clinical implication. We therefore changed the label and added a direct warning against downgrading variants on the basis of V0.</w:t>
      </w:r>
    </w:p>
    <w:p>
      <w:r>
        <w:rPr>
          <w:b/>
        </w:rPr>
        <w:t>Changes made in the manuscript:</w:t>
      </w:r>
    </w:p>
    <w:p>
      <w:pPr>
        <w:pStyle w:val="ListBullet"/>
      </w:pPr>
      <w:r>
        <w:t>The 3.49% versus 1.43% asymmetry and 2.44-fold ratio are now discussed in the main Discussion.</w:t>
      </w:r>
    </w:p>
    <w:p>
      <w:pPr>
        <w:pStyle w:val="ListBullet"/>
      </w:pPr>
      <w:r>
        <w:t>‘Predicted B/LB’ is replaced with ‘unanimous B/LB-directed (V0)’.</w:t>
      </w:r>
    </w:p>
    <w:p>
      <w:pPr>
        <w:pStyle w:val="ListBullet"/>
      </w:pPr>
      <w:r>
        <w:t>The manuscript explicitly states that V0 must not be used alone to downgrade a variant or modify patient management.</w:t>
      </w:r>
    </w:p>
    <w:p>
      <w:pPr>
        <w:pStyle w:val="Heading1"/>
      </w:pPr>
      <w:r>
        <w:t>9. Data and code availability</w:t>
      </w:r>
    </w:p>
    <w:p>
      <w:r>
        <w:rPr>
          <w:b/>
        </w:rPr>
        <w:t xml:space="preserve">Reviewer comment (condensed): </w:t>
      </w:r>
      <w:r>
        <w:rPr>
          <w:i/>
        </w:rPr>
        <w:t>The reviewer requests the 25-predictor matrix, genes, folds, out-of-fold predictions, frozen models and regeneration scripts before further review.</w:t>
      </w:r>
    </w:p>
    <w:p>
      <w:r>
        <w:rPr>
          <w:b/>
        </w:rPr>
        <w:t xml:space="preserve">Response: </w:t>
      </w:r>
      <w:r>
        <w:t>We agree with the reproducibility principle. A deposit-ready package has been created from the materials supplied in this revision, including the 2,160-anchor public-data matrix where recoverable, gene/source labels, a feature-provenance table, data dictionary and manifest. We have not claimed that unavailable files were deposited: the original fold assignments, exact out-of-fold learner outputs, frozen fitted objects and regeneration scripts must be exported from the locked analysis workspace before resubmission. The revised Data and Code Availability statements now require deposition in a versioned DOI-bearing repository before further review and contain an explicit insertion field for the DOI/reviewer URL. The prior ‘after publication’ language has been deleted.</w:t>
      </w:r>
    </w:p>
    <w:p>
      <w:r>
        <w:rPr>
          <w:b/>
        </w:rPr>
        <w:t>Changes made in the manuscript:</w:t>
      </w:r>
    </w:p>
    <w:p>
      <w:pPr>
        <w:pStyle w:val="ListBullet"/>
      </w:pPr>
      <w:r>
        <w:t>A local DOI-deposit-ready ZIP has been generated.</w:t>
      </w:r>
    </w:p>
    <w:p>
      <w:pPr>
        <w:pStyle w:val="ListBullet"/>
      </w:pPr>
      <w:r>
        <w:t>The manuscript now lists the minimum required repository contents explicitly.</w:t>
      </w:r>
    </w:p>
    <w:p>
      <w:pPr>
        <w:pStyle w:val="ListBullet"/>
      </w:pPr>
      <w:r>
        <w:t>The UniProt sentence implying inability to reproduce the analysis from the authors' own materials has been removed; the analysis is simply stated to have been dropped because its grouping was incompatible and nonessential.</w:t>
      </w:r>
    </w:p>
    <w:p>
      <w:pPr>
        <w:pStyle w:val="ListBullet"/>
      </w:pPr>
      <w:r>
        <w:t>No claim of TRIPOD+AI-compliant reproducibility should be retained until the DOI/reviewer-access field is completed.</w:t>
      </w:r>
    </w:p>
    <w:p>
      <w:r>
        <w:rPr>
          <w:b/>
        </w:rPr>
        <w:t>Methodological basis:</w:t>
      </w:r>
    </w:p>
    <w:p>
      <w:pPr>
        <w:pStyle w:val="ListBullet"/>
      </w:pPr>
      <w:r>
        <w:t>Collins GS, et al. TRIPOD+AI statement. BMJ. 2024;385:e078378. doi:10.1136/bmj-2023-078378.</w:t>
      </w:r>
    </w:p>
    <w:p>
      <w:pPr>
        <w:pStyle w:val="Heading1"/>
      </w:pPr>
      <w:r>
        <w:t>10. Software version, Reliability_index and transductive missingness filter</w:t>
      </w:r>
    </w:p>
    <w:p>
      <w:r>
        <w:rPr>
          <w:b/>
        </w:rPr>
        <w:t xml:space="preserve">Reviewer comment (condensed): </w:t>
      </w:r>
      <w:r>
        <w:rPr>
          <w:i/>
        </w:rPr>
        <w:t>The reviewer identifies an invalid ‘RStudio 4.13’ version, questions Reliability_index and notes that the &gt;40% missingness filter used the application archive before resampling.</w:t>
      </w:r>
    </w:p>
    <w:p>
      <w:r>
        <w:rPr>
          <w:b/>
        </w:rPr>
        <w:t xml:space="preserve">Response: </w:t>
      </w:r>
      <w:r>
        <w:t>The software-version statement has been corrected to the locked Python environment. We agree that Reliability_index is annotation-quality/context metadata and may correlate with ascertainment intensity. Because it is part of the frozen model and was selected in 24/25 outer folds, silently deleting it after review would itself constitute post hoc model alteration. We therefore retain it transparently, classify it as context/quality rather than pathogenicity evidence and add ascertainment bias as a limitation. We also agree that use of the unlabelled application archive for the initial missingness screen is transductive. It is outcome-blind and cannot leak labels, but it is not fully inductive feature eligibility. The Methods and Abstract now state this explicitly and distinguish it from the subsequent fold-local supervised pipeline.</w:t>
      </w:r>
    </w:p>
    <w:p>
      <w:r>
        <w:rPr>
          <w:b/>
        </w:rPr>
        <w:t>Changes made in the manuscript:</w:t>
      </w:r>
    </w:p>
    <w:p>
      <w:pPr>
        <w:pStyle w:val="ListBullet"/>
      </w:pPr>
      <w:r>
        <w:t>‘RStudio 4.13’ is replaced with Python 3.12.13, NumPy 2.3.5, pandas 2.3.3 and scikit-learn 1.8.0.</w:t>
      </w:r>
    </w:p>
    <w:p>
      <w:pPr>
        <w:pStyle w:val="ListBullet"/>
      </w:pPr>
      <w:r>
        <w:t>Reliability_index is described as context/quality metadata and its possible ascertainment association is disclosed.</w:t>
      </w:r>
    </w:p>
    <w:p>
      <w:pPr>
        <w:pStyle w:val="ListBullet"/>
      </w:pPr>
      <w:r>
        <w:t>The pre-resampling application-missingness screen is explicitly labelled outcome-blind transductive feature eligibility.</w:t>
      </w:r>
    </w:p>
    <w:p>
      <w:pPr>
        <w:pStyle w:val="ListBullet"/>
      </w:pPr>
      <w:r>
        <w:t>Claims that all preprocessing was fully fold-local have been narrowed to the fitted supervised preprocessing/selection steps.</w:t>
      </w:r>
    </w:p>
    <w:p>
      <w:pPr>
        <w:pStyle w:val="Heading1"/>
      </w:pPr>
      <w:r>
        <w:t>References cited in this response</w:t>
      </w:r>
    </w:p>
    <w:p>
      <w:pPr>
        <w:pStyle w:val="ListNumber"/>
      </w:pPr>
      <w:r>
        <w:t>Richards S, Aziz N, Bale S, et al. Standards and guidelines for the interpretation of sequence variants. Genetics in Medicine. 2015;17:405–424. doi:10.1038/gim.2015.30.</w:t>
      </w:r>
    </w:p>
    <w:p>
      <w:pPr>
        <w:pStyle w:val="ListNumber"/>
      </w:pPr>
      <w:r>
        <w:t>Ghosh R, Harrison SM, Rehm HL, Plon SE, Biesecker LG. Updated recommendation for the benign stand-alone ACMG/AMP criterion. Human Mutation. 2018;39:1525–1530. doi:10.1002/humu.23642.</w:t>
      </w:r>
    </w:p>
    <w:p>
      <w:pPr>
        <w:pStyle w:val="ListNumber"/>
      </w:pPr>
      <w:r>
        <w:t>Karczewski KJ, Francioli LC, Tiao G, et al. The mutational constraint spectrum quantified from variation in 141,456 humans. Nature. 2020;581:434–443. doi:10.1038/s41586-020-2308-7.</w:t>
      </w:r>
    </w:p>
    <w:p>
      <w:pPr>
        <w:pStyle w:val="ListNumber"/>
      </w:pPr>
      <w:r>
        <w:t>Pejaver V, Byrne AB, Feng B-J, et al. Calibration of computational tools for missense variant pathogenicity classification and ClinGen recommendations for PP3/BP4 criterion application. American Journal of Human Genetics. 2022;109:2163–2177. doi:10.1016/j.ajhg.2022.10.013.</w:t>
      </w:r>
    </w:p>
    <w:p>
      <w:pPr>
        <w:pStyle w:val="ListNumber"/>
      </w:pPr>
      <w:r>
        <w:t>Collins GS, Moons KGM, Dhiman P, et al. TRIPOD+AI statement: updated guidance for reporting clinical prediction models that use regression or machine learning methods. BMJ. 2024;385:e078378. doi:10.1136/bmj-2023-078378.</w:t>
      </w:r>
    </w:p>
    <w:p>
      <w:pPr>
        <w:pStyle w:val="ListNumber"/>
      </w:pPr>
      <w:r>
        <w:t>Genome Aggregation Database (gnomAD), official resource description. https://gnomad.broadinstitute.org/about. Accessed 2 September 2026.</w:t>
      </w:r>
    </w:p>
    <w:p>
      <w:pPr>
        <w:pStyle w:val="Heading1"/>
      </w:pPr>
      <w:r>
        <w:t>Mandatory author checks before submission</w:t>
      </w:r>
    </w:p>
    <w:p>
      <w:pPr>
        <w:pStyle w:val="ListBullet"/>
      </w:pPr>
      <w:r>
        <w:t>Insert the DOI and private reviewer-access URL after uploading the reproducibility ZIP to Zenodo, OSF or another persistent repository.</w:t>
      </w:r>
    </w:p>
    <w:p>
      <w:pPr>
        <w:pStyle w:val="ListBullet"/>
      </w:pPr>
      <w:r>
        <w:t>Export and add the exact original fold assignments, OOF learner probabilities/votes, frozen preprocessing/model objects and regeneration scripts from the locked analysis workspace. These files were not present in the supplied Word/PDF package and are not falsely represented as deposited.</w:t>
      </w:r>
    </w:p>
    <w:p>
      <w:pPr>
        <w:pStyle w:val="ListBullet"/>
      </w:pPr>
      <w:r>
        <w:t>Verify from the original gnomAD selection table that every proxy met the stated &gt;5% screen in the intended population field and document the population, allele number, allele count and filtering status.</w:t>
      </w:r>
    </w:p>
    <w:p>
      <w:pPr>
        <w:pStyle w:val="ListBullet"/>
      </w:pPr>
      <w:r>
        <w:t>Confirm that the journal's final uploaded manuscript and supplement use the unified V0/V1–V3/V4 terminology consistently.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