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jc w:val="center"/>
      </w:pPr>
      <w:r>
        <w:rPr>
          <w:rFonts w:ascii="Arial" w:cs="Arial" w:eastAsia="Arial" w:hAnsi="Arial"/>
          <w:b/>
          <w:bCs/>
          <w:color w:val="5A6A7A"/>
          <w:spacing w:val="100"/>
          <w:sz w:val="20"/>
          <w:szCs w:val="20"/>
        </w:rPr>
        <w:t xml:space="preserve">GRADUATION RESEARCH REPORT</w:t>
      </w:r>
    </w:p>
    <w:p>
      <w:pPr>
        <w:spacing w:after="360"/>
      </w:pPr>
    </w:p>
    <w:p>
      <w:pPr>
        <w:spacing w:after="120"/>
        <w:jc w:val="center"/>
      </w:pPr>
      <w:r>
        <w:rPr>
          <w:rFonts w:ascii="Arial" w:cs="Arial" w:eastAsia="Arial" w:hAnsi="Arial"/>
          <w:b/>
          <w:bCs/>
          <w:color w:val="0D2137"/>
          <w:sz w:val="44"/>
          <w:szCs w:val="44"/>
        </w:rPr>
        <w:t xml:space="preserve">Computational Validation of</w:t>
      </w:r>
    </w:p>
    <w:p>
      <w:pPr>
        <w:spacing w:after="120"/>
        <w:jc w:val="center"/>
      </w:pPr>
      <w:r>
        <w:rPr>
          <w:rFonts w:ascii="Arial" w:cs="Arial" w:eastAsia="Arial" w:hAnsi="Arial"/>
          <w:b/>
          <w:bCs/>
          <w:color w:val="1F4E79"/>
          <w:sz w:val="52"/>
          <w:szCs w:val="52"/>
        </w:rPr>
        <w:t xml:space="preserve">USAG-1 (SOSTDC1)</w:t>
      </w:r>
    </w:p>
    <w:p>
      <w:pPr>
        <w:spacing w:after="200"/>
        <w:jc w:val="center"/>
      </w:pPr>
      <w:r>
        <w:rPr>
          <w:rFonts w:ascii="Arial" w:cs="Arial" w:eastAsia="Arial" w:hAnsi="Arial"/>
          <w:b/>
          <w:bCs/>
          <w:color w:val="0D2137"/>
          <w:sz w:val="44"/>
          <w:szCs w:val="44"/>
        </w:rPr>
        <w:t xml:space="preserve">as a Human Tooth Regeneration Target</w:t>
      </w:r>
    </w:p>
    <w:p>
      <w:pPr>
        <w:pBdr>
          <w:bottom w:val="single" w:color="1F4E79" w:sz="6" w:space="1"/>
        </w:pBdr>
        <w:spacing w:after="160"/>
      </w:pPr>
      <w:r>
        <w:rPr>
          <w:sz w:val="2"/>
          <w:szCs w:val="2"/>
        </w:rPr>
        <w:t xml:space="preserve"/>
      </w:r>
    </w:p>
    <w:p>
      <w:pPr>
        <w:spacing w:after="160"/>
      </w:pPr>
    </w:p>
    <w:p>
      <w:pPr>
        <w:spacing w:after="160"/>
        <w:jc w:val="center"/>
      </w:pPr>
      <w:r>
        <w:rPr>
          <w:rFonts w:ascii="Arial" w:cs="Arial" w:eastAsia="Arial" w:hAnsi="Arial"/>
          <w:i/>
          <w:iCs/>
          <w:color w:val="5A6A7A"/>
          <w:sz w:val="24"/>
          <w:szCs w:val="24"/>
        </w:rPr>
        <w:t xml:space="preserve">A Six-Module Bioinformatics Investigation Motivated by the TRG035 Phase I Clinical Trial</w:t>
      </w:r>
    </w:p>
    <w:p>
      <w:pPr>
        <w:spacing w:after="4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A7A"/>
                <w:sz w:val="20"/>
                <w:szCs w:val="20"/>
              </w:rPr>
              <w:t xml:space="preserve">Programme</w:t>
            </w:r>
          </w:p>
          <w:p>
            <w:r>
              <w:rPr>
                <w:rFonts w:ascii="Arial" w:cs="Arial" w:eastAsia="Arial" w:hAnsi="Arial"/>
                <w:color w:val="1A1A2E"/>
                <w:sz w:val="22"/>
                <w:szCs w:val="22"/>
              </w:rPr>
              <w:t xml:space="preserve">MSc Bioinformatics</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A7A"/>
                <w:sz w:val="20"/>
                <w:szCs w:val="20"/>
              </w:rPr>
              <w:t xml:space="preserve">Academic Year</w:t>
            </w:r>
          </w:p>
          <w:p>
            <w:r>
              <w:rPr>
                <w:rFonts w:ascii="Arial" w:cs="Arial" w:eastAsia="Arial" w:hAnsi="Arial"/>
                <w:color w:val="1A1A2E"/>
                <w:sz w:val="22"/>
                <w:szCs w:val="22"/>
              </w:rPr>
              <w:t xml:space="preserve">2025 – 2026</w:t>
            </w:r>
          </w:p>
        </w:tc>
      </w:tr>
      <w:tr>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A7A"/>
                <w:sz w:val="20"/>
                <w:szCs w:val="20"/>
              </w:rPr>
              <w:t xml:space="preserve">Primary Gene Target</w:t>
            </w:r>
          </w:p>
          <w:p>
            <w:r>
              <w:rPr>
                <w:rFonts w:ascii="Arial" w:cs="Arial" w:eastAsia="Arial" w:hAnsi="Arial"/>
                <w:color w:val="1A1A2E"/>
                <w:sz w:val="22"/>
                <w:szCs w:val="22"/>
              </w:rPr>
              <w:t xml:space="preserve">SOSTDC1 / USAG-1 (UniProt: Q6X4U4)</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A7A"/>
                <w:sz w:val="20"/>
                <w:szCs w:val="20"/>
              </w:rPr>
              <w:t xml:space="preserve">Clinical Context</w:t>
            </w:r>
          </w:p>
          <w:p>
            <w:r>
              <w:rPr>
                <w:rFonts w:ascii="Arial" w:cs="Arial" w:eastAsia="Arial" w:hAnsi="Arial"/>
                <w:color w:val="1A1A2E"/>
                <w:sz w:val="22"/>
                <w:szCs w:val="22"/>
              </w:rPr>
              <w:t xml:space="preserve">TRG035 Phase I — jRCT2051240154</w:t>
            </w:r>
          </w:p>
        </w:tc>
      </w:tr>
    </w:tbl>
    <w:p>
      <w:pPr>
        <w:spacing w:after="960"/>
      </w:pPr>
    </w:p>
    <w:p>
      <w:pPr>
        <w:pBdr>
          <w:top w:val="single" w:color="BFCFE0" w:sz="4"/>
        </w:pBdr>
        <w:spacing w:before="160"/>
        <w:jc w:val="center"/>
      </w:pPr>
      <w:r>
        <w:rPr>
          <w:rFonts w:ascii="Arial" w:cs="Arial" w:eastAsia="Arial" w:hAnsi="Arial"/>
          <w:color w:val="5A6A7A"/>
          <w:sz w:val="20"/>
          <w:szCs w:val="20"/>
        </w:rPr>
        <w:t xml:space="preserve">June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0D213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0D2137"/>
          <w:sz w:val="36"/>
          <w:szCs w:val="36"/>
        </w:rPr>
        <w:t xml:space="preserve">Abstract</w:t>
      </w:r>
    </w:p>
    <w:p>
      <w:pPr>
        <w:pBdr>
          <w:bottom w:val="single" w:color="1F4E79" w:sz="6" w:space="1"/>
        </w:pBdr>
        <w:spacing w:after="16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4"/>
              <w:bottom w:val="single" w:color="1F4E79" w:sz="4"/>
              <w:right w:val="single" w:color="1F4E79" w:sz="4"/>
            </w:tcBorders>
            <w:shd w:fill="EBF5F0" w:val="clear"/>
            <w:tcMar>
              <w:top w:type="dxa" w:w="200"/>
              <w:left w:type="dxa" w:w="280"/>
              <w:bottom w:type="dxa" w:w="200"/>
              <w:right w:type="dxa" w:w="280"/>
            </w:tcMar>
          </w:tcPr>
          <w:p>
            <w:pPr>
              <w:spacing w:after="120" w:line="340"/>
              <w:jc w:val="both"/>
            </w:pPr>
            <w:r>
              <w:rPr>
                <w:rFonts w:ascii="Arial" w:cs="Arial" w:eastAsia="Arial" w:hAnsi="Arial"/>
                <w:color w:val="1A1A2E"/>
                <w:sz w:val="21"/>
                <w:szCs w:val="21"/>
              </w:rPr>
              <w:t xml:space="preserve">USAG-1 (Uterine Sensitisation-Associated Gene-1), encoded by SOSTDC1, is a dual antagonist of bone morphogenetic protein (BMP) and Wnt signalling pathways — two developmental axes essential for odontogenesis. The TRG035 anti-USAG-1 monoclonal antibody has completed Phase I clinical testing in Japan (jRCT2051240154), enrolling 30 adult men with molar agenesis across five dose levels (0.4–24.0 mg/kg). While the Phase I safety endpoint is now addressable, the translational biological evidence underpinning human tooth regeneration by USAG-1 inhibition remains computationally unvalidated. This report presents a six-module bioinformatics framework designed to independently verify the mechanistic, structural, and translational premises of TRG035. Module 1 mines single-cell RNA-sequencing atlases to confirm SOSTDC1 expression in adult human dental cell populations. Module 2 constructs and analyses the USAG-1 protein–protein interaction network, computing cross-species conservation between human and mouse interactomes. Module 3 performs structural docking of BMP-7 and LRP5/6 peptides onto the AlphaFold2 model of USAG-1, quantifying interface-specific binding free energies. Module 4 characterises SOSTDC1 coding variants from gnomAD v4, mapping pathogenic mutations onto functional domains. Module 5 applies gene-set enrichment analysis to validate BMP/Wnt pathway conservation between Usag1-knockout mouse models and human dental transcriptomes. Module 6 deploys LASSO regression and random forest classification to discover an 11-gene salivary biomarker signature (AUC = 0.89) enabling pharmacodynamic monitoring of TRG035 in Phase II. Together, these modules constitute a comprehensive computational dossier supporting the clinical development of tooth regeneration therapy.</w:t>
            </w:r>
          </w:p>
          <w:p>
            <w:pPr>
              <w:spacing w:after="0" w:before="100"/>
            </w:pPr>
            <w:r>
              <w:rPr>
                <w:rFonts w:ascii="Arial" w:cs="Arial" w:eastAsia="Arial" w:hAnsi="Arial"/>
                <w:b/>
                <w:bCs/>
                <w:color w:val="1F4E79"/>
                <w:sz w:val="20"/>
                <w:szCs w:val="20"/>
              </w:rPr>
              <w:t xml:space="preserve">Keywords: </w:t>
            </w:r>
            <w:r>
              <w:rPr>
                <w:rFonts w:ascii="Arial" w:cs="Arial" w:eastAsia="Arial" w:hAnsi="Arial"/>
                <w:i/>
                <w:iCs/>
                <w:color w:val="1A1A2E"/>
                <w:sz w:val="22"/>
                <w:szCs w:val="22"/>
              </w:rPr>
              <w:t xml:space="preserve">USAG-1, SOSTDC1, tooth regeneration, BMP signalling, Wnt signalling, bioinformatics, scRNA-seq, structural docking, machine learning, TRG035, odontogenesis, hypodontia</w:t>
            </w:r>
          </w:p>
        </w:tc>
      </w:tr>
    </w:tbl>
    <w:p>
      <w:r>
        <w:br w:type="page"/>
      </w:r>
    </w:p>
    <w:p>
      <w:pPr>
        <w:pStyle w:val="Heading1"/>
        <w:spacing w:after="240" w:before="480"/>
      </w:pPr>
      <w:r>
        <w:rPr>
          <w:rFonts w:ascii="Arial" w:cs="Arial" w:eastAsia="Arial" w:hAnsi="Arial"/>
          <w:b/>
          <w:bCs/>
          <w:color w:val="0D2137"/>
          <w:sz w:val="36"/>
          <w:szCs w:val="36"/>
        </w:rPr>
        <w:t xml:space="preserve">1. Introduction</w:t>
      </w:r>
    </w:p>
    <w:p>
      <w:pPr>
        <w:pBdr>
          <w:bottom w:val="single" w:color="1F4E79" w:sz="6" w:space="1"/>
        </w:pBdr>
        <w:spacing w:after="160"/>
      </w:pPr>
      <w:r>
        <w:rPr>
          <w:sz w:val="2"/>
          <w:szCs w:val="2"/>
        </w:rPr>
        <w:t xml:space="preserve"/>
      </w:r>
    </w:p>
    <w:p>
      <w:pPr>
        <w:pStyle w:val="Heading2"/>
        <w:spacing w:after="160" w:before="360"/>
      </w:pPr>
      <w:r>
        <w:rPr>
          <w:rFonts w:ascii="Arial" w:cs="Arial" w:eastAsia="Arial" w:hAnsi="Arial"/>
          <w:b/>
          <w:bCs/>
          <w:color w:val="1F4E79"/>
          <w:sz w:val="28"/>
          <w:szCs w:val="28"/>
        </w:rPr>
        <w:t xml:space="preserve">1.1 The Clinical Problem: Tooth Agenesis and Regenerative Dentistry</w:t>
      </w:r>
    </w:p>
    <w:p>
      <w:pPr>
        <w:spacing w:after="160" w:line="360"/>
        <w:jc w:val="both"/>
      </w:pPr>
      <w:r>
        <w:rPr>
          <w:rFonts w:ascii="Arial" w:cs="Arial" w:eastAsia="Arial" w:hAnsi="Arial"/>
          <w:color w:val="1A1A2E"/>
          <w:sz w:val="22"/>
          <w:szCs w:val="22"/>
        </w:rPr>
        <w:t xml:space="preserve">Tooth agenesis — the congenital absence of one or more permanent teeth — is the most common developmental dental anomaly in humans, affecting approximately 10% of the population when third molars are excluded, and up to 0.1% in its severe congenital form, anodontia or oligodontia </w:t>
      </w:r>
      <w:r>
        <w:rPr>
          <w:rFonts w:ascii="Arial" w:cs="Arial" w:eastAsia="Arial" w:hAnsi="Arial"/>
          <w:color w:val="1A1A2E"/>
          <w:sz w:val="22"/>
          <w:szCs w:val="22"/>
        </w:rPr>
      </w:r>
      <w:r>
        <w:rPr>
          <w:rFonts w:ascii="Arial" w:cs="Arial" w:eastAsia="Arial" w:hAnsi="Arial"/>
          <w:color w:val="1A1A2E"/>
          <w:sz w:val="22"/>
          <w:szCs w:val="22"/>
        </w:rPr>
        <w:t xml:space="preserve">. The condition has substantial functional and psychosocial impact, impairing mastication, speech, and facial aesthetics, while current management options — dental implants and fixed prostheses — are expensive, not biologically authentic, and require life-long maintenance. No regenerative biological therapy currently exists for clinical use.</w:t>
      </w:r>
    </w:p>
    <w:p>
      <w:pPr>
        <w:spacing w:after="160" w:line="360"/>
        <w:jc w:val="both"/>
      </w:pPr>
      <w:r>
        <w:rPr>
          <w:rFonts w:ascii="Arial" w:cs="Arial" w:eastAsia="Arial" w:hAnsi="Arial"/>
          <w:color w:val="1A1A2E"/>
          <w:sz w:val="22"/>
          <w:szCs w:val="22"/>
        </w:rPr>
        <w:t xml:space="preserve">The intellectual appeal of tooth regeneration rests on a well-established biological fact: permanent teeth develop from the same odontogenic signalling programme as deciduous teeth, and rudimentary tooth germs — arrested developmental structures — persist in the adult jaw of multiple mammalian species, including humans. The central challenge is not creating new biological material but rather removing the developmental brakes that hold these rudimentary structures in arrest. USAG-1 has emerged as a primary candidate for precisely this inhibitory role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80"/>
      </w:pPr>
    </w:p>
    <w:p>
      <w:pPr>
        <w:pStyle w:val="Heading2"/>
        <w:spacing w:after="160" w:before="360"/>
      </w:pPr>
      <w:r>
        <w:rPr>
          <w:rFonts w:ascii="Arial" w:cs="Arial" w:eastAsia="Arial" w:hAnsi="Arial"/>
          <w:b/>
          <w:bCs/>
          <w:color w:val="1F4E79"/>
          <w:sz w:val="28"/>
          <w:szCs w:val="28"/>
        </w:rPr>
        <w:t xml:space="preserve">1.2 USAG-1 (SOSTDC1): Biology and Mechanistic Role</w:t>
      </w:r>
    </w:p>
    <w:p>
      <w:pPr>
        <w:spacing w:after="160" w:line="360"/>
        <w:jc w:val="both"/>
      </w:pPr>
      <w:r>
        <w:rPr>
          <w:rFonts w:ascii="Arial" w:cs="Arial" w:eastAsia="Arial" w:hAnsi="Arial"/>
          <w:color w:val="1A1A2E"/>
          <w:sz w:val="22"/>
          <w:szCs w:val="22"/>
        </w:rPr>
        <w:t xml:space="preserve">USAG-1 (Uterine Sensitisation-Associated Gene-1), encoded by the gene </w:t>
      </w:r>
      <w:r>
        <w:rPr>
          <w:rFonts w:ascii="Arial" w:cs="Arial" w:eastAsia="Arial" w:hAnsi="Arial"/>
          <w:color w:val="1A1A2E"/>
          <w:sz w:val="22"/>
          <w:szCs w:val="22"/>
        </w:rPr>
      </w:r>
      <w:r>
        <w:rPr>
          <w:rFonts w:ascii="Arial" w:cs="Arial" w:eastAsia="Arial" w:hAnsi="Arial"/>
          <w:color w:val="1A1A2E"/>
          <w:sz w:val="22"/>
          <w:szCs w:val="22"/>
        </w:rPr>
        <w:t xml:space="preserve"> (Sclerostin Domain-Containing Protein 1), is a secreted protein belonging to the DAN/Cerberus family of bone morphogenetic protein antagonists. It was first characterised in uterine tissue but is now known to be most highly expressed in the kidney, with significant expression in gingival and dental tissues identified by more recent transcriptomic profiling </w:t>
      </w: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Mechanistically, USAG-1 exerts dual inhibitory activity on two of the most critical signalling axes in tooth development. First, it directly binds BMP-2, BMP-4, and BMP-7 — members of the TGF-beta superfamily — preventing their engagement with cognate type I (BMPR1A/ALK3, ACVR1/ALK2) and type II (BMPR2) receptors, thereby suppressing SMAD1/5/9 phosphorylation and downstream transcriptional activation of odontogenic genes including Msx1, Dlx2, and Runx2 </w:t>
      </w:r>
      <w:r>
        <w:rPr>
          <w:rFonts w:ascii="Arial" w:cs="Arial" w:eastAsia="Arial" w:hAnsi="Arial"/>
          <w:color w:val="1A1A2E"/>
          <w:sz w:val="22"/>
          <w:szCs w:val="22"/>
        </w:rPr>
      </w:r>
      <w:r>
        <w:rPr>
          <w:rFonts w:ascii="Arial" w:cs="Arial" w:eastAsia="Arial" w:hAnsi="Arial"/>
          <w:color w:val="1A1A2E"/>
          <w:sz w:val="22"/>
          <w:szCs w:val="22"/>
        </w:rPr>
        <w:t xml:space="preserve">. Second, USAG-1 interacts with the Wnt co-receptor LRP5/6, modulating canonical beta-catenin signalling, which independently governs tooth germ budding and morphogenesis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The consequence of this dual inhibition is developmental arrest of rudimentary tooth germs. When USAG-1 function is abrogated — either by genetic knockout or by anti-USAG-1 antibody administration — both BMP and Wnt signalling are restored in the tooth-forming epithelium, rescuing arrested germs and driving them through the morphogenetic stages of the cap and bell stages to produce erupted supernumerary teeth </w:t>
      </w: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80"/>
      </w:pPr>
    </w:p>
    <w:p>
      <w:pPr>
        <w:pStyle w:val="Heading2"/>
        <w:spacing w:after="160" w:before="360"/>
      </w:pPr>
      <w:r>
        <w:rPr>
          <w:rFonts w:ascii="Arial" w:cs="Arial" w:eastAsia="Arial" w:hAnsi="Arial"/>
          <w:b/>
          <w:bCs/>
          <w:color w:val="1F4E79"/>
          <w:sz w:val="28"/>
          <w:szCs w:val="28"/>
        </w:rPr>
        <w:t xml:space="preserve">1.3 Preclinical Evidence: From Mouse Knockouts to Antibody Therapy</w:t>
      </w:r>
    </w:p>
    <w:p>
      <w:pPr>
        <w:spacing w:after="160" w:line="360"/>
        <w:jc w:val="both"/>
      </w:pPr>
      <w:r>
        <w:rPr>
          <w:rFonts w:ascii="Arial" w:cs="Arial" w:eastAsia="Arial" w:hAnsi="Arial"/>
          <w:color w:val="1A1A2E"/>
          <w:sz w:val="22"/>
          <w:szCs w:val="22"/>
        </w:rPr>
        <w:t xml:space="preserve">The biological case for USAG-1 as a tooth regeneration target was established in a sequence of landmark animal studies. Kiso et al. (2014) demonstrated that USAG-1 suppresses deciduous incisors by inhibiting BMP-7 function, and that USAG-1 abrogation rescued apoptotic elimination of odontogenic mesenchymal cells in a mouse model </w:t>
      </w:r>
      <w:r>
        <w:rPr>
          <w:rFonts w:ascii="Arial" w:cs="Arial" w:eastAsia="Arial" w:hAnsi="Arial"/>
          <w:color w:val="1A1A2E"/>
          <w:sz w:val="22"/>
          <w:szCs w:val="22"/>
        </w:rPr>
      </w:r>
      <w:r>
        <w:rPr>
          <w:rFonts w:ascii="Arial" w:cs="Arial" w:eastAsia="Arial" w:hAnsi="Arial"/>
          <w:color w:val="1A1A2E"/>
          <w:sz w:val="22"/>
          <w:szCs w:val="22"/>
        </w:rPr>
        <w:t xml:space="preserve">. Crucially, BMP signalling in the rudimentary maxillary incisor, assessed by Msx1 and Dlx2 expression and SMAD phosphorylation status, was significantly enhanced in Usag1-null mice.</w:t>
      </w:r>
    </w:p>
    <w:p>
      <w:pPr>
        <w:spacing w:after="160" w:line="360"/>
        <w:jc w:val="both"/>
      </w:pPr>
      <w:r>
        <w:rPr>
          <w:rFonts w:ascii="Arial" w:cs="Arial" w:eastAsia="Arial" w:hAnsi="Arial"/>
          <w:color w:val="1A1A2E"/>
          <w:sz w:val="22"/>
          <w:szCs w:val="22"/>
        </w:rPr>
        <w:t xml:space="preserve">The translational breakthrough came with Murashima-Suginami et al. (2021) in </w:t>
      </w:r>
      <w:r>
        <w:rPr>
          <w:rFonts w:ascii="Arial" w:cs="Arial" w:eastAsia="Arial" w:hAnsi="Arial"/>
          <w:color w:val="1A1A2E"/>
          <w:sz w:val="22"/>
          <w:szCs w:val="22"/>
        </w:rPr>
      </w:r>
      <w:r>
        <w:rPr>
          <w:rFonts w:ascii="Arial" w:cs="Arial" w:eastAsia="Arial" w:hAnsi="Arial"/>
          <w:color w:val="1A1A2E"/>
          <w:sz w:val="22"/>
          <w:szCs w:val="22"/>
        </w:rPr>
        <w:t xml:space="preserve">, which demonstrated that a single systemic dose of an anti-USAG-1 monoclonal antibody could rescue congenital tooth agenesis caused by diverse genetic backgrounds in mice </w:t>
      </w:r>
      <w:r>
        <w:rPr>
          <w:rFonts w:ascii="Arial" w:cs="Arial" w:eastAsia="Arial" w:hAnsi="Arial"/>
          <w:color w:val="1A1A2E"/>
          <w:sz w:val="22"/>
          <w:szCs w:val="22"/>
        </w:rPr>
      </w:r>
      <w:r>
        <w:rPr>
          <w:rFonts w:ascii="Arial" w:cs="Arial" w:eastAsia="Arial" w:hAnsi="Arial"/>
          <w:color w:val="1A1A2E"/>
          <w:sz w:val="22"/>
          <w:szCs w:val="22"/>
        </w:rPr>
        <w:t xml:space="preserve">. Critically, this study generated multiple antibody classes that differentially targeted the BMP-binding or LRP5/6-binding interface of USAG-1. Antibodies that selectively blocked USAG-1's BMP-binding interface — while leaving LRP5/6 interaction intact — proved most effective at driving tooth formation, an observation with direct structural and pharmacological implications for antibody design. This selectivity principle underpins the design rationale for TRG035.</w:t>
      </w:r>
    </w:p>
    <w:p>
      <w:pPr>
        <w:spacing w:after="80"/>
      </w:pPr>
    </w:p>
    <w:p>
      <w:pPr>
        <w:pStyle w:val="Heading2"/>
        <w:spacing w:after="160" w:before="360"/>
      </w:pPr>
      <w:r>
        <w:rPr>
          <w:rFonts w:ascii="Arial" w:cs="Arial" w:eastAsia="Arial" w:hAnsi="Arial"/>
          <w:b/>
          <w:bCs/>
          <w:color w:val="1F4E79"/>
          <w:sz w:val="28"/>
          <w:szCs w:val="28"/>
        </w:rPr>
        <w:t xml:space="preserve">1.4 The TRG035 Phase I Clinical Trial</w:t>
      </w:r>
    </w:p>
    <w:p>
      <w:pPr>
        <w:spacing w:after="160" w:line="360"/>
        <w:jc w:val="both"/>
      </w:pPr>
      <w:r>
        <w:rPr>
          <w:rFonts w:ascii="Arial" w:cs="Arial" w:eastAsia="Arial" w:hAnsi="Arial"/>
          <w:color w:val="1A1A2E"/>
          <w:sz w:val="22"/>
          <w:szCs w:val="22"/>
        </w:rPr>
        <w:t xml:space="preserve">Building on this preclinical evidence, Toregem Biopharma Inc. initiated the first-in-human study of TRG035, an anti-USAG-1 monoclonal antibody, registered on Japan's national clinical trials portal (jRCT2051240154). This Phase I, single-dose, dose-escalation study enrolled 30 healthy adult male volunteers aged 30 to under 65 years, each missing at least one molar. Five dose levels were evaluated: 0.4, 1.2, 4.0, 12.0, and 24.0 mg/kg. The primary endpoint was safety and tolerability; pharmacokinetics and preliminary pharmacodynamics were assessed as secondary endpoints.</w:t>
      </w:r>
    </w:p>
    <w:p>
      <w:pPr>
        <w:spacing w:after="160" w:line="360"/>
        <w:jc w:val="both"/>
      </w:pPr>
      <w:r>
        <w:rPr>
          <w:rFonts w:ascii="Arial" w:cs="Arial" w:eastAsia="Arial" w:hAnsi="Arial"/>
          <w:color w:val="1A1A2E"/>
          <w:sz w:val="22"/>
          <w:szCs w:val="22"/>
        </w:rPr>
        <w:t xml:space="preserve">The trial listing is now recorded as complete on the jRCT portal. While safety results have not yet been published at the time of this report, the transition from animal studies to human testing represents a pivotal moment requiring rigorous independent computational validation of the underlying biological mechanisms — which this project provides.</w:t>
      </w:r>
    </w:p>
    <w:p>
      <w:pPr>
        <w:spacing w:after="80"/>
      </w:pPr>
    </w:p>
    <w:p>
      <w:pPr>
        <w:pStyle w:val="Heading2"/>
        <w:spacing w:after="160" w:before="360"/>
      </w:pPr>
      <w:r>
        <w:rPr>
          <w:rFonts w:ascii="Arial" w:cs="Arial" w:eastAsia="Arial" w:hAnsi="Arial"/>
          <w:b/>
          <w:bCs/>
          <w:color w:val="1F4E79"/>
          <w:sz w:val="28"/>
          <w:szCs w:val="28"/>
        </w:rPr>
        <w:t xml:space="preserve">1.5 Rationale and Objectives of This Study</w:t>
      </w:r>
    </w:p>
    <w:p>
      <w:pPr>
        <w:spacing w:after="160" w:line="360"/>
        <w:jc w:val="both"/>
      </w:pPr>
      <w:r>
        <w:rPr>
          <w:rFonts w:ascii="Arial" w:cs="Arial" w:eastAsia="Arial" w:hAnsi="Arial"/>
          <w:color w:val="1A1A2E"/>
          <w:sz w:val="22"/>
          <w:szCs w:val="22"/>
        </w:rPr>
        <w:t xml:space="preserve">Despite the compelling preclinical evidence, several critical computational questions remain unanswered. No published study has cross-validated USAG-1's dual BMP/Wnt inhibition mechanism using current human single-cell transcriptomic atlases, population-scale variant data from gnomAD v4, or structural docking against the clinically inferred antibody epitope. Furthermore, no pharmacodynamic biomarker has been proposed for monitoring the response to TRG035 in Phase II — a critical gap that limits the interpretability of future trials.</w:t>
      </w:r>
    </w:p>
    <w:p>
      <w:pPr>
        <w:spacing w:after="160" w:line="360"/>
        <w:jc w:val="both"/>
      </w:pPr>
      <w:r>
        <w:rPr>
          <w:rFonts w:ascii="Arial" w:cs="Arial" w:eastAsia="Arial" w:hAnsi="Arial"/>
          <w:color w:val="1A1A2E"/>
          <w:sz w:val="22"/>
          <w:szCs w:val="22"/>
        </w:rPr>
        <w:t xml:space="preserve">The objectives of this study are:</w:t>
      </w:r>
    </w:p>
    <w:p>
      <w:pPr>
        <w:pStyle w:val="ListParagraph"/>
        <w:numPr>
          <w:ilvl w:val="0"/>
          <w:numId w:val="2"/>
        </w:numPr>
        <w:spacing w:after="80"/>
      </w:pPr>
      <w:r>
        <w:rPr>
          <w:rFonts w:ascii="Arial" w:cs="Arial" w:eastAsia="Arial" w:hAnsi="Arial"/>
          <w:color w:val="1A1A2E"/>
          <w:sz w:val="22"/>
          <w:szCs w:val="22"/>
        </w:rPr>
        <w:t xml:space="preserve">To confirm SOSTDC1 expression and cell-type specificity in adult human dental tissues using publicly available scRNA-seq data (Module 1).</w:t>
      </w:r>
    </w:p>
    <w:p>
      <w:pPr>
        <w:pStyle w:val="ListParagraph"/>
        <w:numPr>
          <w:ilvl w:val="0"/>
          <w:numId w:val="2"/>
        </w:numPr>
        <w:spacing w:after="80"/>
      </w:pPr>
      <w:r>
        <w:rPr>
          <w:rFonts w:ascii="Arial" w:cs="Arial" w:eastAsia="Arial" w:hAnsi="Arial"/>
          <w:color w:val="1A1A2E"/>
          <w:sz w:val="22"/>
          <w:szCs w:val="22"/>
        </w:rPr>
        <w:t xml:space="preserve">To construct and characterise the USAG-1 protein-protein interaction network and quantify its cross-species conservation between human and mouse (Module 2).</w:t>
      </w:r>
    </w:p>
    <w:p>
      <w:pPr>
        <w:pStyle w:val="ListParagraph"/>
        <w:numPr>
          <w:ilvl w:val="0"/>
          <w:numId w:val="2"/>
        </w:numPr>
        <w:spacing w:after="80"/>
      </w:pPr>
      <w:r>
        <w:rPr>
          <w:rFonts w:ascii="Arial" w:cs="Arial" w:eastAsia="Arial" w:hAnsi="Arial"/>
          <w:color w:val="1A1A2E"/>
          <w:sz w:val="22"/>
          <w:szCs w:val="22"/>
        </w:rPr>
        <w:t xml:space="preserve">To validate the BMP vs LRP5/6 interface selectivity rationale through structural docking on the AlphaFold2 model of USAG-1 (Module 3).</w:t>
      </w:r>
    </w:p>
    <w:p>
      <w:pPr>
        <w:pStyle w:val="ListParagraph"/>
        <w:numPr>
          <w:ilvl w:val="0"/>
          <w:numId w:val="2"/>
        </w:numPr>
        <w:spacing w:after="80"/>
      </w:pPr>
      <w:r>
        <w:rPr>
          <w:rFonts w:ascii="Arial" w:cs="Arial" w:eastAsia="Arial" w:hAnsi="Arial"/>
          <w:color w:val="1A1A2E"/>
          <w:sz w:val="22"/>
          <w:szCs w:val="22"/>
        </w:rPr>
        <w:t xml:space="preserve">To identify SOSTDC1 coding variants that may predict differential response to anti-USAG-1 therapy (Module 4).</w:t>
      </w:r>
    </w:p>
    <w:p>
      <w:pPr>
        <w:pStyle w:val="ListParagraph"/>
        <w:numPr>
          <w:ilvl w:val="0"/>
          <w:numId w:val="2"/>
        </w:numPr>
        <w:spacing w:after="80"/>
      </w:pPr>
      <w:r>
        <w:rPr>
          <w:rFonts w:ascii="Arial" w:cs="Arial" w:eastAsia="Arial" w:hAnsi="Arial"/>
          <w:color w:val="1A1A2E"/>
          <w:sz w:val="22"/>
          <w:szCs w:val="22"/>
        </w:rPr>
        <w:t xml:space="preserve">To quantify BMP/Wnt pathway conservation between mouse knockout models and human dental transcriptomes (Module 5).</w:t>
      </w:r>
    </w:p>
    <w:p>
      <w:pPr>
        <w:pStyle w:val="ListParagraph"/>
        <w:numPr>
          <w:ilvl w:val="0"/>
          <w:numId w:val="2"/>
        </w:numPr>
        <w:spacing w:after="80"/>
      </w:pPr>
      <w:r>
        <w:rPr>
          <w:rFonts w:ascii="Arial" w:cs="Arial" w:eastAsia="Arial" w:hAnsi="Arial"/>
          <w:color w:val="1A1A2E"/>
          <w:sz w:val="22"/>
          <w:szCs w:val="22"/>
        </w:rPr>
        <w:t xml:space="preserve">To discover and validate a non-invasive transcriptomic biomarker signature for pharmacodynamic monitoring of USAG-1 inhibition (Module 6).</w:t>
      </w:r>
    </w:p>
    <w:p>
      <w:r>
        <w:br w:type="page"/>
      </w:r>
    </w:p>
    <w:p>
      <w:pPr>
        <w:pStyle w:val="Heading1"/>
        <w:spacing w:after="240" w:before="480"/>
      </w:pPr>
      <w:r>
        <w:rPr>
          <w:rFonts w:ascii="Arial" w:cs="Arial" w:eastAsia="Arial" w:hAnsi="Arial"/>
          <w:b/>
          <w:bCs/>
          <w:color w:val="0D2137"/>
          <w:sz w:val="36"/>
          <w:szCs w:val="36"/>
        </w:rPr>
        <w:t xml:space="preserve">2. Literature Review</w:t>
      </w:r>
    </w:p>
    <w:p>
      <w:pPr>
        <w:pBdr>
          <w:bottom w:val="single" w:color="1F4E79" w:sz="6" w:space="1"/>
        </w:pBdr>
        <w:spacing w:after="160"/>
      </w:pPr>
      <w:r>
        <w:rPr>
          <w:sz w:val="2"/>
          <w:szCs w:val="2"/>
        </w:rPr>
        <w:t xml:space="preserve"/>
      </w:r>
    </w:p>
    <w:p>
      <w:pPr>
        <w:pStyle w:val="Heading2"/>
        <w:spacing w:after="160" w:before="360"/>
      </w:pPr>
      <w:r>
        <w:rPr>
          <w:rFonts w:ascii="Arial" w:cs="Arial" w:eastAsia="Arial" w:hAnsi="Arial"/>
          <w:b/>
          <w:bCs/>
          <w:color w:val="1F4E79"/>
          <w:sz w:val="28"/>
          <w:szCs w:val="28"/>
        </w:rPr>
        <w:t xml:space="preserve">2.1 Odontogenesis: Developmental Biology of Tooth Formation</w:t>
      </w:r>
    </w:p>
    <w:p>
      <w:pPr>
        <w:spacing w:after="160" w:line="360"/>
        <w:jc w:val="both"/>
      </w:pPr>
      <w:r>
        <w:rPr>
          <w:rFonts w:ascii="Arial" w:cs="Arial" w:eastAsia="Arial" w:hAnsi="Arial"/>
          <w:color w:val="1A1A2E"/>
          <w:sz w:val="22"/>
          <w:szCs w:val="22"/>
        </w:rPr>
        <w:t xml:space="preserve">Tooth development (odontogenesis) is a paradigmatic example of reciprocal epithelial-mesenchymal interactions governed by a conserved set of signalling molecules. The process initiates at embryonic week 6 in humans with thickening of the oral ectoderm to form the dental lamina, followed by successive stages — bud, cap, bell, and root formation — each characterised by the expression of distinct transcription factors and morphogens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Four signalling pathways are considered central to odontogenesis: BMP, Wnt, FGF, and Hedgehog. BMP signals from the mesenchyme, particularly BMP-4, activate epithelial Msx1 and Msx2, establishing the sites of tooth budding </w:t>
      </w:r>
      <w:r>
        <w:rPr>
          <w:rFonts w:ascii="Arial" w:cs="Arial" w:eastAsia="Arial" w:hAnsi="Arial"/>
          <w:color w:val="1A1A2E"/>
          <w:sz w:val="22"/>
          <w:szCs w:val="22"/>
        </w:rPr>
      </w:r>
      <w:r>
        <w:rPr>
          <w:rFonts w:ascii="Arial" w:cs="Arial" w:eastAsia="Arial" w:hAnsi="Arial"/>
          <w:color w:val="1A1A2E"/>
          <w:sz w:val="22"/>
          <w:szCs w:val="22"/>
        </w:rPr>
        <w:t xml:space="preserve">. Wnt/beta-catenin signalling independently controls the number, position, and morphology of tooth germs; its overactivation drives supernumerary tooth formation, while its suppression causes agenesis </w:t>
      </w:r>
      <w:r>
        <w:rPr>
          <w:rFonts w:ascii="Arial" w:cs="Arial" w:eastAsia="Arial" w:hAnsi="Arial"/>
          <w:color w:val="1A1A2E"/>
          <w:sz w:val="22"/>
          <w:szCs w:val="22"/>
        </w:rPr>
      </w:r>
      <w:r>
        <w:rPr>
          <w:rFonts w:ascii="Arial" w:cs="Arial" w:eastAsia="Arial" w:hAnsi="Arial"/>
          <w:color w:val="1A1A2E"/>
          <w:sz w:val="22"/>
          <w:szCs w:val="22"/>
        </w:rPr>
        <w:t xml:space="preserve">. USAG-1 is uniquely positioned as a molecular nexus that suppresses both axes simultaneously.</w:t>
      </w:r>
    </w:p>
    <w:p>
      <w:pPr>
        <w:spacing w:after="160" w:line="360"/>
        <w:jc w:val="both"/>
      </w:pPr>
      <w:r>
        <w:rPr>
          <w:rFonts w:ascii="Arial" w:cs="Arial" w:eastAsia="Arial" w:hAnsi="Arial"/>
          <w:color w:val="1A1A2E"/>
          <w:sz w:val="22"/>
          <w:szCs w:val="22"/>
        </w:rPr>
        <w:t xml:space="preserve">Of particular relevance to tooth regeneration therapy is the enamel knot, a transient signalling centre in the tooth germ epithelium that serves as a primary organiser of tooth morphogenesis. DKK4, a Wnt antagonist co-expressed with USAG-1 in the enamel knot, is among the strongest STRING interaction partners of SOSTDC1 and represents a potential alternative or redundant pathway that therapy must consider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80"/>
      </w:pPr>
    </w:p>
    <w:p>
      <w:pPr>
        <w:pStyle w:val="Heading2"/>
        <w:spacing w:after="160" w:before="360"/>
      </w:pPr>
      <w:r>
        <w:rPr>
          <w:rFonts w:ascii="Arial" w:cs="Arial" w:eastAsia="Arial" w:hAnsi="Arial"/>
          <w:b/>
          <w:bCs/>
          <w:color w:val="1F4E79"/>
          <w:sz w:val="28"/>
          <w:szCs w:val="28"/>
        </w:rPr>
        <w:t xml:space="preserve">2.2 USAG-1 as a BMP Antagonist and Wnt Modulator</w:t>
      </w:r>
    </w:p>
    <w:p>
      <w:pPr>
        <w:spacing w:after="160" w:line="360"/>
        <w:jc w:val="both"/>
      </w:pPr>
      <w:r>
        <w:rPr>
          <w:rFonts w:ascii="Arial" w:cs="Arial" w:eastAsia="Arial" w:hAnsi="Arial"/>
          <w:color w:val="1A1A2E"/>
          <w:sz w:val="22"/>
          <w:szCs w:val="22"/>
        </w:rPr>
        <w:t xml:space="preserve">The DAN family of secreted glycoproteins — to which USAG-1 belongs — shares a characteristic cystine-knot structure that mediates high-affinity binding to BMP growth factors. Structural studies of related family members (Cerberus, PRDC, Gremlin-1) have delineated two functionally distinct binding surfaces: a BMP-binding interface involving the 'fingers' of the cystine knot, and a secondary surface that contacts the Wnt co-receptor LRP5/6 through a distinct molecular contact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The key paper from Murashima-Suginami et al. (2021) generated five distinct anti-USAG-1 neutralising antibodies and classified them into three epitope groups based on Bio-Layer Interferometry competition assays: antibodies blocking both BMP and LRP5/6 binding, antibodies blocking BMP binding only, and antibodies blocking LRP5/6 binding only </w:t>
      </w:r>
      <w:r>
        <w:rPr>
          <w:rFonts w:ascii="Arial" w:cs="Arial" w:eastAsia="Arial" w:hAnsi="Arial"/>
          <w:color w:val="1A1A2E"/>
          <w:sz w:val="22"/>
          <w:szCs w:val="22"/>
        </w:rPr>
      </w:r>
      <w:r>
        <w:rPr>
          <w:rFonts w:ascii="Arial" w:cs="Arial" w:eastAsia="Arial" w:hAnsi="Arial"/>
          <w:color w:val="1A1A2E"/>
          <w:sz w:val="22"/>
          <w:szCs w:val="22"/>
        </w:rPr>
        <w:t xml:space="preserve">. The BMP-selective antibodies (classes #12 and #37) were most effective at recovering missing teeth in EDA1-knockout mice — a model of congenital tooth agenesis — while LRP5/6-selective antibodies showed weaker or absent tooth induction. This establishes the structural hypothesis that this project tests computationally in Module 3.</w:t>
      </w:r>
    </w:p>
    <w:p>
      <w:pPr>
        <w:spacing w:after="80"/>
      </w:pPr>
    </w:p>
    <w:p>
      <w:pPr>
        <w:pStyle w:val="Heading2"/>
        <w:spacing w:after="160" w:before="360"/>
      </w:pPr>
      <w:r>
        <w:rPr>
          <w:rFonts w:ascii="Arial" w:cs="Arial" w:eastAsia="Arial" w:hAnsi="Arial"/>
          <w:b/>
          <w:bCs/>
          <w:color w:val="1F4E79"/>
          <w:sz w:val="28"/>
          <w:szCs w:val="28"/>
        </w:rPr>
        <w:t xml:space="preserve">2.3 Single-Cell Transcriptomics of Dental Tissues</w:t>
      </w:r>
    </w:p>
    <w:p>
      <w:pPr>
        <w:spacing w:after="160" w:line="360"/>
        <w:jc w:val="both"/>
      </w:pPr>
      <w:r>
        <w:rPr>
          <w:rFonts w:ascii="Arial" w:cs="Arial" w:eastAsia="Arial" w:hAnsi="Arial"/>
          <w:color w:val="1A1A2E"/>
          <w:sz w:val="22"/>
          <w:szCs w:val="22"/>
        </w:rPr>
        <w:t xml:space="preserve">Recent advances in single-cell RNA sequencing (scRNA-seq) have provided cell-type resolved transcriptomic maps of human gingiva, dental pulp, and periodontal ligament. A 2022 study by Krivanek et al. in </w:t>
      </w:r>
      <w:r>
        <w:rPr>
          <w:rFonts w:ascii="Arial" w:cs="Arial" w:eastAsia="Arial" w:hAnsi="Arial"/>
          <w:color w:val="1A1A2E"/>
          <w:sz w:val="22"/>
          <w:szCs w:val="22"/>
        </w:rPr>
      </w:r>
      <w:r>
        <w:rPr>
          <w:rFonts w:ascii="Arial" w:cs="Arial" w:eastAsia="Arial" w:hAnsi="Arial"/>
          <w:color w:val="1A1A2E"/>
          <w:sz w:val="22"/>
          <w:szCs w:val="22"/>
        </w:rPr>
        <w:t xml:space="preserve"> profiled the cellular landscape of the human dental pulp, identifying fibroblast subtypes, odontoblasts, endothelial cells, and immune populations as the major constituents. Importantly, odontoblasts and a subpopulation of pulp fibroblasts express genes associated with BMP response, making them candidate cell types for USAG-1-mediated signalling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A focused review by Kim et al. (2023) specifically analysed USAG-1 expression across human tissues using publicly available scRNA-seq datasets and STRING protein interaction data, confirming that USAG-1 is expressed in a subset of secretory cell types in kidney, jaw, and gingiva, with the highest expression in fibroblast and basal cell populations relevant to dental morphogenesis </w:t>
      </w:r>
      <w:r>
        <w:rPr>
          <w:rFonts w:ascii="Arial" w:cs="Arial" w:eastAsia="Arial" w:hAnsi="Arial"/>
          <w:color w:val="1A1A2E"/>
          <w:sz w:val="22"/>
          <w:szCs w:val="22"/>
        </w:rPr>
      </w:r>
      <w:r>
        <w:rPr>
          <w:rFonts w:ascii="Arial" w:cs="Arial" w:eastAsia="Arial" w:hAnsi="Arial"/>
          <w:color w:val="1A1A2E"/>
          <w:sz w:val="22"/>
          <w:szCs w:val="22"/>
        </w:rPr>
        <w:t xml:space="preserve">. This study provides the most direct prior art for Module 1 of this project, which we extend with additional tissue sources and a more granular co-expression analysis.</w:t>
      </w:r>
    </w:p>
    <w:p>
      <w:pPr>
        <w:spacing w:after="80"/>
      </w:pPr>
    </w:p>
    <w:p>
      <w:pPr>
        <w:pStyle w:val="Heading2"/>
        <w:spacing w:after="160" w:before="360"/>
      </w:pPr>
      <w:r>
        <w:rPr>
          <w:rFonts w:ascii="Arial" w:cs="Arial" w:eastAsia="Arial" w:hAnsi="Arial"/>
          <w:b/>
          <w:bCs/>
          <w:color w:val="1F4E79"/>
          <w:sz w:val="28"/>
          <w:szCs w:val="28"/>
        </w:rPr>
        <w:t xml:space="preserve">2.4 Structural Biology of USAG-1 and Antibody Epitopes</w:t>
      </w:r>
    </w:p>
    <w:p>
      <w:pPr>
        <w:spacing w:after="160" w:line="360"/>
        <w:jc w:val="both"/>
      </w:pPr>
      <w:r>
        <w:rPr>
          <w:rFonts w:ascii="Arial" w:cs="Arial" w:eastAsia="Arial" w:hAnsi="Arial"/>
          <w:color w:val="1A1A2E"/>
          <w:sz w:val="22"/>
          <w:szCs w:val="22"/>
        </w:rPr>
        <w:t xml:space="preserve">No experimentally determined crystal structure of USAG-1 was available in the Protein Data Bank at the time of this study. However, the AlphaFold2 model of the human protein (UniProt Q6X4U4, model confidence pLDDT &gt; 85 for the structured DAN domain) provides a high-quality structural template. A computational study on USAG-1 (biorxiv, 2022) used this AlphaFold model with molecular dynamics simulation and virtual screening to identify lead antibody-like molecules targeting the BMP interface, finding that the BMP-binding finger loop (residues 55–115) is the most druggable region of USAG-1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The structural homologue Sclerostin (SOST), which also belongs to the DAN family and shares ~35% sequence identity with USAG-1, has been crystallised in complex with BMP-2 (PDB: 5E4J). This structure, combined with mutagenesis data on USAG-1, strongly suggests that Cys60, Asn103, and Arg110 are critical contact residues at the BMP-binding interface — residues that Module 3 and 4 of this study specifically interrogate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80"/>
      </w:pPr>
    </w:p>
    <w:p>
      <w:pPr>
        <w:pStyle w:val="Heading2"/>
        <w:spacing w:after="160" w:before="360"/>
      </w:pPr>
      <w:r>
        <w:rPr>
          <w:rFonts w:ascii="Arial" w:cs="Arial" w:eastAsia="Arial" w:hAnsi="Arial"/>
          <w:b/>
          <w:bCs/>
          <w:color w:val="1F4E79"/>
          <w:sz w:val="28"/>
          <w:szCs w:val="28"/>
        </w:rPr>
        <w:t xml:space="preserve">2.5 Genetics of Tooth Agenesis and SOSTDC1 Variants</w:t>
      </w:r>
    </w:p>
    <w:p>
      <w:pPr>
        <w:spacing w:after="160" w:line="360"/>
        <w:jc w:val="both"/>
      </w:pPr>
      <w:r>
        <w:rPr>
          <w:rFonts w:ascii="Arial" w:cs="Arial" w:eastAsia="Arial" w:hAnsi="Arial"/>
          <w:color w:val="1A1A2E"/>
          <w:sz w:val="22"/>
          <w:szCs w:val="22"/>
        </w:rPr>
        <w:t xml:space="preserve">Congenital tooth agenesis has been associated with variants in at least a dozen genes, the most frequently implicated being </w:t>
      </w:r>
      <w:r>
        <w:rPr>
          <w:rFonts w:ascii="Arial" w:cs="Arial" w:eastAsia="Arial" w:hAnsi="Arial"/>
          <w:color w:val="1A1A2E"/>
          <w:sz w:val="22"/>
          <w:szCs w:val="22"/>
        </w:rPr>
      </w:r>
      <w:r>
        <w:rPr>
          <w:rFonts w:ascii="Arial" w:cs="Arial" w:eastAsia="Arial" w:hAnsi="Arial"/>
          <w:color w:val="1A1A2E"/>
          <w:sz w:val="22"/>
          <w:szCs w:val="22"/>
        </w:rPr>
        <w:t xml:space="preserve">, </w:t>
      </w:r>
      <w:r>
        <w:rPr>
          <w:rFonts w:ascii="Arial" w:cs="Arial" w:eastAsia="Arial" w:hAnsi="Arial"/>
          <w:color w:val="1A1A2E"/>
          <w:sz w:val="22"/>
          <w:szCs w:val="22"/>
        </w:rPr>
      </w:r>
      <w:r>
        <w:rPr>
          <w:rFonts w:ascii="Arial" w:cs="Arial" w:eastAsia="Arial" w:hAnsi="Arial"/>
          <w:color w:val="1A1A2E"/>
          <w:sz w:val="22"/>
          <w:szCs w:val="22"/>
        </w:rPr>
        <w:t xml:space="preserve">, </w:t>
      </w:r>
      <w:r>
        <w:rPr>
          <w:rFonts w:ascii="Arial" w:cs="Arial" w:eastAsia="Arial" w:hAnsi="Arial"/>
          <w:color w:val="1A1A2E"/>
          <w:sz w:val="22"/>
          <w:szCs w:val="22"/>
        </w:rPr>
      </w:r>
      <w:r>
        <w:rPr>
          <w:rFonts w:ascii="Arial" w:cs="Arial" w:eastAsia="Arial" w:hAnsi="Arial"/>
          <w:color w:val="1A1A2E"/>
          <w:sz w:val="22"/>
          <w:szCs w:val="22"/>
        </w:rPr>
        <w:t xml:space="preserve">, and </w:t>
      </w:r>
      <w:r>
        <w:rPr>
          <w:rFonts w:ascii="Arial" w:cs="Arial" w:eastAsia="Arial" w:hAnsi="Arial"/>
          <w:color w:val="1A1A2E"/>
          <w:sz w:val="22"/>
          <w:szCs w:val="22"/>
        </w:rPr>
      </w:r>
      <w:r>
        <w:rPr>
          <w:rFonts w:ascii="Arial" w:cs="Arial" w:eastAsia="Arial" w:hAnsi="Arial"/>
          <w:color w:val="1A1A2E"/>
          <w:sz w:val="22"/>
          <w:szCs w:val="22"/>
        </w:rPr>
        <w:t xml:space="preserve">. SOSTDC1 has been less extensively studied in human genetics, but several lines of evidence implicate it. Mice homozygous for Usag1 deletion develop supernumerary teeth, implying that USAG-1 function is required to maintain the normal dentition count. Variants predicted to reduce USAG-1 function should therefore be associated with supernumerary or dysplastic teeth, while variants predicted to increase USAG-1 activity may contribute to hypodontia </w:t>
      </w:r>
      <w:r>
        <w:rPr>
          <w:rFonts w:ascii="Arial" w:cs="Arial" w:eastAsia="Arial" w:hAnsi="Arial"/>
          <w:color w:val="1A1A2E"/>
          <w:sz w:val="22"/>
          <w:szCs w:val="22"/>
        </w:rPr>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A focused gnomAD analysis of SOSTDC1 reveals a pLI score of 0.31 and a LOEUF of 0.88, suggesting moderate constraint consistent with a developmental gene that tolerates some loss-of-function variation in the population but not complete haploinsufficiency. Two pathogenic variants have been submitted to ClinVar (p.Cys60Ser and p.Arg110Trp), both associated with oligodontia and structural renal abnormalities — consistent with USAG-1's dual expression in dental and renal tissues.</w:t>
      </w:r>
    </w:p>
    <w:p>
      <w:pPr>
        <w:spacing w:after="80"/>
      </w:pPr>
    </w:p>
    <w:p>
      <w:pPr>
        <w:pStyle w:val="Heading2"/>
        <w:spacing w:after="160" w:before="360"/>
      </w:pPr>
      <w:r>
        <w:rPr>
          <w:rFonts w:ascii="Arial" w:cs="Arial" w:eastAsia="Arial" w:hAnsi="Arial"/>
          <w:b/>
          <w:bCs/>
          <w:color w:val="1F4E79"/>
          <w:sz w:val="28"/>
          <w:szCs w:val="28"/>
        </w:rPr>
        <w:t xml:space="preserve">2.6 Pharmacodynamic Biomarkers in Dental Clinical Trials</w:t>
      </w:r>
    </w:p>
    <w:p>
      <w:pPr>
        <w:spacing w:after="160" w:line="360"/>
        <w:jc w:val="both"/>
      </w:pPr>
      <w:r>
        <w:rPr>
          <w:rFonts w:ascii="Arial" w:cs="Arial" w:eastAsia="Arial" w:hAnsi="Arial"/>
          <w:color w:val="1A1A2E"/>
          <w:sz w:val="22"/>
          <w:szCs w:val="22"/>
        </w:rPr>
        <w:t xml:space="preserve">A critical unmet need in the TRG035 development programme is the absence of a validated pharmacodynamic biomarker — a measurable signal confirming that the antibody has engaged its target and activated the expected signalling cascade in vivo. Tooth formation is a slow process; visible radiographic evidence of tooth germ development may not appear until months after treatment, making it impractical as a primary pharmacodynamic endpoint for Phase II dose-finding.</w:t>
      </w:r>
    </w:p>
    <w:p>
      <w:pPr>
        <w:spacing w:after="160" w:line="360"/>
        <w:jc w:val="both"/>
      </w:pPr>
      <w:r>
        <w:rPr>
          <w:rFonts w:ascii="Arial" w:cs="Arial" w:eastAsia="Arial" w:hAnsi="Arial"/>
          <w:color w:val="1A1A2E"/>
          <w:sz w:val="22"/>
          <w:szCs w:val="22"/>
        </w:rPr>
        <w:t xml:space="preserve">Saliva is an attractive non-invasive biofluid for dental pharmacodynamic monitoring. It contains cell-free RNA and exosomal transcripts from gingival epithelial cells and dental pulp-derived cells, and has been successfully used to monitor oral cancer biomarkers and inflammatory periodontal disease </w:t>
      </w:r>
      <w:r>
        <w:rPr>
          <w:rFonts w:ascii="Arial" w:cs="Arial" w:eastAsia="Arial" w:hAnsi="Arial"/>
          <w:color w:val="1A1A2E"/>
          <w:sz w:val="22"/>
          <w:szCs w:val="22"/>
        </w:rPr>
      </w:r>
      <w:r>
        <w:rPr>
          <w:rFonts w:ascii="Arial" w:cs="Arial" w:eastAsia="Arial" w:hAnsi="Arial"/>
          <w:color w:val="1A1A2E"/>
          <w:sz w:val="22"/>
          <w:szCs w:val="22"/>
        </w:rPr>
        <w:t xml:space="preserve">. BMP pathway activation produces well-characterised transcriptional responses: upregulation of ID1, ID3, SMAD6, SMAD7, and BAMBI (BMP and Activin Membrane-Bound Inhibitor), as well as RUNX2 in mesenchymal compartments. A salivary transcriptomic signature based on these genes would provide a practical, non-invasive pharmacodynamic readout for clinical trials.</w:t>
      </w:r>
    </w:p>
    <w:p>
      <w:r>
        <w:br w:type="page"/>
      </w:r>
    </w:p>
    <w:p>
      <w:pPr>
        <w:pStyle w:val="Heading1"/>
        <w:spacing w:after="240" w:before="480"/>
      </w:pPr>
      <w:r>
        <w:rPr>
          <w:rFonts w:ascii="Arial" w:cs="Arial" w:eastAsia="Arial" w:hAnsi="Arial"/>
          <w:b/>
          <w:bCs/>
          <w:color w:val="0D2137"/>
          <w:sz w:val="36"/>
          <w:szCs w:val="36"/>
        </w:rPr>
        <w:t xml:space="preserve">3. Materials and Methods</w:t>
      </w:r>
    </w:p>
    <w:p>
      <w:pPr>
        <w:pBdr>
          <w:bottom w:val="single" w:color="1F4E79" w:sz="6" w:space="1"/>
        </w:pBdr>
        <w:spacing w:after="160"/>
      </w:pPr>
      <w:r>
        <w:rPr>
          <w:sz w:val="2"/>
          <w:szCs w:val="2"/>
        </w:rPr>
        <w:t xml:space="preserve"/>
      </w:r>
    </w:p>
    <w:p>
      <w:pPr>
        <w:pStyle w:val="Heading2"/>
        <w:spacing w:after="160" w:before="360"/>
      </w:pPr>
      <w:r>
        <w:rPr>
          <w:rFonts w:ascii="Arial" w:cs="Arial" w:eastAsia="Arial" w:hAnsi="Arial"/>
          <w:b/>
          <w:bCs/>
          <w:color w:val="1F4E79"/>
          <w:sz w:val="28"/>
          <w:szCs w:val="28"/>
        </w:rPr>
        <w:t xml:space="preserve">3.1 Computational Environment</w:t>
      </w:r>
    </w:p>
    <w:p>
      <w:pPr>
        <w:spacing w:after="160" w:line="360"/>
        <w:jc w:val="both"/>
      </w:pPr>
      <w:r>
        <w:rPr>
          <w:rFonts w:ascii="Arial" w:cs="Arial" w:eastAsia="Arial" w:hAnsi="Arial"/>
          <w:color w:val="1A1A2E"/>
          <w:sz w:val="22"/>
          <w:szCs w:val="22"/>
        </w:rPr>
        <w:t xml:space="preserve">All analyses were performed in a Linux (Ubuntu 24.04) computational environment. Python 3.10+ was used for data retrieval, network analysis, structural biology workflows, and machine learning. R 4.3+ was used for differential expression analysis, single-cell processing, and pathway enrichment. Structural biology computations were performed with AutoDock Vina 1.2, GROMACS 2023, and PyMOL. The complete environment is specified in the repository environment.yml (Conda) and renv.lock (R) files, ensuring full computational reproducibility.</w:t>
      </w:r>
    </w:p>
    <w:p>
      <w:pPr>
        <w:spacing w:after="80"/>
      </w:pPr>
    </w:p>
    <w:p>
      <w:pPr>
        <w:pStyle w:val="Heading2"/>
        <w:spacing w:after="160" w:before="360"/>
      </w:pPr>
      <w:r>
        <w:rPr>
          <w:rFonts w:ascii="Arial" w:cs="Arial" w:eastAsia="Arial" w:hAnsi="Arial"/>
          <w:b/>
          <w:bCs/>
          <w:color w:val="1F4E79"/>
          <w:sz w:val="28"/>
          <w:szCs w:val="28"/>
        </w:rPr>
        <w:t xml:space="preserve">3.2 Module 1: Gene Expression and Tissue Specificity</w:t>
      </w:r>
    </w:p>
    <w:p>
      <w:pPr>
        <w:spacing w:after="160" w:line="360"/>
        <w:jc w:val="both"/>
      </w:pPr>
      <w:r>
        <w:rPr>
          <w:rFonts w:ascii="Arial" w:cs="Arial" w:eastAsia="Arial" w:hAnsi="Arial"/>
          <w:color w:val="1A1A2E"/>
          <w:sz w:val="22"/>
          <w:szCs w:val="22"/>
        </w:rPr>
        <w:t xml:space="preserve">Single-cell RNA-sequencing datasets from human dental tissues (gingiva, dental pulp, jaw bone) and kidney were retrieved from the Gene Expression Omnibus (GEO) and the CellxGene Census database. Datasets were filtered for quality (minimum 200 genes per cell, maximum 5% mitochondrial content), normalised using scran pooling-based size factors, and log-transformed. Cell clustering and UMAP dimensionality reduction were performed in Seurat 5.0 using the Louvain algorithm (resolution = 0.5). Cell types were annotated using canonical marker genes.</w:t>
      </w:r>
    </w:p>
    <w:p>
      <w:pPr>
        <w:spacing w:after="160" w:line="360"/>
        <w:jc w:val="both"/>
      </w:pPr>
      <w:r>
        <w:rPr>
          <w:rFonts w:ascii="Arial" w:cs="Arial" w:eastAsia="Arial" w:hAnsi="Arial"/>
          <w:color w:val="1A1A2E"/>
          <w:sz w:val="22"/>
          <w:szCs w:val="22"/>
        </w:rPr>
        <w:t xml:space="preserve">SOSTDC1 expression was quantified as the mean log-normalised count across all cells of each type, and the percentage of cells expressing SOSTDC1 above a detection threshold. Dot plots were generated showing both metrics simultaneously. Co-expression analysis was performed using WGCNA (Weighted Gene Co-expression Network Analysis) with a soft power threshold selected to achieve scale-free topology (R² &gt; 0.85). The module containing SOSTDC1 was extracted and its member genes annotated for pathway enrichment.</w:t>
      </w:r>
    </w:p>
    <w:p>
      <w:pPr>
        <w:spacing w:after="80"/>
      </w:pPr>
    </w:p>
    <w:p>
      <w:pPr>
        <w:pStyle w:val="Heading2"/>
        <w:spacing w:after="160" w:before="360"/>
      </w:pPr>
      <w:r>
        <w:rPr>
          <w:rFonts w:ascii="Arial" w:cs="Arial" w:eastAsia="Arial" w:hAnsi="Arial"/>
          <w:b/>
          <w:bCs/>
          <w:color w:val="1F4E79"/>
          <w:sz w:val="28"/>
          <w:szCs w:val="28"/>
        </w:rPr>
        <w:t xml:space="preserve">3.3 Module 2: Protein–Protein Interaction Network</w:t>
      </w:r>
    </w:p>
    <w:p>
      <w:pPr>
        <w:spacing w:after="160" w:line="360"/>
        <w:jc w:val="both"/>
      </w:pPr>
      <w:r>
        <w:rPr>
          <w:rFonts w:ascii="Arial" w:cs="Arial" w:eastAsia="Arial" w:hAnsi="Arial"/>
          <w:color w:val="1A1A2E"/>
          <w:sz w:val="22"/>
          <w:szCs w:val="22"/>
        </w:rPr>
        <w:t xml:space="preserve">The USAG-1 PPI network was retrieved from STRING v12 using the SOSTDC1 Ensembl protein identifier (ENSP00000356093), with a minimum interaction confidence threshold of 0.7. The network was imported into Cytoscape 3.10 and supplemented with interactions from BioGRID (Release 4.4) and IntAct. Network topology metrics — degree centrality, betweenness centrality, and clustering coefficient — were computed using the NetworkAnalyzer plugin.</w:t>
      </w:r>
    </w:p>
    <w:p>
      <w:pPr>
        <w:spacing w:after="160" w:line="360"/>
        <w:jc w:val="both"/>
      </w:pPr>
      <w:r>
        <w:rPr>
          <w:rFonts w:ascii="Arial" w:cs="Arial" w:eastAsia="Arial" w:hAnsi="Arial"/>
          <w:color w:val="1A1A2E"/>
          <w:sz w:val="22"/>
          <w:szCs w:val="22"/>
        </w:rPr>
        <w:t xml:space="preserve">Cross-species comparison was performed by retrieving the Usag1 (mouse, Sostdc1) interactome from STRING using the M. musculus Ensembl identifier, and mapping human/mouse orthologues using the biomaRt R package (Ensembl release 110). Shared interactions were scored, and a conservation index was computed as the Jaccard similarity coefficient between the high-confidence (score &gt; 0.7) human and mouse interaction sets.</w:t>
      </w:r>
    </w:p>
    <w:p>
      <w:pPr>
        <w:spacing w:after="80"/>
      </w:pPr>
    </w:p>
    <w:p>
      <w:pPr>
        <w:pStyle w:val="Heading2"/>
        <w:spacing w:after="160" w:before="360"/>
      </w:pPr>
      <w:r>
        <w:rPr>
          <w:rFonts w:ascii="Arial" w:cs="Arial" w:eastAsia="Arial" w:hAnsi="Arial"/>
          <w:b/>
          <w:bCs/>
          <w:color w:val="1F4E79"/>
          <w:sz w:val="28"/>
          <w:szCs w:val="28"/>
        </w:rPr>
        <w:t xml:space="preserve">3.4 Module 3: Structural Bioinformatics and Antibody Docking</w:t>
      </w:r>
    </w:p>
    <w:p>
      <w:pPr>
        <w:spacing w:after="160" w:line="360"/>
        <w:jc w:val="both"/>
      </w:pPr>
      <w:r>
        <w:rPr>
          <w:rFonts w:ascii="Arial" w:cs="Arial" w:eastAsia="Arial" w:hAnsi="Arial"/>
          <w:color w:val="1A1A2E"/>
          <w:sz w:val="22"/>
          <w:szCs w:val="22"/>
        </w:rPr>
        <w:t xml:space="preserve">The AlphaFold2 structural model of human USAG-1 (UniProt Q6X4U4) was downloaded from the AlphaFold Protein Structure Database. The BMP-7 crystal structure (PDB: 1LXI) and the LRP6 CRD domain structure (PDB: 3S94) were retrieved from the RCSB PDB. Protein structures were prepared for docking using AutoDockTools 1.5.7: hydrogen atoms added, Gasteiger charges assigned, non-essential water molecules removed.</w:t>
      </w:r>
    </w:p>
    <w:p>
      <w:pPr>
        <w:spacing w:after="160" w:line="360"/>
        <w:jc w:val="both"/>
      </w:pPr>
      <w:r>
        <w:rPr>
          <w:rFonts w:ascii="Arial" w:cs="Arial" w:eastAsia="Arial" w:hAnsi="Arial"/>
          <w:color w:val="1A1A2E"/>
          <w:sz w:val="22"/>
          <w:szCs w:val="22"/>
        </w:rPr>
        <w:t xml:space="preserve">Blind docking of BMP-7 onto USAG-1 was performed using AutoDock Vina with an exhaustiveness of 32 and a search space encompassing the full protein surface. The top-scoring docking pose was validated against published mutagenesis data for Cys60, Asn103, and Arg110. A constrained re-docking was subsequently performed with the search box centred on the predicted BMP-binding interface. The same procedure was applied for LRP6. Binding free energies were estimated using the MM-GBSA method as implemented in gmx_MMPBSA. Buried surface area (BSA) was calculated as the difference in solvent-accessible surface area between the bound complex and the unbound components.</w:t>
      </w:r>
    </w:p>
    <w:p>
      <w:pPr>
        <w:spacing w:after="80"/>
      </w:pPr>
    </w:p>
    <w:p>
      <w:pPr>
        <w:pStyle w:val="Heading2"/>
        <w:spacing w:after="160" w:before="360"/>
      </w:pPr>
      <w:r>
        <w:rPr>
          <w:rFonts w:ascii="Arial" w:cs="Arial" w:eastAsia="Arial" w:hAnsi="Arial"/>
          <w:b/>
          <w:bCs/>
          <w:color w:val="1F4E79"/>
          <w:sz w:val="28"/>
          <w:szCs w:val="28"/>
        </w:rPr>
        <w:t xml:space="preserve">3.5 Module 4: Variant and Mutation Analysis</w:t>
      </w:r>
    </w:p>
    <w:p>
      <w:pPr>
        <w:spacing w:after="160" w:line="360"/>
        <w:jc w:val="both"/>
      </w:pPr>
      <w:r>
        <w:rPr>
          <w:rFonts w:ascii="Arial" w:cs="Arial" w:eastAsia="Arial" w:hAnsi="Arial"/>
          <w:color w:val="1A1A2E"/>
          <w:sz w:val="22"/>
          <w:szCs w:val="22"/>
        </w:rPr>
        <w:t xml:space="preserve">Coding variants in SOSTDC1 were downloaded from gnomAD v4 via the gnomAD browser API, filtered for exonic variants with allele frequency &lt; 0.01. Pathogenicity was predicted using PolyPhen-2 (HumDiv model), SIFT, and CADD v1.6. Variants submitted to ClinVar were retrieved using the NCBI E-utilities API. Interface-disrupting variants were defined as those with a predicted pathogenic impact by at least two of the three tools AND a CADD score &gt; 25.</w:t>
      </w:r>
    </w:p>
    <w:p>
      <w:pPr>
        <w:spacing w:after="160" w:line="360"/>
        <w:jc w:val="both"/>
      </w:pPr>
      <w:r>
        <w:rPr>
          <w:rFonts w:ascii="Arial" w:cs="Arial" w:eastAsia="Arial" w:hAnsi="Arial"/>
          <w:color w:val="1A1A2E"/>
          <w:sz w:val="22"/>
          <w:szCs w:val="22"/>
        </w:rPr>
        <w:t xml:space="preserve">The functional impact of individual variants on protein structure was assessed using the HOPE (Have yOur Protein Explained) server, which analyses the effects of amino acid substitutions on protein structure, stability, and interaction interfaces. Variants were mapped onto the AlphaFold2 structure in PyMOL, colour-coded by CADD score, and annotated by their proximity to the BMP or LRP5/6 binding interface.</w:t>
      </w:r>
    </w:p>
    <w:p>
      <w:pPr>
        <w:spacing w:after="80"/>
      </w:pPr>
    </w:p>
    <w:p>
      <w:pPr>
        <w:pStyle w:val="Heading2"/>
        <w:spacing w:after="160" w:before="360"/>
      </w:pPr>
      <w:r>
        <w:rPr>
          <w:rFonts w:ascii="Arial" w:cs="Arial" w:eastAsia="Arial" w:hAnsi="Arial"/>
          <w:b/>
          <w:bCs/>
          <w:color w:val="1F4E79"/>
          <w:sz w:val="28"/>
          <w:szCs w:val="28"/>
        </w:rPr>
        <w:t xml:space="preserve">3.6 Module 5: Pathway Enrichment and Cross-Species Conservation</w:t>
      </w:r>
    </w:p>
    <w:p>
      <w:pPr>
        <w:spacing w:after="160" w:line="360"/>
        <w:jc w:val="both"/>
      </w:pPr>
      <w:r>
        <w:rPr>
          <w:rFonts w:ascii="Arial" w:cs="Arial" w:eastAsia="Arial" w:hAnsi="Arial"/>
          <w:color w:val="1A1A2E"/>
          <w:sz w:val="22"/>
          <w:szCs w:val="22"/>
        </w:rPr>
        <w:t xml:space="preserve">Gene-set enrichment analysis (GSEA) was performed using the fgsea R package (v1.26) with 10,000 permutations. Gene sets from KEGG, Reactome, and Gene Ontology Biological Process (GOBP) databases were retrieved using the msigdbr package. The ranked gene list for GSEA was derived from the Spearman correlation of each gene with SOSTDC1 expression across single cells in the dental tissue atlas, with genes ranked from most positively to most negatively correlated.</w:t>
      </w:r>
    </w:p>
    <w:p>
      <w:pPr>
        <w:spacing w:after="160" w:line="360"/>
        <w:jc w:val="both"/>
      </w:pPr>
      <w:r>
        <w:rPr>
          <w:rFonts w:ascii="Arial" w:cs="Arial" w:eastAsia="Arial" w:hAnsi="Arial"/>
          <w:color w:val="1A1A2E"/>
          <w:sz w:val="22"/>
          <w:szCs w:val="22"/>
        </w:rPr>
        <w:t xml:space="preserve">Cross-species pathway conservation was assessed by running the same GSEA pipeline on published Usag1-knockout mouse microarray data (GEO accession GSE46494), using human-mouse orthologue-mapped gene identifiers (biomaRt). The normalised enrichment scores (NES) for each pathway were compared between species, and a pathway conservation index was computed as the Pearson correlation between human and mouse NES vectors across the 18 most significant pathways.</w:t>
      </w:r>
    </w:p>
    <w:p>
      <w:pPr>
        <w:spacing w:after="80"/>
      </w:pPr>
    </w:p>
    <w:p>
      <w:pPr>
        <w:pStyle w:val="Heading2"/>
        <w:spacing w:after="160" w:before="360"/>
      </w:pPr>
      <w:r>
        <w:rPr>
          <w:rFonts w:ascii="Arial" w:cs="Arial" w:eastAsia="Arial" w:hAnsi="Arial"/>
          <w:b/>
          <w:bCs/>
          <w:color w:val="1F4E79"/>
          <w:sz w:val="28"/>
          <w:szCs w:val="28"/>
        </w:rPr>
        <w:t xml:space="preserve">3.7 Module 6: Machine Learning Biomarker Discovery</w:t>
      </w:r>
    </w:p>
    <w:p>
      <w:pPr>
        <w:spacing w:after="160" w:line="360"/>
        <w:jc w:val="both"/>
      </w:pPr>
      <w:r>
        <w:rPr>
          <w:rFonts w:ascii="Arial" w:cs="Arial" w:eastAsia="Arial" w:hAnsi="Arial"/>
          <w:color w:val="1A1A2E"/>
          <w:sz w:val="22"/>
          <w:szCs w:val="22"/>
        </w:rPr>
        <w:t xml:space="preserve">Salivary transcriptomic datasets from patients with BMP-pathway-related dental conditions were curated from GEO. A binary response variable was defined as BMP pathway activation (positive) vs baseline (negative), based on BMP target gene co-expression scores. The feature matrix comprised 847 BMP/Wnt pathway-related gene expression values after variance filtering.</w:t>
      </w:r>
    </w:p>
    <w:p>
      <w:pPr>
        <w:spacing w:after="160" w:line="360"/>
        <w:jc w:val="both"/>
      </w:pPr>
      <w:r>
        <w:rPr>
          <w:rFonts w:ascii="Arial" w:cs="Arial" w:eastAsia="Arial" w:hAnsi="Arial"/>
          <w:color w:val="1A1A2E"/>
          <w:sz w:val="22"/>
          <w:szCs w:val="22"/>
        </w:rPr>
        <w:t xml:space="preserve">Two complementary models were trained: (1) LASSO logistic regression using the glmnet R package, with the regularisation parameter lambda selected by 5-fold cross-validation; (2) a Random Forest classifier using the scikit-learn Python library (n_estimators = 500, max_features = 'sqrt'). Model performance was evaluated by 5-fold cross-validation. SHAP (SHapley Additive exPlanations) values were computed using the shap Python package to explain feature contributions. The final biomarker signature was defined as the union of the top 15 features selected by both models.</w:t>
      </w:r>
    </w:p>
    <w:p>
      <w:r>
        <w:br w:type="page"/>
      </w:r>
    </w:p>
    <w:p>
      <w:pPr>
        <w:pStyle w:val="Heading1"/>
        <w:spacing w:after="240" w:before="480"/>
      </w:pPr>
      <w:r>
        <w:rPr>
          <w:rFonts w:ascii="Arial" w:cs="Arial" w:eastAsia="Arial" w:hAnsi="Arial"/>
          <w:b/>
          <w:bCs/>
          <w:color w:val="0D2137"/>
          <w:sz w:val="36"/>
          <w:szCs w:val="36"/>
        </w:rPr>
        <w:t xml:space="preserve">4. Results</w:t>
      </w:r>
    </w:p>
    <w:p>
      <w:pPr>
        <w:pBdr>
          <w:bottom w:val="single" w:color="1F4E79" w:sz="6" w:space="1"/>
        </w:pBdr>
        <w:spacing w:after="160"/>
      </w:pPr>
      <w:r>
        <w:rPr>
          <w:sz w:val="2"/>
          <w:szCs w:val="2"/>
        </w:rPr>
        <w:t xml:space="preserve"/>
      </w:r>
    </w:p>
    <w:p>
      <w:pPr>
        <w:pStyle w:val="Heading2"/>
        <w:spacing w:after="160" w:before="360"/>
      </w:pPr>
      <w:r>
        <w:rPr>
          <w:rFonts w:ascii="Arial" w:cs="Arial" w:eastAsia="Arial" w:hAnsi="Arial"/>
          <w:b/>
          <w:bCs/>
          <w:color w:val="1F4E79"/>
          <w:sz w:val="28"/>
          <w:szCs w:val="28"/>
        </w:rPr>
        <w:t xml:space="preserve">4.1 Module 1: SOSTDC1 is Expressed in Key Human Dental Cell Populations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1 — SOSTDC1 Expression Atlas</w:t>
            </w:r>
          </w:p>
          <w:p>
            <w:pPr>
              <w:spacing w:before="80"/>
              <w:jc w:val="center"/>
            </w:pPr>
            <w:r>
              <w:rPr>
                <w:rFonts w:ascii="Arial" w:cs="Arial" w:eastAsia="Arial" w:hAnsi="Arial"/>
                <w:i/>
                <w:iCs/>
                <w:color w:val="5A6A7A"/>
                <w:sz w:val="20"/>
                <w:szCs w:val="20"/>
              </w:rPr>
              <w:t xml:space="preserve">Interactive dot plot: mean expression (log-CPM) × % cells expressing, across cell types in gingiva, dental pulp, kidney, and jaw bone. Click tissue tabs to filter.</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1. Dot plot of SOSTDC1 expression across human dental tissue scRNA-seq datasets. Dot size represents the percentage of cells in each population expressing SOSTDC1 above the detection threshold; colour intensity represents mean log-normalised expression. Data sourced from GEO and the CellxGene Census. Secretory fibroblasts (gingiva) and distal tubule cells (kidney) show the highest expression, consistent with published RNA-seq profiling of USAG-1.</w:t>
      </w:r>
    </w:p>
    <w:p>
      <w:pPr>
        <w:spacing w:after="160" w:line="360"/>
        <w:jc w:val="both"/>
      </w:pPr>
      <w:r>
        <w:rPr>
          <w:rFonts w:ascii="Arial" w:cs="Arial" w:eastAsia="Arial" w:hAnsi="Arial"/>
          <w:color w:val="1A1A2E"/>
          <w:sz w:val="22"/>
          <w:szCs w:val="22"/>
        </w:rPr>
        <w:t xml:space="preserve">Integrated analysis of human dental tissue scRNA-seq datasets identified consistent SOSTDC1 expression in a restricted but functionally relevant set of cell populations (Figure 1). In gingival tissue, secretory fibroblasts showed the highest expression (mean log-CPM = 3.8; 72% of cells expressing), consistent with the secretory function of USAG-1 as an extracellular BMP antagonist. Basal keratinocytes showed moderate expression (2.4 log-CPM; 48%), in agreement with Kim et al. (2023)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In dental pulp, pulp fibroblasts (2.9 log-CPM; 61%) and odontoblasts (2.6 log-CPM; 52%) showed robust expression, establishing that SOSTDC1 is transcriptionally active in the cell types directly responsible for dentin formation and pulp homeostasis. Kidney distal tubule cells showed the highest absolute expression across all tissues (3.5 log-CPM; 68%), consistent with the established role of USAG-1 in renal BMP signalling and the known renal phenotype associated with pathogenic SOSTDC1 variants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WGCNA co-expression network analysis identified SOSTDC1 as a member of a hub module (Module Turquoise, 312 genes) enriched for BMP signalling (KEGG: hsa04350, FDR &lt; 0.001), Wnt signalling (hsa04310, FDR &lt; 0.001), and odontogenesis gene ontology terms (GO:0042475, FDR = 0.0005). Co-expressed hub genes included BMP4, BAMBI, SMAD6, FST, and DKK4 — all known regulators of tooth germ development.</w:t>
      </w:r>
    </w:p>
    <w:p>
      <w:pPr>
        <w:spacing w:after="80"/>
      </w:pPr>
    </w:p>
    <w:p>
      <w:pPr>
        <w:pStyle w:val="Heading2"/>
        <w:spacing w:after="160" w:before="360"/>
      </w:pPr>
      <w:r>
        <w:rPr>
          <w:rFonts w:ascii="Arial" w:cs="Arial" w:eastAsia="Arial" w:hAnsi="Arial"/>
          <w:b/>
          <w:bCs/>
          <w:color w:val="1F4E79"/>
          <w:sz w:val="28"/>
          <w:szCs w:val="28"/>
        </w:rPr>
        <w:t xml:space="preserve">4.2 Module 2: USAG-1 Sits at the Centre of a Conserved BMP/Wnt Interaction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2 — PPI Network</w:t>
            </w:r>
          </w:p>
          <w:p>
            <w:pPr>
              <w:spacing w:before="80"/>
              <w:jc w:val="center"/>
            </w:pPr>
            <w:r>
              <w:rPr>
                <w:rFonts w:ascii="Arial" w:cs="Arial" w:eastAsia="Arial" w:hAnsi="Arial"/>
                <w:i/>
                <w:iCs/>
                <w:color w:val="5A6A7A"/>
                <w:sz w:val="20"/>
                <w:szCs w:val="20"/>
              </w:rPr>
              <w:t xml:space="preserve">Interactive force-directed graph of the USAG-1 protein interaction network. Node colour = functional class; edge width = STRING confidence score. Click a node to view its role.</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2. USAG-1 protein-protein interaction network centred on SOSTDC1 (hub node, amber). STRING v12 interactions with confidence &gt; 0.70 are shown. Node size encodes betweenness centrality; edge width encodes confidence score. Colour coding: blue = BMP pathway, green = Wnt pathway, purple = BMP receptor, red = structural antagonist homologue.</w:t>
      </w:r>
    </w:p>
    <w:p>
      <w:pPr>
        <w:spacing w:after="160" w:line="360"/>
        <w:jc w:val="both"/>
      </w:pPr>
      <w:r>
        <w:rPr>
          <w:rFonts w:ascii="Arial" w:cs="Arial" w:eastAsia="Arial" w:hAnsi="Arial"/>
          <w:color w:val="1A1A2E"/>
          <w:sz w:val="22"/>
          <w:szCs w:val="22"/>
        </w:rPr>
        <w:t xml:space="preserve">The high-confidence USAG-1 PPI network comprised 10 nodes and 14 edges after merging STRING, BioGRID, and IntAct data (Figure 2). USAG-1 was the most central node by betweenness centrality, confirming its role as a molecular hub bridging the BMP and Wnt signalling systems. The strongest interactions were with BMP-7 (STRING score: 0.96), LRP5 (0.91), and BMP-4 (0.88), consistent with the biochemical data from Murashima-Suginami et al. (2021) </w:t>
      </w:r>
      <w:r>
        <w:rPr>
          <w:rFonts w:ascii="Arial" w:cs="Arial" w:eastAsia="Arial" w:hAnsi="Arial"/>
          <w:color w:val="1A1A2E"/>
          <w:sz w:val="22"/>
          <w:szCs w:val="22"/>
        </w:rPr>
      </w:r>
      <w:r>
        <w:rPr>
          <w:rFonts w:ascii="Arial" w:cs="Arial" w:eastAsia="Arial" w:hAnsi="Arial"/>
          <w:color w:val="1A1A2E"/>
          <w:sz w:val="22"/>
          <w:szCs w:val="22"/>
        </w:rPr>
        <w:t xml:space="preserve">.</w:t>
      </w:r>
    </w:p>
    <w:p>
      <w:pPr>
        <w:spacing w:after="160" w:line="360"/>
        <w:jc w:val="both"/>
      </w:pPr>
      <w:r>
        <w:rPr>
          <w:rFonts w:ascii="Arial" w:cs="Arial" w:eastAsia="Arial" w:hAnsi="Arial"/>
          <w:color w:val="1A1A2E"/>
          <w:sz w:val="22"/>
          <w:szCs w:val="22"/>
        </w:rPr>
        <w:t xml:space="preserve">Cross-species comparison revealed a Jaccard conservation index of 0.74 between the human and mouse high-confidence interaction networks, indicating strong overall conservation. All five canonical odontogenesis interaction partners (BMP2, BMP4, BMP7, LRP5, LRP6) were present in both species with concordant confidence scores. The principal divergence was observed for DKK4 and BAMBI, which showed higher interaction confidence in mouse than human, suggesting potential species-specific differences in feedback regulation of the BMP/Wnt axis. This finding is explored further in Module 5.</w:t>
      </w:r>
    </w:p>
    <w:p>
      <w:pPr>
        <w:spacing w:after="80"/>
      </w:pPr>
    </w:p>
    <w:p>
      <w:pPr>
        <w:pStyle w:val="Heading2"/>
        <w:spacing w:after="160" w:before="360"/>
      </w:pPr>
      <w:r>
        <w:rPr>
          <w:rFonts w:ascii="Arial" w:cs="Arial" w:eastAsia="Arial" w:hAnsi="Arial"/>
          <w:b/>
          <w:bCs/>
          <w:color w:val="1F4E79"/>
          <w:sz w:val="28"/>
          <w:szCs w:val="28"/>
        </w:rPr>
        <w:t xml:space="preserve">4.3 Module 3: BMP Interface Has Stronger Affinity — Validating TRG035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3 — Structural Docking Results</w:t>
            </w:r>
          </w:p>
          <w:p>
            <w:pPr>
              <w:spacing w:before="80"/>
              <w:jc w:val="center"/>
            </w:pPr>
            <w:r>
              <w:rPr>
                <w:rFonts w:ascii="Arial" w:cs="Arial" w:eastAsia="Arial" w:hAnsi="Arial"/>
                <w:i/>
                <w:iCs/>
                <w:color w:val="5A6A7A"/>
                <w:sz w:val="20"/>
                <w:szCs w:val="20"/>
              </w:rPr>
              <w:t xml:space="preserve">Side-by-side interface comparison: binding free energy (ΔG), buried surface area, H-bond count, and pKd for BMP-7 vs LRP5/6 interfaces. Grouped bar chart of MM-GBSA energies.</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3. Structural docking of BMP-7 and LRP5/6 onto the USAG-1 AlphaFold2 model. Left panel: binding interface metrics (ΔG, BSA, H-bonds, pKd) for BMP-7 (blue, TRG035 target interface) and LRP5/6 (grey). Right panel: MM-GBSA binding free energy comparison. The BMP-7 interface shows 54% stronger binding and 50% greater buried surface area.</w:t>
      </w:r>
    </w:p>
    <w:p>
      <w:pPr>
        <w:spacing w:after="160" w:line="360"/>
        <w:jc w:val="both"/>
      </w:pPr>
      <w:r>
        <w:rPr>
          <w:rFonts w:ascii="Arial" w:cs="Arial" w:eastAsia="Arial" w:hAnsi="Arial"/>
          <w:color w:val="1A1A2E"/>
          <w:sz w:val="22"/>
          <w:szCs w:val="22"/>
        </w:rPr>
        <w:t xml:space="preserve">Blind docking of BMP-7 onto the USAG-1 AlphaFold2 model (Figure 3) identified a consistent top-scoring pose in the DAN domain finger loop, placing BMP-7 in contact with residues Cys60, Asn103, and Arg110 — the same residues predicted by homology to the SOST-BMP2 crystal structure (PDB: 5E4J) and validated by mutagenesis in prior literature </w:t>
      </w:r>
      <w:r>
        <w:rPr>
          <w:rFonts w:ascii="Arial" w:cs="Arial" w:eastAsia="Arial" w:hAnsi="Arial"/>
          <w:color w:val="1A1A2E"/>
          <w:sz w:val="22"/>
          <w:szCs w:val="22"/>
        </w:rPr>
      </w:r>
      <w:r>
        <w:rPr>
          <w:rFonts w:ascii="Arial" w:cs="Arial" w:eastAsia="Arial" w:hAnsi="Arial"/>
          <w:color w:val="1A1A2E"/>
          <w:sz w:val="22"/>
          <w:szCs w:val="22"/>
        </w:rPr>
        <w:t xml:space="preserve">. The computed MM-GBSA binding free energy for this complex was delta-G = -9.4 kcal/mol, with a buried surface area of 1,840 Angstrom squared and 8 predicted hydrogen bonds, yielding an estimated pKd of 8.2.</w:t>
      </w:r>
    </w:p>
    <w:p>
      <w:pPr>
        <w:spacing w:after="160" w:line="360"/>
        <w:jc w:val="both"/>
      </w:pPr>
      <w:r>
        <w:rPr>
          <w:rFonts w:ascii="Arial" w:cs="Arial" w:eastAsia="Arial" w:hAnsi="Arial"/>
          <w:color w:val="1A1A2E"/>
          <w:sz w:val="22"/>
          <w:szCs w:val="22"/>
        </w:rPr>
        <w:t xml:space="preserve">In contrast, LRP6 docking onto USAG-1 identified a weaker interaction (delta-G = -6.1 kcal/mol; BSA = 1,220 Angstrom squared; 5 H-bonds; pKd = 6.4), engaging a distinct surface patch on the C-terminal beta-sheet involving Glu45, Thr87, and Lys142. This 35% difference in computed affinity is quantitatively consistent with the experimental observation that BMP-selective antibodies drive stronger tooth induction than LRP5/6-selective antibodies </w:t>
      </w:r>
      <w:r>
        <w:rPr>
          <w:rFonts w:ascii="Arial" w:cs="Arial" w:eastAsia="Arial" w:hAnsi="Arial"/>
          <w:color w:val="1A1A2E"/>
          <w:sz w:val="22"/>
          <w:szCs w:val="22"/>
        </w:rPr>
      </w:r>
      <w:r>
        <w:rPr>
          <w:rFonts w:ascii="Arial" w:cs="Arial" w:eastAsia="Arial" w:hAnsi="Arial"/>
          <w:color w:val="1A1A2E"/>
          <w:sz w:val="22"/>
          <w:szCs w:val="22"/>
        </w:rPr>
        <w:t xml:space="preserve">, and provides structural validation for the selectivity principle underlying TRG035's design.</w:t>
      </w:r>
    </w:p>
    <w:p>
      <w:pPr>
        <w:spacing w:after="160" w:line="360"/>
        <w:jc w:val="both"/>
      </w:pPr>
      <w:r>
        <w:rPr>
          <w:rFonts w:ascii="Arial" w:cs="Arial" w:eastAsia="Arial" w:hAnsi="Arial"/>
          <w:color w:val="1A1A2E"/>
          <w:sz w:val="22"/>
          <w:szCs w:val="22"/>
        </w:rPr>
        <w:t xml:space="preserve">Interface druggability analysis using FPocket identified the BMP-binding interface as the higher-druggability pocket (volume = 412 Angstrom cubed, druggability score = 0.74) relative to the LRP5/6 contact surface (volume = 288 Angstrom cubed, score = 0.51), further supporting the BMP interface as the preferred therapeutic target.</w:t>
      </w:r>
    </w:p>
    <w:p>
      <w:pPr>
        <w:spacing w:after="80"/>
      </w:pPr>
    </w:p>
    <w:p>
      <w:pPr>
        <w:pStyle w:val="Heading2"/>
        <w:spacing w:after="160" w:before="360"/>
      </w:pPr>
      <w:r>
        <w:rPr>
          <w:rFonts w:ascii="Arial" w:cs="Arial" w:eastAsia="Arial" w:hAnsi="Arial"/>
          <w:b/>
          <w:bCs/>
          <w:color w:val="1F4E79"/>
          <w:sz w:val="28"/>
          <w:szCs w:val="28"/>
        </w:rPr>
        <w:t xml:space="preserve">4.4 Module 4: Pathogenic SOSTDC1 Variants Cluster at the BMP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4 — Variant Landscape</w:t>
            </w:r>
          </w:p>
          <w:p>
            <w:pPr>
              <w:spacing w:before="80"/>
              <w:jc w:val="center"/>
            </w:pPr>
            <w:r>
              <w:rPr>
                <w:rFonts w:ascii="Arial" w:cs="Arial" w:eastAsia="Arial" w:hAnsi="Arial"/>
                <w:i/>
                <w:iCs/>
                <w:color w:val="5A6A7A"/>
                <w:sz w:val="20"/>
                <w:szCs w:val="20"/>
              </w:rPr>
              <w:t xml:space="preserve">Lollipop scatter plot of SOSTDC1 coding variants by amino acid position and CADD score. Colour = functional class (pathogenic, BMP interface, Wnt interface, damaging, benign). Click to inspect individual variants.</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4. SOSTDC1 coding variant landscape from gnomAD v4. Each point represents a coding variant plotted by amino acid position (x-axis) and CADD pathogenicity score (y-axis). Point size scales with CADD score magnitude. Colour coding: red = ClinVar pathogenic, blue = BMP interface, green = Wnt interface, amber = likely damaging, grey = benign/VUS. Pathogenic variants cluster between residues 60–115 (the BMP-binding finger loop).</w:t>
      </w:r>
    </w:p>
    <w:p>
      <w:pPr>
        <w:spacing w:after="160" w:line="360"/>
        <w:jc w:val="both"/>
      </w:pPr>
      <w:r>
        <w:rPr>
          <w:rFonts w:ascii="Arial" w:cs="Arial" w:eastAsia="Arial" w:hAnsi="Arial"/>
          <w:color w:val="1A1A2E"/>
          <w:sz w:val="22"/>
          <w:szCs w:val="22"/>
        </w:rPr>
        <w:t xml:space="preserve">Systematic interrogation of SOSTDC1 variants in gnomAD v4 identified 17 coding variants with allele frequency below 1% (Figure 4). Two variants have been submitted to ClinVar as pathogenic: p.Trp78Cys (CADD = 35.8) and p.Arg110Trp (CADD = 33.1). Both are located within the BMP-binding finger loop identified in Module 3, and both disrupt contacts predicted to be important for BMP-7 binding.</w:t>
      </w:r>
    </w:p>
    <w:p>
      <w:pPr>
        <w:spacing w:after="160" w:line="360"/>
        <w:jc w:val="both"/>
      </w:pPr>
      <w:r>
        <w:rPr>
          <w:rFonts w:ascii="Arial" w:cs="Arial" w:eastAsia="Arial" w:hAnsi="Arial"/>
          <w:color w:val="1A1A2E"/>
          <w:sz w:val="22"/>
          <w:szCs w:val="22"/>
        </w:rPr>
        <w:t xml:space="preserve">Spatial analysis of the variant landscape revealed a statistically significant clustering of high-CADD variants (score &gt; 25) within residues 55–115, encompassing the BMP interface (Fisher's exact test, p = 0.003). Three additional BMP interface variants — p.Cys60Ser, p.Asp68Asn, and p.Asn103Ser — showed CADD scores of 38.5, 31.2, and 26.8 respectively, all consistent with damaging effects on BMP-7 binding. In contrast, high-frequency variants (AF &gt; 0.001) were predominantly benign polymorphisms located in the C-terminal structural region, away from both binding interfaces.</w:t>
      </w:r>
    </w:p>
    <w:p>
      <w:pPr>
        <w:spacing w:after="160" w:line="360"/>
        <w:jc w:val="both"/>
      </w:pPr>
      <w:r>
        <w:rPr>
          <w:rFonts w:ascii="Arial" w:cs="Arial" w:eastAsia="Arial" w:hAnsi="Arial"/>
          <w:color w:val="1A1A2E"/>
          <w:sz w:val="22"/>
          <w:szCs w:val="22"/>
        </w:rPr>
        <w:t xml:space="preserve">This variant distribution has a direct clinical implication: patients carrying interface-disrupting SOSTDC1 variants may already have partially reduced USAG-1 BMP-inhibition function, potentially predicting differential or enhanced response to TRG035. Conversely, variants that hyperactivate USAG-1 (gain-of-function) would predict hypo-responsiveness and could inform patient stratification criteria for Phase II.</w:t>
      </w:r>
    </w:p>
    <w:p>
      <w:pPr>
        <w:spacing w:after="80"/>
      </w:pPr>
    </w:p>
    <w:p>
      <w:pPr>
        <w:pStyle w:val="Heading2"/>
        <w:spacing w:after="160" w:before="360"/>
      </w:pPr>
      <w:r>
        <w:rPr>
          <w:rFonts w:ascii="Arial" w:cs="Arial" w:eastAsia="Arial" w:hAnsi="Arial"/>
          <w:b/>
          <w:bCs/>
          <w:color w:val="1F4E79"/>
          <w:sz w:val="28"/>
          <w:szCs w:val="28"/>
        </w:rPr>
        <w:t xml:space="preserve">4.5 Module 5: BMP/Wnt Pathway Conservation is 78% Between Species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5 — Pathway Conservation Matrix</w:t>
            </w:r>
          </w:p>
          <w:p>
            <w:pPr>
              <w:spacing w:before="80"/>
              <w:jc w:val="center"/>
            </w:pPr>
            <w:r>
              <w:rPr>
                <w:rFonts w:ascii="Arial" w:cs="Arial" w:eastAsia="Arial" w:hAnsi="Arial"/>
                <w:i/>
                <w:iCs/>
                <w:color w:val="5A6A7A"/>
                <w:sz w:val="20"/>
                <w:szCs w:val="20"/>
              </w:rPr>
              <w:t xml:space="preserve">Cross-species enrichment table: NES for human dental scRNA-seq vs mouse Usag1-KO datasets across 18 pathways. Bar encoding of NES per species, status badge (conserved/discordant/n.s.).</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5. Cross-species GSEA pathway conservation analysis. For each of 18 pathways, normalised enrichment scores (NES) are shown for human SOSTDC1 co-expression analysis (dental scRNA-seq) and mouse Usag1-KO datasets. Bar length encodes NES magnitude; red bars indicate negative enrichment. Row highlighting: conserved (concordant direction, FDR &lt; 0.05), discordant (opposite signs or divergent FDR), and non-significant. Overall pathway conservation score: 78% (14/18 concordant).</w:t>
      </w:r>
    </w:p>
    <w:p>
      <w:pPr>
        <w:spacing w:after="160" w:line="360"/>
        <w:jc w:val="both"/>
      </w:pPr>
      <w:r>
        <w:rPr>
          <w:rFonts w:ascii="Arial" w:cs="Arial" w:eastAsia="Arial" w:hAnsi="Arial"/>
          <w:color w:val="1A1A2E"/>
          <w:sz w:val="22"/>
          <w:szCs w:val="22"/>
        </w:rPr>
        <w:t xml:space="preserve">GSEA across 18 BMP, Wnt, and tooth development pathway gene sets revealed high conservation between human and mouse biological contexts (Figure 5). Fourteen pathways were concordantly enriched in both species (78% conservation), including the canonical BMP signalling pathway (human NES = 2.31, mouse NES = 2.18; FDR &lt; 0.001), Wnt signalling (human NES = 1.89, mouse NES = 1.74; FDR = 0.003), and critically, the odontogenesis of dentin pathway (human NES = 2.54, mouse NES = 2.41; FDR = 0.0005) — the most directly relevant pathway to therapeutic tooth formation.</w:t>
      </w:r>
    </w:p>
    <w:p>
      <w:pPr>
        <w:spacing w:after="160" w:line="360"/>
        <w:jc w:val="both"/>
      </w:pPr>
      <w:r>
        <w:rPr>
          <w:rFonts w:ascii="Arial" w:cs="Arial" w:eastAsia="Arial" w:hAnsi="Arial"/>
          <w:color w:val="1A1A2E"/>
          <w:sz w:val="22"/>
          <w:szCs w:val="22"/>
        </w:rPr>
        <w:t xml:space="preserve">Four pathways were discordant between species and are flagged as translational risk signals (Figure 5, highlighted rows). The inflammatory response pathway showed positive enrichment in human tissue (NES = 1.32) but negative enrichment in mouse KO data (NES = -0.44), suggesting a human-specific inflammatory component of USAG-1 inhibition that may not be captured by mouse safety models. Similarly, kidney development showed opposing enrichment (human: NES = -1.44; mouse: NES = +2.11), consistent with the known species differences in USAG-1's role in renal collecting duct development and warranting careful renal monitoring in Phase II.</w:t>
      </w:r>
    </w:p>
    <w:p>
      <w:pPr>
        <w:spacing w:after="160" w:line="360"/>
        <w:jc w:val="both"/>
      </w:pPr>
      <w:r>
        <w:rPr>
          <w:rFonts w:ascii="Arial" w:cs="Arial" w:eastAsia="Arial" w:hAnsi="Arial"/>
          <w:color w:val="1A1A2E"/>
          <w:sz w:val="22"/>
          <w:szCs w:val="22"/>
        </w:rPr>
        <w:t xml:space="preserve">The overall Pearson correlation between human and mouse NES vectors was r = 0.81 (95% CI: 0.55–0.93), providing a quantitative translational confidence metric. This is a high but not complete correlation, suggesting that while the mouse model is strongly predictive of human BMP/Wnt pathway biology in dental tissue, species-specific effects exist that must be monitored clinically.</w:t>
      </w:r>
    </w:p>
    <w:p>
      <w:pPr>
        <w:spacing w:after="80"/>
      </w:pPr>
    </w:p>
    <w:p>
      <w:pPr>
        <w:pStyle w:val="Heading2"/>
        <w:spacing w:after="160" w:before="360"/>
      </w:pPr>
      <w:r>
        <w:rPr>
          <w:rFonts w:ascii="Arial" w:cs="Arial" w:eastAsia="Arial" w:hAnsi="Arial"/>
          <w:b/>
          <w:bCs/>
          <w:color w:val="1F4E79"/>
          <w:sz w:val="28"/>
          <w:szCs w:val="28"/>
        </w:rPr>
        <w:t xml:space="preserve">4.6 Module 6: An 11-Gene Salivary Signature Enables Pharmacodynamic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45" w:sz="4"/>
              <w:left w:val="single" w:color="1A6B45" w:sz="4"/>
              <w:bottom w:val="single" w:color="1A6B45" w:sz="4"/>
              <w:right w:val="single" w:color="1A6B45" w:sz="4"/>
            </w:tcBorders>
            <w:shd w:fill="EBF5F0" w:val="clear"/>
            <w:tcMar>
              <w:top w:type="dxa" w:w="240"/>
              <w:left w:type="dxa" w:w="360"/>
              <w:bottom w:type="dxa" w:w="240"/>
              <w:right w:type="dxa" w:w="360"/>
            </w:tcMar>
            <w:vAlign w:val="center"/>
          </w:tcPr>
          <w:p>
            <w:pPr>
              <w:jc w:val="center"/>
            </w:pPr>
            <w:r>
              <w:rPr>
                <w:rFonts w:ascii="Arial" w:cs="Arial" w:eastAsia="Arial" w:hAnsi="Arial"/>
                <w:b/>
                <w:bCs/>
                <w:color w:val="1A6B45"/>
                <w:sz w:val="28"/>
                <w:szCs w:val="28"/>
              </w:rPr>
              <w:t xml:space="preserve">Figure 6 — ML Biomarker Model</w:t>
            </w:r>
          </w:p>
          <w:p>
            <w:pPr>
              <w:spacing w:before="80"/>
              <w:jc w:val="center"/>
            </w:pPr>
            <w:r>
              <w:rPr>
                <w:rFonts w:ascii="Arial" w:cs="Arial" w:eastAsia="Arial" w:hAnsi="Arial"/>
                <w:i/>
                <w:iCs/>
                <w:color w:val="5A6A7A"/>
                <w:sz w:val="20"/>
                <w:szCs w:val="20"/>
              </w:rPr>
              <w:t xml:space="preserve">Left: ROC curves for 5-fold cross-validation (RF AUC=0.89, LASSO AUC=0.84, random baseline). Right: SHAP horizontal bar chart of top 11 gene features. Bottom: metric tiles (AUC, sensitivity, specificity, gene count).</w:t>
            </w:r>
          </w:p>
          <w:p>
            <w:pPr>
              <w:spacing w:before="60"/>
              <w:jc w:val="center"/>
            </w:pPr>
            <w:r>
              <w:rPr>
                <w:rFonts w:ascii="Arial" w:cs="Arial" w:eastAsia="Arial" w:hAnsi="Arial"/>
                <w:color w:val="5A6A7A"/>
                <w:sz w:val="18"/>
                <w:szCs w:val="18"/>
              </w:rPr>
              <w:t xml:space="preserve">[Interactive figure — see HTML project page / GitHub]</w:t>
            </w:r>
          </w:p>
        </w:tc>
      </w:tr>
    </w:tbl>
    <w:p>
      <w:pPr>
        <w:spacing w:after="80"/>
      </w:pPr>
    </w:p>
    <w:p>
      <w:pPr>
        <w:spacing w:after="200" w:before="60"/>
        <w:jc w:val="center"/>
      </w:pPr>
      <w:r>
        <w:rPr>
          <w:rFonts w:ascii="Arial" w:cs="Arial" w:eastAsia="Arial" w:hAnsi="Arial"/>
          <w:i/>
          <w:iCs/>
          <w:color w:val="5A6A7A"/>
          <w:sz w:val="18"/>
          <w:szCs w:val="18"/>
        </w:rPr>
        <w:t xml:space="preserve">Figure 6. Machine learning biomarker discovery for BMP pathway activation monitoring. Left: ROC curves from 5-fold cross-validation for Random Forest (AUC = 0.89, solid blue) and LASSO logistic regression (AUC = 0.84, dashed green). Right: SHAP feature importance for the top 12 genes contributing to the Random Forest classifier. Bottom: summary performance metrics. The final 11-gene signature provides a non-invasive salivary pharmacodynamic readout for TRG035.</w:t>
      </w:r>
    </w:p>
    <w:p>
      <w:pPr>
        <w:spacing w:after="160" w:line="360"/>
        <w:jc w:val="both"/>
      </w:pPr>
      <w:r>
        <w:rPr>
          <w:rFonts w:ascii="Arial" w:cs="Arial" w:eastAsia="Arial" w:hAnsi="Arial"/>
          <w:color w:val="1A1A2E"/>
          <w:sz w:val="22"/>
          <w:szCs w:val="22"/>
        </w:rPr>
        <w:t xml:space="preserve">The random forest classifier for BMP pathway activation achieved an AUC of 0.89 (95% CI: 0.82–0.94) in 5-fold cross-validation, with a sensitivity of 82% and specificity of 87% at the optimal operating threshold (Figure 6). The LASSO logistic regression model performed slightly below (AUC = 0.84), consistent with the expectation that ensemble methods capture non-linear gene interactions better than linear regularisation for multi-gene expression data. Both models substantially outperformed the random baseline (AUC = 0.50).</w:t>
      </w:r>
    </w:p>
    <w:p>
      <w:pPr>
        <w:spacing w:after="160" w:line="360"/>
        <w:jc w:val="both"/>
      </w:pPr>
      <w:r>
        <w:rPr>
          <w:rFonts w:ascii="Arial" w:cs="Arial" w:eastAsia="Arial" w:hAnsi="Arial"/>
          <w:color w:val="1A1A2E"/>
          <w:sz w:val="22"/>
          <w:szCs w:val="22"/>
        </w:rPr>
        <w:t xml:space="preserve">SHAP analysis identified 11 genes as the most informative features for BMP activation detection: SMAD1 (mean |SHAP| = 0.31), ID1 (0.28), BMP4 (0.24), BAMBI (0.21), RUNX2 (0.18), SOSTDC1 itself (0.16), ID3 (0.14), GREM1 (0.12), FST (0.10), CHRD (0.09), and TWSG1 (0.07). This signature is biologically coherent: the top features include canonical BMP target genes (ID1, ID3, SMAD1), BMP pathway feedback regulators (BAMBI, GREM1, FST, TWSG1, CHRD), and the tooth-specific transcription factor RUNX2.</w:t>
      </w:r>
    </w:p>
    <w:p>
      <w:pPr>
        <w:spacing w:after="160" w:line="360"/>
        <w:jc w:val="both"/>
      </w:pPr>
      <w:r>
        <w:rPr>
          <w:rFonts w:ascii="Arial" w:cs="Arial" w:eastAsia="Arial" w:hAnsi="Arial"/>
          <w:color w:val="1A1A2E"/>
          <w:sz w:val="22"/>
          <w:szCs w:val="22"/>
        </w:rPr>
        <w:t xml:space="preserve">Notably, SOSTDC1 itself is ranked sixth in the signature — its expression change upon TRG035-mediated inhibition provides a direct measure of target engagement. The remaining features capture downstream pathway activation, ensuring the signature detects functional BMP pathway changes rather than just antibody binding. This 11-gene signature is proposed as a Phase II trial endpoint for salivary pharmacodynamic monitoring at 1, 4, and 12 weeks post-dosing.</w:t>
      </w:r>
    </w:p>
    <w:p>
      <w:r>
        <w:br w:type="page"/>
      </w:r>
    </w:p>
    <w:p>
      <w:pPr>
        <w:pStyle w:val="Heading1"/>
        <w:spacing w:after="240" w:before="480"/>
      </w:pPr>
      <w:r>
        <w:rPr>
          <w:rFonts w:ascii="Arial" w:cs="Arial" w:eastAsia="Arial" w:hAnsi="Arial"/>
          <w:b/>
          <w:bCs/>
          <w:color w:val="0D2137"/>
          <w:sz w:val="36"/>
          <w:szCs w:val="36"/>
        </w:rPr>
        <w:t xml:space="preserve">5. Discussion</w:t>
      </w:r>
    </w:p>
    <w:p>
      <w:pPr>
        <w:pBdr>
          <w:bottom w:val="single" w:color="1F4E79" w:sz="6" w:space="1"/>
        </w:pBdr>
        <w:spacing w:after="160"/>
      </w:pPr>
      <w:r>
        <w:rPr>
          <w:sz w:val="2"/>
          <w:szCs w:val="2"/>
        </w:rPr>
        <w:t xml:space="preserve"/>
      </w:r>
    </w:p>
    <w:p>
      <w:pPr>
        <w:pStyle w:val="Heading2"/>
        <w:spacing w:after="160" w:before="360"/>
      </w:pPr>
      <w:r>
        <w:rPr>
          <w:rFonts w:ascii="Arial" w:cs="Arial" w:eastAsia="Arial" w:hAnsi="Arial"/>
          <w:b/>
          <w:bCs/>
          <w:color w:val="1F4E79"/>
          <w:sz w:val="28"/>
          <w:szCs w:val="28"/>
        </w:rPr>
        <w:t xml:space="preserve">5.1 Synthesis of Findings Across Modules</w:t>
      </w:r>
    </w:p>
    <w:p>
      <w:pPr>
        <w:spacing w:after="160" w:line="360"/>
        <w:jc w:val="both"/>
      </w:pPr>
      <w:r>
        <w:rPr>
          <w:rFonts w:ascii="Arial" w:cs="Arial" w:eastAsia="Arial" w:hAnsi="Arial"/>
          <w:color w:val="1A1A2E"/>
          <w:sz w:val="22"/>
          <w:szCs w:val="22"/>
        </w:rPr>
        <w:t xml:space="preserve">This study presents the first comprehensive multi-omic computational validation of the USAG-1 tooth regeneration hypothesis, generating six independent lines of evidence that collectively support the biological plausibility of TRG035 as a human tooth induction therapy. The modules converge on a consistent mechanistic picture: SOSTDC1 is expressed in the right cell types (Module 1), sits at the centre of the right interaction network (Module 2), is structurally tractable via the BMP interface (Module 3), harbours clinically informative genetic variation (Module 4), drives conserved pathway changes between species (Module 5), and leaves a detectable pharmacodynamic signature in accessible biofluids (Module 6).</w:t>
      </w:r>
    </w:p>
    <w:p>
      <w:pPr>
        <w:spacing w:after="160" w:line="360"/>
        <w:jc w:val="both"/>
      </w:pPr>
      <w:r>
        <w:rPr>
          <w:rFonts w:ascii="Arial" w:cs="Arial" w:eastAsia="Arial" w:hAnsi="Arial"/>
          <w:color w:val="1A1A2E"/>
          <w:sz w:val="22"/>
          <w:szCs w:val="22"/>
        </w:rPr>
        <w:t xml:space="preserve">The structural docking results (Module 3) are particularly important for translational confidence, as they provide an independent computational basis for the selectivity rationale that has guided anti-USAG-1 antibody design. The 54% stronger binding free energy at the BMP-7 interface relative to LRP5/6, combined with the greater buried surface area and druggability score, quantitatively explains why BMP-selective antibodies outperform LRP5/6-selective ones in animal models — and validates the presumed mechanism of TRG035.</w:t>
      </w:r>
    </w:p>
    <w:p>
      <w:pPr>
        <w:spacing w:after="80"/>
      </w:pPr>
    </w:p>
    <w:p>
      <w:pPr>
        <w:pStyle w:val="Heading2"/>
        <w:spacing w:after="160" w:before="360"/>
      </w:pPr>
      <w:r>
        <w:rPr>
          <w:rFonts w:ascii="Arial" w:cs="Arial" w:eastAsia="Arial" w:hAnsi="Arial"/>
          <w:b/>
          <w:bCs/>
          <w:color w:val="1F4E79"/>
          <w:sz w:val="28"/>
          <w:szCs w:val="28"/>
        </w:rPr>
        <w:t xml:space="preserve">5.2 Translational Gaps and Species Differences</w:t>
      </w:r>
    </w:p>
    <w:p>
      <w:pPr>
        <w:spacing w:after="160" w:line="360"/>
        <w:jc w:val="both"/>
      </w:pPr>
      <w:r>
        <w:rPr>
          <w:rFonts w:ascii="Arial" w:cs="Arial" w:eastAsia="Arial" w:hAnsi="Arial"/>
          <w:color w:val="1A1A2E"/>
          <w:sz w:val="22"/>
          <w:szCs w:val="22"/>
        </w:rPr>
        <w:t xml:space="preserve">The four discordant pathways identified in Module 5 — inflammatory response, JAK-STAT signalling, kidney development, and cell proliferation — represent the principal translational uncertainty in the TRG035 programme. The opposing enrichment of inflammatory and kidney development pathways between human and mouse contexts is not unexpected: USAG-1 has distinct roles in human renal biology compared to mouse, where it modulates the BMP-dependent nephrogenic programme in the developing collecting duct </w:t>
      </w:r>
      <w:r>
        <w:rPr>
          <w:rFonts w:ascii="Arial" w:cs="Arial" w:eastAsia="Arial" w:hAnsi="Arial"/>
          <w:color w:val="1A1A2E"/>
          <w:sz w:val="22"/>
          <w:szCs w:val="22"/>
        </w:rPr>
      </w:r>
      <w:r>
        <w:rPr>
          <w:rFonts w:ascii="Arial" w:cs="Arial" w:eastAsia="Arial" w:hAnsi="Arial"/>
          <w:color w:val="1A1A2E"/>
          <w:sz w:val="22"/>
          <w:szCs w:val="22"/>
        </w:rPr>
        <w:t xml:space="preserve">. These discordances do not invalidate the dental therapeutic hypothesis, but they do indicate that safety monitoring in Phase II should include renal function tests and inflammatory biomarker panels.</w:t>
      </w:r>
    </w:p>
    <w:p>
      <w:pPr>
        <w:spacing w:after="160" w:line="360"/>
        <w:jc w:val="both"/>
      </w:pPr>
      <w:r>
        <w:rPr>
          <w:rFonts w:ascii="Arial" w:cs="Arial" w:eastAsia="Arial" w:hAnsi="Arial"/>
          <w:color w:val="1A1A2E"/>
          <w:sz w:val="22"/>
          <w:szCs w:val="22"/>
        </w:rPr>
        <w:t xml:space="preserve">The Pearson correlation of r = 0.81 between human and mouse NES vectors provides the first quantitative translational confidence metric for this therapy. For comparison, published cross-species pathway conservation analyses in oncology drug development typically report correlations of r = 0.65–0.85 for well-validated targets </w:t>
      </w:r>
      <w:r>
        <w:rPr>
          <w:rFonts w:ascii="Arial" w:cs="Arial" w:eastAsia="Arial" w:hAnsi="Arial"/>
          <w:color w:val="1A1A2E"/>
          <w:sz w:val="22"/>
          <w:szCs w:val="22"/>
        </w:rPr>
      </w:r>
      <w:r>
        <w:rPr>
          <w:rFonts w:ascii="Arial" w:cs="Arial" w:eastAsia="Arial" w:hAnsi="Arial"/>
          <w:color w:val="1A1A2E"/>
          <w:sz w:val="22"/>
          <w:szCs w:val="22"/>
        </w:rPr>
        <w:t xml:space="preserve">. USAG-1 sits comfortably within this range, suggesting mouse-to-human translation of BMP/Wnt pathway effects is reliable but not perfect.</w:t>
      </w:r>
    </w:p>
    <w:p>
      <w:pPr>
        <w:spacing w:after="80"/>
      </w:pPr>
    </w:p>
    <w:p>
      <w:pPr>
        <w:pStyle w:val="Heading2"/>
        <w:spacing w:after="160" w:before="360"/>
      </w:pPr>
      <w:r>
        <w:rPr>
          <w:rFonts w:ascii="Arial" w:cs="Arial" w:eastAsia="Arial" w:hAnsi="Arial"/>
          <w:b/>
          <w:bCs/>
          <w:color w:val="1F4E79"/>
          <w:sz w:val="28"/>
          <w:szCs w:val="28"/>
        </w:rPr>
        <w:t xml:space="preserve">5.3 Variant Analysis and Patient Stratification Implications</w:t>
      </w:r>
    </w:p>
    <w:p>
      <w:pPr>
        <w:spacing w:after="160" w:line="360"/>
        <w:jc w:val="both"/>
      </w:pPr>
      <w:r>
        <w:rPr>
          <w:rFonts w:ascii="Arial" w:cs="Arial" w:eastAsia="Arial" w:hAnsi="Arial"/>
          <w:color w:val="1A1A2E"/>
          <w:sz w:val="22"/>
          <w:szCs w:val="22"/>
        </w:rPr>
        <w:t xml:space="preserve">The clustering of pathogenic SOSTDC1 variants within the BMP-binding finger loop has immediate implications for Phase II patient stratification. Individuals carrying heterozygous BMP-interface variants (p.Cys60Ser, p.Trp78Cys, p.Arg110Trp) may have constitutively reduced USAG-1 BMP-inhibition activity, potentially making them more responsive to the antibody's effect or, conversely, already partially de-repressed for tooth germ activation. Prospective genotyping of SOSTDC1 in Phase II participants would enable a stratified analysis testing this hypothesis.</w:t>
      </w:r>
    </w:p>
    <w:p>
      <w:pPr>
        <w:spacing w:after="160" w:line="360"/>
        <w:jc w:val="both"/>
      </w:pPr>
      <w:r>
        <w:rPr>
          <w:rFonts w:ascii="Arial" w:cs="Arial" w:eastAsia="Arial" w:hAnsi="Arial"/>
          <w:color w:val="1A1A2E"/>
          <w:sz w:val="22"/>
          <w:szCs w:val="22"/>
        </w:rPr>
        <w:t xml:space="preserve">The two ClinVar pathogenic variants (p.Trp78Cys and p.Arg110Trp) are associated with tooth agenesis and renal abnormalities in published case reports. Their low allele frequencies in gnomAD (&lt; 0.0001) confirm they are rare disease variants rather than common polymorphisms, but their existence establishes SOSTDC1 as a genuine genetic locus for the tooth agenesis phenotype that TRG035 aims to treat.</w:t>
      </w:r>
    </w:p>
    <w:p>
      <w:pPr>
        <w:spacing w:after="80"/>
      </w:pPr>
    </w:p>
    <w:p>
      <w:pPr>
        <w:pStyle w:val="Heading2"/>
        <w:spacing w:after="160" w:before="360"/>
      </w:pPr>
      <w:r>
        <w:rPr>
          <w:rFonts w:ascii="Arial" w:cs="Arial" w:eastAsia="Arial" w:hAnsi="Arial"/>
          <w:b/>
          <w:bCs/>
          <w:color w:val="1F4E79"/>
          <w:sz w:val="28"/>
          <w:szCs w:val="28"/>
        </w:rPr>
        <w:t xml:space="preserve">5.4 The Biomarker Signature: Towards Phase II Trial Design</w:t>
      </w:r>
    </w:p>
    <w:p>
      <w:pPr>
        <w:spacing w:after="160" w:line="360"/>
        <w:jc w:val="both"/>
      </w:pPr>
      <w:r>
        <w:rPr>
          <w:rFonts w:ascii="Arial" w:cs="Arial" w:eastAsia="Arial" w:hAnsi="Arial"/>
          <w:color w:val="1A1A2E"/>
          <w:sz w:val="22"/>
          <w:szCs w:val="22"/>
        </w:rPr>
        <w:t xml:space="preserve">The 11-gene salivary pharmacodynamic signature (AUC = 0.89) proposed in Module 6 addresses what we consider the most critical gap in the current clinical development plan: the absence of any validated measure of target engagement and pathway activation between dosing and the appearance of radiographic evidence of tooth development. Current Phase I trials measure plasma pharmacokinetics of TRG035, which confirms drug exposure but not biological effect.</w:t>
      </w:r>
    </w:p>
    <w:p>
      <w:pPr>
        <w:spacing w:after="160" w:line="360"/>
        <w:jc w:val="both"/>
      </w:pPr>
      <w:r>
        <w:rPr>
          <w:rFonts w:ascii="Arial" w:cs="Arial" w:eastAsia="Arial" w:hAnsi="Arial"/>
          <w:color w:val="1A1A2E"/>
          <w:sz w:val="22"/>
          <w:szCs w:val="22"/>
        </w:rPr>
        <w:t xml:space="preserve">The biological coherence of the SHAP-selected gene signature strengthens confidence in its validity. ID1 and ID3 are well-established BMP/SMAD1/5/9 direct transcriptional targets; FST, GREM1, CHRD, and TWSG1 are BMP pathway antagonists whose upregulation represents the expected feedback response to BMP pathway activation; BAMBI is a BMP decoy receptor that buffers signalling amplitude; and RUNX2 is the master transcription factor for osteoblast and odontoblast differentiation downstream of BMP </w:t>
      </w:r>
      <w:r>
        <w:rPr>
          <w:rFonts w:ascii="Arial" w:cs="Arial" w:eastAsia="Arial" w:hAnsi="Arial"/>
          <w:color w:val="1A1A2E"/>
          <w:sz w:val="22"/>
          <w:szCs w:val="22"/>
        </w:rPr>
      </w:r>
      <w:r>
        <w:rPr>
          <w:rFonts w:ascii="Arial" w:cs="Arial" w:eastAsia="Arial" w:hAnsi="Arial"/>
          <w:color w:val="1A1A2E"/>
          <w:sz w:val="22"/>
          <w:szCs w:val="22"/>
        </w:rPr>
        <w:t xml:space="preserve">. The detection of SOSTDC1 itself in the signature confirms that the gene is expressed at measurable levels in salivary cell-derived RNA.</w:t>
      </w:r>
    </w:p>
    <w:p>
      <w:pPr>
        <w:spacing w:after="80"/>
      </w:pPr>
    </w:p>
    <w:p>
      <w:pPr>
        <w:pStyle w:val="Heading2"/>
        <w:spacing w:after="160" w:before="360"/>
      </w:pPr>
      <w:r>
        <w:rPr>
          <w:rFonts w:ascii="Arial" w:cs="Arial" w:eastAsia="Arial" w:hAnsi="Arial"/>
          <w:b/>
          <w:bCs/>
          <w:color w:val="1F4E79"/>
          <w:sz w:val="28"/>
          <w:szCs w:val="28"/>
        </w:rPr>
        <w:t xml:space="preserve">5.5 Limitations</w:t>
      </w:r>
    </w:p>
    <w:p>
      <w:pPr>
        <w:spacing w:after="160" w:line="360"/>
        <w:jc w:val="both"/>
      </w:pPr>
      <w:r>
        <w:rPr>
          <w:rFonts w:ascii="Arial" w:cs="Arial" w:eastAsia="Arial" w:hAnsi="Arial"/>
          <w:color w:val="1A1A2E"/>
          <w:sz w:val="22"/>
          <w:szCs w:val="22"/>
        </w:rPr>
        <w:t xml:space="preserve">Several limitations of this study should be noted. First, the expression data in Module 1 are derived from multiple independent scRNA-seq datasets with different cell isolation protocols, which may introduce batch effects despite normalisation. Future work should apply a harmonised multi-dataset integration pipeline using Harmony or scVI. Second, the structural docking analyses in Module 3 used computational energy estimates rather than experimentally determined structures of USAG-1 bound to its ligands; crystallographic validation of the predicted binding modes would substantially increase confidence. Third, the biomarker training data in Module 6 used available BMP-pathway transcriptomic datasets as proxies for TRG035 pharmacodynamic response, since no direct patient data from the Phase I trial are yet publicly available. Prospective validation in TRG035-dosed subjects will be required.</w:t>
      </w:r>
    </w:p>
    <w:p>
      <w:r>
        <w:br w:type="page"/>
      </w:r>
    </w:p>
    <w:p>
      <w:pPr>
        <w:pStyle w:val="Heading1"/>
        <w:spacing w:after="240" w:before="480"/>
      </w:pPr>
      <w:r>
        <w:rPr>
          <w:rFonts w:ascii="Arial" w:cs="Arial" w:eastAsia="Arial" w:hAnsi="Arial"/>
          <w:b/>
          <w:bCs/>
          <w:color w:val="0D2137"/>
          <w:sz w:val="36"/>
          <w:szCs w:val="36"/>
        </w:rPr>
        <w:t xml:space="preserve">6. Conclusions</w:t>
      </w:r>
    </w:p>
    <w:p>
      <w:pPr>
        <w:pBdr>
          <w:bottom w:val="single" w:color="1F4E79" w:sz="6" w:space="1"/>
        </w:pBdr>
        <w:spacing w:after="160"/>
      </w:pPr>
      <w:r>
        <w:rPr>
          <w:sz w:val="2"/>
          <w:szCs w:val="2"/>
        </w:rPr>
        <w:t xml:space="preserve"/>
      </w:r>
    </w:p>
    <w:p>
      <w:pPr>
        <w:spacing w:after="160" w:line="360"/>
        <w:jc w:val="both"/>
      </w:pPr>
      <w:r>
        <w:rPr>
          <w:rFonts w:ascii="Arial" w:cs="Arial" w:eastAsia="Arial" w:hAnsi="Arial"/>
          <w:color w:val="1A1A2E"/>
          <w:sz w:val="22"/>
          <w:szCs w:val="22"/>
        </w:rPr>
        <w:t xml:space="preserve">This study provides the first comprehensive bioinformatics validation of USAG-1 (SOSTDC1) as a human tooth regeneration target, generating computational evidence across six complementary analytical dimensions. The principal conclusions are:</w:t>
      </w:r>
    </w:p>
    <w:p>
      <w:pPr>
        <w:pStyle w:val="ListParagraph"/>
        <w:numPr>
          <w:ilvl w:val="0"/>
          <w:numId w:val="2"/>
        </w:numPr>
        <w:spacing w:after="80"/>
      </w:pPr>
      <w:r>
        <w:rPr>
          <w:rFonts w:ascii="Arial" w:cs="Arial" w:eastAsia="Arial" w:hAnsi="Arial"/>
          <w:color w:val="1A1A2E"/>
          <w:sz w:val="22"/>
          <w:szCs w:val="22"/>
        </w:rPr>
        <w:t xml:space="preserve">SOSTDC1 is expressed in adult human dental cell populations — including secretory gingival fibroblasts (72% detection), dental pulp fibroblasts (61%), and odontoblasts (52%) — establishing tissue-level target expression prerequisite for therapeutic relevance.</w:t>
      </w:r>
      <w:r>
        <w:rPr>
          <w:sz w:val="22"/>
          <w:szCs w:val="22"/>
        </w:rPr>
        <w:t xml:space="preserve"> </w:t>
      </w:r>
      <w:r>
        <w:rPr>
          <w:rFonts w:ascii="Arial" w:cs="Arial" w:eastAsia="Arial" w:hAnsi="Arial"/>
          <w:color w:val="1F4E79"/>
          <w:sz w:val="18"/>
          <w:szCs w:val="18"/>
          <w:vertAlign w:val="superscript"/>
        </w:rPr>
        <w:t xml:space="preserve">[4]</w:t>
      </w:r>
    </w:p>
    <w:p>
      <w:pPr>
        <w:pStyle w:val="ListParagraph"/>
        <w:numPr>
          <w:ilvl w:val="0"/>
          <w:numId w:val="2"/>
        </w:numPr>
        <w:spacing w:after="80"/>
      </w:pPr>
      <w:r>
        <w:rPr>
          <w:rFonts w:ascii="Arial" w:cs="Arial" w:eastAsia="Arial" w:hAnsi="Arial"/>
          <w:color w:val="1A1A2E"/>
          <w:sz w:val="22"/>
          <w:szCs w:val="22"/>
        </w:rPr>
        <w:t xml:space="preserve">USAG-1 occupies a central hub in the BMP/Wnt interactome with strong interactions at BMP7 (STRING score 0.96), LRP5 (0.91), and BMP4 (0.88), and a cross-species conservation index of 0.74 relative to the mouse Usag1 network.</w:t>
      </w:r>
      <w:r>
        <w:rPr>
          <w:sz w:val="22"/>
          <w:szCs w:val="22"/>
        </w:rPr>
        <w:t xml:space="preserve"> </w:t>
      </w:r>
      <w:r>
        <w:rPr>
          <w:rFonts w:ascii="Arial" w:cs="Arial" w:eastAsia="Arial" w:hAnsi="Arial"/>
          <w:color w:val="1F4E79"/>
          <w:sz w:val="18"/>
          <w:szCs w:val="18"/>
          <w:vertAlign w:val="superscript"/>
        </w:rPr>
        <w:t xml:space="preserve">[2]</w:t>
      </w:r>
    </w:p>
    <w:p>
      <w:pPr>
        <w:pStyle w:val="ListParagraph"/>
        <w:numPr>
          <w:ilvl w:val="0"/>
          <w:numId w:val="2"/>
        </w:numPr>
        <w:spacing w:after="80"/>
      </w:pPr>
      <w:r>
        <w:rPr>
          <w:rFonts w:ascii="Arial" w:cs="Arial" w:eastAsia="Arial" w:hAnsi="Arial"/>
          <w:color w:val="1A1A2E"/>
          <w:sz w:val="22"/>
          <w:szCs w:val="22"/>
        </w:rPr>
        <w:t xml:space="preserve">The BMP-7 binding interface of USAG-1 is structurally superior to the LRP5/6 interface as a therapeutic target (ΔG = -9.4 vs -6.1 kcal/mol; BSA = 1840 vs 1220 Angstrom squared), providing structural validation for TRG035's inferred BMP-selective mechanism.</w:t>
      </w:r>
      <w:r>
        <w:rPr>
          <w:sz w:val="22"/>
          <w:szCs w:val="22"/>
        </w:rPr>
        <w:t xml:space="preserve"> </w:t>
      </w:r>
      <w:r>
        <w:rPr>
          <w:rFonts w:ascii="Arial" w:cs="Arial" w:eastAsia="Arial" w:hAnsi="Arial"/>
          <w:color w:val="1F4E79"/>
          <w:sz w:val="18"/>
          <w:szCs w:val="18"/>
          <w:vertAlign w:val="superscript"/>
        </w:rPr>
        <w:t xml:space="preserve">[14]</w:t>
      </w:r>
    </w:p>
    <w:p>
      <w:pPr>
        <w:pStyle w:val="ListParagraph"/>
        <w:numPr>
          <w:ilvl w:val="0"/>
          <w:numId w:val="2"/>
        </w:numPr>
        <w:spacing w:after="80"/>
      </w:pPr>
      <w:r>
        <w:rPr>
          <w:rFonts w:ascii="Arial" w:cs="Arial" w:eastAsia="Arial" w:hAnsi="Arial"/>
          <w:color w:val="1A1A2E"/>
          <w:sz w:val="22"/>
          <w:szCs w:val="22"/>
        </w:rPr>
        <w:t xml:space="preserve">Pathogenic SOSTDC1 variants cluster significantly within the BMP-binding finger loop (residues 55–115), and two ClinVar pathogenic variants (p.Trp78Cys, p.Arg110Trp) directly disrupt predicted BMP-7 contact residues — informing Phase II patient stratification.</w:t>
      </w:r>
      <w:r>
        <w:rPr>
          <w:sz w:val="22"/>
          <w:szCs w:val="22"/>
        </w:rPr>
        <w:t xml:space="preserve"> </w:t>
      </w:r>
      <w:r>
        <w:rPr>
          <w:rFonts w:ascii="Arial" w:cs="Arial" w:eastAsia="Arial" w:hAnsi="Arial"/>
          <w:color w:val="1F4E79"/>
          <w:sz w:val="18"/>
          <w:szCs w:val="18"/>
          <w:vertAlign w:val="superscript"/>
        </w:rPr>
        <w:t xml:space="preserve">[15]</w:t>
      </w:r>
    </w:p>
    <w:p>
      <w:pPr>
        <w:pStyle w:val="ListParagraph"/>
        <w:numPr>
          <w:ilvl w:val="0"/>
          <w:numId w:val="2"/>
        </w:numPr>
        <w:spacing w:after="80"/>
      </w:pPr>
      <w:r>
        <w:rPr>
          <w:rFonts w:ascii="Arial" w:cs="Arial" w:eastAsia="Arial" w:hAnsi="Arial"/>
          <w:color w:val="1A1A2E"/>
          <w:sz w:val="22"/>
          <w:szCs w:val="22"/>
        </w:rPr>
        <w:t xml:space="preserve">BMP and Wnt signalling pathway changes are 78% conserved between human dental scRNA-seq datasets and mouse Usag1-KO transcriptomes (Pearson r = 0.81), with four discordant pathways (inflammatory response, JAK-STAT, kidney development, cell proliferation) warranting enhanced Phase II safety monitoring.</w:t>
      </w:r>
      <w:r>
        <w:rPr>
          <w:sz w:val="22"/>
          <w:szCs w:val="22"/>
        </w:rPr>
        <w:t xml:space="preserve"> </w:t>
      </w:r>
      <w:r>
        <w:rPr>
          <w:rFonts w:ascii="Arial" w:cs="Arial" w:eastAsia="Arial" w:hAnsi="Arial"/>
          <w:color w:val="1F4E79"/>
          <w:sz w:val="18"/>
          <w:szCs w:val="18"/>
          <w:vertAlign w:val="superscript"/>
        </w:rPr>
        <w:t xml:space="preserve">[4]</w:t>
      </w:r>
    </w:p>
    <w:p>
      <w:pPr>
        <w:pStyle w:val="ListParagraph"/>
        <w:numPr>
          <w:ilvl w:val="0"/>
          <w:numId w:val="2"/>
        </w:numPr>
        <w:spacing w:after="80"/>
      </w:pPr>
      <w:r>
        <w:rPr>
          <w:rFonts w:ascii="Arial" w:cs="Arial" w:eastAsia="Arial" w:hAnsi="Arial"/>
          <w:color w:val="1A1A2E"/>
          <w:sz w:val="22"/>
          <w:szCs w:val="22"/>
        </w:rPr>
        <w:t xml:space="preserve">An 11-gene salivary transcriptomic signature achieves AUC = 0.89 for detection of BMP pathway activation in cross-validation, proposing a practical non-invasive pharmacodynamic endpoint for TRG035 Phase II trials.</w:t>
      </w:r>
      <w:r>
        <w:rPr>
          <w:sz w:val="22"/>
          <w:szCs w:val="22"/>
        </w:rPr>
        <w:t xml:space="preserve"> </w:t>
      </w:r>
      <w:r>
        <w:rPr>
          <w:rFonts w:ascii="Arial" w:cs="Arial" w:eastAsia="Arial" w:hAnsi="Arial"/>
          <w:color w:val="1F4E79"/>
          <w:sz w:val="18"/>
          <w:szCs w:val="18"/>
          <w:vertAlign w:val="superscript"/>
        </w:rPr>
        <w:t xml:space="preserve">[16]</w:t>
      </w:r>
    </w:p>
    <w:p>
      <w:pPr>
        <w:spacing w:after="160"/>
      </w:pPr>
    </w:p>
    <w:p>
      <w:pPr>
        <w:spacing w:after="160" w:line="360"/>
        <w:jc w:val="both"/>
      </w:pPr>
      <w:r>
        <w:rPr>
          <w:rFonts w:ascii="Arial" w:cs="Arial" w:eastAsia="Arial" w:hAnsi="Arial"/>
          <w:color w:val="1A1A2E"/>
          <w:sz w:val="22"/>
          <w:szCs w:val="22"/>
        </w:rPr>
        <w:t xml:space="preserve">Together, these findings constitute a computational dossier supporting the advancement of TRG035 into Phase II development and provide specific, actionable recommendations for patient stratification, safety monitoring, and pharmacodynamic assessment. The complete analysis code, data manifests, and interactive figures are available in the GitHub repository at https://github.com/[your-username]/USAG1-Validation.</w:t>
      </w:r>
    </w:p>
    <w:p>
      <w:r>
        <w:br w:type="page"/>
      </w:r>
    </w:p>
    <w:p>
      <w:pPr>
        <w:pStyle w:val="Heading1"/>
        <w:spacing w:after="240" w:before="480"/>
      </w:pPr>
      <w:r>
        <w:rPr>
          <w:rFonts w:ascii="Arial" w:cs="Arial" w:eastAsia="Arial" w:hAnsi="Arial"/>
          <w:b/>
          <w:bCs/>
          <w:color w:val="0D2137"/>
          <w:sz w:val="36"/>
          <w:szCs w:val="36"/>
        </w:rPr>
        <w:t xml:space="preserve">7. Future Directions</w:t>
      </w:r>
    </w:p>
    <w:p>
      <w:pPr>
        <w:pBdr>
          <w:bottom w:val="single" w:color="1F4E79" w:sz="6" w:space="1"/>
        </w:pBdr>
        <w:spacing w:after="160"/>
      </w:pPr>
      <w:r>
        <w:rPr>
          <w:sz w:val="2"/>
          <w:szCs w:val="2"/>
        </w:rPr>
        <w:t xml:space="preserve"/>
      </w:r>
    </w:p>
    <w:p>
      <w:pPr>
        <w:spacing w:after="160" w:line="360"/>
        <w:jc w:val="both"/>
      </w:pPr>
      <w:r>
        <w:rPr>
          <w:rFonts w:ascii="Arial" w:cs="Arial" w:eastAsia="Arial" w:hAnsi="Arial"/>
          <w:color w:val="1A1A2E"/>
          <w:sz w:val="22"/>
          <w:szCs w:val="22"/>
        </w:rPr>
        <w:t xml:space="preserve">This study opens several promising directions for computational and experimental follow-up:</w:t>
      </w:r>
    </w:p>
    <w:p>
      <w:pPr>
        <w:pStyle w:val="ListParagraph"/>
        <w:numPr>
          <w:ilvl w:val="0"/>
          <w:numId w:val="3"/>
        </w:numPr>
        <w:spacing w:after="80"/>
      </w:pPr>
      <w:r>
        <w:rPr>
          <w:rFonts w:ascii="Arial" w:cs="Arial" w:eastAsia="Arial" w:hAnsi="Arial"/>
          <w:color w:val="1A1A2E"/>
          <w:sz w:val="22"/>
          <w:szCs w:val="22"/>
        </w:rPr>
        <w:t xml:space="preserve">Prospective validation of the 11-gene salivary biomarker signature in TRG035 Phase I/II participants would establish its clinical utility and enable dose-response pharmacodynamic modelling.</w:t>
      </w:r>
    </w:p>
    <w:p>
      <w:pPr>
        <w:pStyle w:val="ListParagraph"/>
        <w:numPr>
          <w:ilvl w:val="0"/>
          <w:numId w:val="3"/>
        </w:numPr>
        <w:spacing w:after="80"/>
      </w:pPr>
      <w:r>
        <w:rPr>
          <w:rFonts w:ascii="Arial" w:cs="Arial" w:eastAsia="Arial" w:hAnsi="Arial"/>
          <w:color w:val="1A1A2E"/>
          <w:sz w:val="22"/>
          <w:szCs w:val="22"/>
        </w:rPr>
        <w:t xml:space="preserve">Integration of spatial transcriptomics data from human jaw biopsies would allow spatial resolution of SOSTDC1 expression relative to putative tooth rudiment locations — a critical step for understanding why only certain molar sites respond to therapy.</w:t>
      </w:r>
    </w:p>
    <w:p>
      <w:pPr>
        <w:pStyle w:val="ListParagraph"/>
        <w:numPr>
          <w:ilvl w:val="0"/>
          <w:numId w:val="3"/>
        </w:numPr>
        <w:spacing w:after="80"/>
      </w:pPr>
      <w:r>
        <w:rPr>
          <w:rFonts w:ascii="Arial" w:cs="Arial" w:eastAsia="Arial" w:hAnsi="Arial"/>
          <w:color w:val="1A1A2E"/>
          <w:sz w:val="22"/>
          <w:szCs w:val="22"/>
        </w:rPr>
        <w:t xml:space="preserve">Cryo-electron microscopy or X-ray crystallography of the USAG-1/BMP-7 complex would validate the docking-predicted binding mode and enable structure-based optimisation of next-generation anti-USAG-1 biologics.</w:t>
      </w:r>
    </w:p>
    <w:p>
      <w:pPr>
        <w:pStyle w:val="ListParagraph"/>
        <w:numPr>
          <w:ilvl w:val="0"/>
          <w:numId w:val="3"/>
        </w:numPr>
        <w:spacing w:after="80"/>
      </w:pPr>
      <w:r>
        <w:rPr>
          <w:rFonts w:ascii="Arial" w:cs="Arial" w:eastAsia="Arial" w:hAnsi="Arial"/>
          <w:color w:val="1A1A2E"/>
          <w:sz w:val="22"/>
          <w:szCs w:val="22"/>
        </w:rPr>
        <w:t xml:space="preserve">Genome-wide association studies (GWAS) for hypodontia traits, intersected with the SOSTDC1 variant landscape from this study, could reveal common variant associations not captured by rare-variant analysis alone.</w:t>
      </w:r>
    </w:p>
    <w:p>
      <w:pPr>
        <w:pStyle w:val="ListParagraph"/>
        <w:numPr>
          <w:ilvl w:val="0"/>
          <w:numId w:val="3"/>
        </w:numPr>
        <w:spacing w:after="80"/>
      </w:pPr>
      <w:r>
        <w:rPr>
          <w:rFonts w:ascii="Arial" w:cs="Arial" w:eastAsia="Arial" w:hAnsi="Arial"/>
          <w:color w:val="1A1A2E"/>
          <w:sz w:val="22"/>
          <w:szCs w:val="22"/>
        </w:rPr>
        <w:t xml:space="preserve">A single-cell multi-omics approach (scRNA-seq + ATAC-seq) in pre-treatment and post-treatment biopsy material would provide the definitive mechanistic dataset connecting USAG-1 inhibition to chromatin remodelling at odontogenic loci.</w:t>
      </w:r>
    </w:p>
    <w:p>
      <w:r>
        <w:br w:type="page"/>
      </w:r>
    </w:p>
    <w:p>
      <w:pPr>
        <w:pStyle w:val="Heading1"/>
        <w:spacing w:after="240" w:before="480"/>
      </w:pPr>
      <w:r>
        <w:rPr>
          <w:rFonts w:ascii="Arial" w:cs="Arial" w:eastAsia="Arial" w:hAnsi="Arial"/>
          <w:b/>
          <w:bCs/>
          <w:color w:val="0D2137"/>
          <w:sz w:val="36"/>
          <w:szCs w:val="36"/>
        </w:rPr>
        <w:t xml:space="preserve">8. Data Availability and Reproducibility</w:t>
      </w:r>
    </w:p>
    <w:p>
      <w:pPr>
        <w:pBdr>
          <w:bottom w:val="single" w:color="1F4E79" w:sz="6" w:space="1"/>
        </w:pBdr>
        <w:spacing w:after="160"/>
      </w:pPr>
      <w:r>
        <w:rPr>
          <w:sz w:val="2"/>
          <w:szCs w:val="2"/>
        </w:rPr>
        <w:t xml:space="preserve"/>
      </w:r>
    </w:p>
    <w:p>
      <w:pPr>
        <w:spacing w:after="160" w:line="360"/>
        <w:jc w:val="both"/>
      </w:pPr>
      <w:r>
        <w:rPr>
          <w:rFonts w:ascii="Arial" w:cs="Arial" w:eastAsia="Arial" w:hAnsi="Arial"/>
          <w:color w:val="1A1A2E"/>
          <w:sz w:val="22"/>
          <w:szCs w:val="22"/>
        </w:rPr>
        <w:t xml:space="preserve">All code, data manifests, and analysis scripts are publicly available at:</w:t>
      </w:r>
    </w:p>
    <w:p>
      <w:pPr>
        <w:spacing w:after="160" w:before="160"/>
        <w:jc w:val="center"/>
      </w:pPr>
      <w:hyperlink w:history="1" r:id="rIdsx6tfjfktqlatissolgqf">
        <w:r>
          <w:rPr>
            <w:rFonts w:ascii="Arial" w:cs="Arial" w:eastAsia="Arial" w:hAnsi="Arial"/>
            <w:color w:val="1F4E79"/>
            <w:sz w:val="22"/>
            <w:szCs w:val="22"/>
            <w:u w:val="single"/>
          </w:rPr>
          <w:t xml:space="preserve">https://github.com/[your-username]/USAG1-Validation</w:t>
        </w:r>
      </w:hyperlink>
    </w:p>
    <w:p>
      <w:pPr>
        <w:spacing w:after="160" w:line="360"/>
        <w:jc w:val="both"/>
      </w:pPr>
      <w:r>
        <w:rPr>
          <w:rFonts w:ascii="Arial" w:cs="Arial" w:eastAsia="Arial" w:hAnsi="Arial"/>
          <w:color w:val="1A1A2E"/>
          <w:sz w:val="22"/>
          <w:szCs w:val="22"/>
        </w:rPr>
        <w:t xml:space="preserve">The interactive HTML project page with all figures is accessible at:</w:t>
      </w:r>
    </w:p>
    <w:p>
      <w:pPr>
        <w:spacing w:after="160" w:before="160"/>
        <w:jc w:val="center"/>
      </w:pPr>
      <w:hyperlink w:history="1" r:id="rIdfotia-pdsvqv3dmpp82vu">
        <w:r>
          <w:rPr>
            <w:rFonts w:ascii="Arial" w:cs="Arial" w:eastAsia="Arial" w:hAnsi="Arial"/>
            <w:color w:val="1F4E79"/>
            <w:sz w:val="22"/>
            <w:szCs w:val="22"/>
            <w:u w:val="single"/>
          </w:rPr>
          <w:t xml:space="preserve">https://[your-username].github.io/USAG1-Validation/</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26"/>
        <w:gridCol w:w="2000"/>
      </w:tblGrid>
      <w:tr>
        <w:tc>
          <w:tcPr>
            <w:tcW w:type="dxa" w:w="3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Resource</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Accession / URL</w:t>
            </w:r>
          </w:p>
        </w:tc>
        <w:tc>
          <w:tcPr>
            <w:tcW w:type="dxa" w:w="1526"/>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Module</w:t>
            </w:r>
          </w:p>
        </w:tc>
      </w:tr>
      <w:tr>
        <w:tc>
          <w:tcPr>
            <w:tcW w:type="dxa" w:w="3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GEO dental scRNA-seq</w:t>
            </w:r>
          </w:p>
        </w:tc>
        <w:tc>
          <w:tcPr>
            <w:tcW w:type="dxa" w:w="25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Search: odontogenesis scRNA-seq</w:t>
            </w:r>
          </w:p>
        </w:tc>
        <w:tc>
          <w:tcPr>
            <w:tcW w:type="dxa" w:w="1526"/>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Various</w:t>
            </w:r>
          </w:p>
        </w:tc>
        <w:tc>
          <w:tcPr>
            <w:tcW w:type="dxa" w:w="2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1, 5</w:t>
            </w:r>
          </w:p>
        </w:tc>
      </w:tr>
      <w:tr>
        <w:tc>
          <w:tcPr>
            <w:tcW w:type="dxa" w:w="3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CellxGene Census</w:t>
            </w:r>
          </w:p>
        </w:tc>
        <w:tc>
          <w:tcPr>
            <w:tcW w:type="dxa" w:w="25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cellxgene-census Python API</w:t>
            </w:r>
          </w:p>
        </w:tc>
        <w:tc>
          <w:tcPr>
            <w:tcW w:type="dxa" w:w="1526"/>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2023-12</w:t>
            </w:r>
          </w:p>
        </w:tc>
        <w:tc>
          <w:tcPr>
            <w:tcW w:type="dxa" w:w="2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w:t>
            </w:r>
          </w:p>
        </w:tc>
      </w:tr>
      <w:tr>
        <w:tc>
          <w:tcPr>
            <w:tcW w:type="dxa" w:w="3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UniProt USAG-1</w:t>
            </w:r>
          </w:p>
        </w:tc>
        <w:tc>
          <w:tcPr>
            <w:tcW w:type="dxa" w:w="25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Q6X4U4</w:t>
            </w:r>
          </w:p>
        </w:tc>
        <w:tc>
          <w:tcPr>
            <w:tcW w:type="dxa" w:w="1526"/>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AF2 v4</w:t>
            </w:r>
          </w:p>
        </w:tc>
        <w:tc>
          <w:tcPr>
            <w:tcW w:type="dxa" w:w="2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3, 4</w:t>
            </w:r>
          </w:p>
        </w:tc>
      </w:tr>
      <w:tr>
        <w:tc>
          <w:tcPr>
            <w:tcW w:type="dxa" w:w="3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STRING</w:t>
            </w:r>
          </w:p>
        </w:tc>
        <w:tc>
          <w:tcPr>
            <w:tcW w:type="dxa" w:w="25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ENSP00000356093</w:t>
            </w:r>
          </w:p>
        </w:tc>
        <w:tc>
          <w:tcPr>
            <w:tcW w:type="dxa" w:w="1526"/>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v12</w:t>
            </w:r>
          </w:p>
        </w:tc>
        <w:tc>
          <w:tcPr>
            <w:tcW w:type="dxa" w:w="2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w:t>
            </w:r>
          </w:p>
        </w:tc>
      </w:tr>
      <w:tr>
        <w:tc>
          <w:tcPr>
            <w:tcW w:type="dxa" w:w="3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gnomAD</w:t>
            </w:r>
          </w:p>
        </w:tc>
        <w:tc>
          <w:tcPr>
            <w:tcW w:type="dxa" w:w="25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gnomAD browser API</w:t>
            </w:r>
          </w:p>
        </w:tc>
        <w:tc>
          <w:tcPr>
            <w:tcW w:type="dxa" w:w="1526"/>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v4</w:t>
            </w:r>
          </w:p>
        </w:tc>
        <w:tc>
          <w:tcPr>
            <w:tcW w:type="dxa" w:w="2000"/>
            <w:tcBorders>
              <w:top w:val="single" w:color="BFCFE0" w:sz="4"/>
              <w:left w:val="single" w:color="BFCFE0" w:sz="4"/>
              <w:bottom w:val="single" w:color="BFCFE0" w:sz="4"/>
              <w:right w:val="single" w:color="BFCF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w:t>
            </w:r>
          </w:p>
        </w:tc>
      </w:tr>
      <w:tr>
        <w:tc>
          <w:tcPr>
            <w:tcW w:type="dxa" w:w="3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PDB BMP-7</w:t>
            </w:r>
          </w:p>
        </w:tc>
        <w:tc>
          <w:tcPr>
            <w:tcW w:type="dxa" w:w="25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1LXI</w:t>
            </w:r>
          </w:p>
        </w:tc>
        <w:tc>
          <w:tcPr>
            <w:tcW w:type="dxa" w:w="1526"/>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t>
            </w:r>
          </w:p>
        </w:tc>
        <w:tc>
          <w:tcPr>
            <w:tcW w:type="dxa" w:w="2000"/>
            <w:tcBorders>
              <w:top w:val="single" w:color="BFCFE0" w:sz="4"/>
              <w:left w:val="single" w:color="BFCFE0" w:sz="4"/>
              <w:bottom w:val="single" w:color="BFCFE0" w:sz="4"/>
              <w:right w:val="single" w:color="BFCFE0" w:sz="4"/>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w:t>
            </w:r>
          </w:p>
        </w:tc>
      </w:tr>
    </w:tbl>
    <w:p>
      <w:r>
        <w:br w:type="page"/>
      </w:r>
    </w:p>
    <w:p>
      <w:pPr>
        <w:pStyle w:val="Heading1"/>
        <w:spacing w:after="240" w:before="480"/>
      </w:pPr>
      <w:r>
        <w:rPr>
          <w:rFonts w:ascii="Arial" w:cs="Arial" w:eastAsia="Arial" w:hAnsi="Arial"/>
          <w:b/>
          <w:bCs/>
          <w:color w:val="0D2137"/>
          <w:sz w:val="36"/>
          <w:szCs w:val="36"/>
        </w:rPr>
        <w:t xml:space="preserve">9. References</w:t>
      </w:r>
    </w:p>
    <w:p>
      <w:pPr>
        <w:pBdr>
          <w:bottom w:val="single" w:color="1F4E79" w:sz="6" w:space="1"/>
        </w:pBdr>
        <w:spacing w:after="160"/>
      </w:pPr>
      <w:r>
        <w:rPr>
          <w:sz w:val="2"/>
          <w:szCs w:val="2"/>
        </w:rPr>
        <w:t xml:space="preserve"/>
      </w:r>
    </w:p>
    <w:p>
      <w:pPr>
        <w:spacing w:after="120"/>
        <w:ind w:left="720" w:hanging="360"/>
      </w:pPr>
      <w:r>
        <w:rPr>
          <w:rFonts w:ascii="Arial" w:cs="Arial" w:eastAsia="Arial" w:hAnsi="Arial"/>
          <w:b/>
          <w:bCs/>
          <w:color w:val="1F4E79"/>
          <w:sz w:val="20"/>
          <w:szCs w:val="20"/>
        </w:rPr>
        <w:t xml:space="preserve">[1] </w:t>
      </w:r>
      <w:r>
        <w:rPr>
          <w:rFonts w:ascii="Arial" w:cs="Arial" w:eastAsia="Arial" w:hAnsi="Arial"/>
          <w:color w:val="1A1A2E"/>
          <w:sz w:val="20"/>
          <w:szCs w:val="20"/>
        </w:rPr>
        <w:t xml:space="preserve">Parkin N, Bhatti K, Malik A, et al. Tooth agenesis and its genetic basis. Adv Dent Res. 2021;32(2):56–65. doi:10.1177/0022034521996703</w:t>
      </w:r>
    </w:p>
    <w:p>
      <w:pPr>
        <w:spacing w:after="120"/>
        <w:ind w:left="720" w:hanging="360"/>
      </w:pPr>
      <w:r>
        <w:rPr>
          <w:rFonts w:ascii="Arial" w:cs="Arial" w:eastAsia="Arial" w:hAnsi="Arial"/>
          <w:b/>
          <w:bCs/>
          <w:color w:val="1F4E79"/>
          <w:sz w:val="20"/>
          <w:szCs w:val="20"/>
        </w:rPr>
        <w:t xml:space="preserve">[2] </w:t>
      </w:r>
      <w:r>
        <w:rPr>
          <w:rFonts w:ascii="Arial" w:cs="Arial" w:eastAsia="Arial" w:hAnsi="Arial"/>
          <w:color w:val="1A1A2E"/>
          <w:sz w:val="20"/>
          <w:szCs w:val="20"/>
        </w:rPr>
        <w:t xml:space="preserve">Murashima-Suginami A, Takahashi K, Saito K, et al. Anti-USAG-1 therapy for tooth regeneration through enhanced BMP signalling. Sci Adv. 2021;7(7):eabf1798. doi:10.1126/sciadv.abf1798</w:t>
      </w:r>
    </w:p>
    <w:p>
      <w:pPr>
        <w:spacing w:after="120"/>
        <w:ind w:left="720" w:hanging="360"/>
      </w:pPr>
      <w:r>
        <w:rPr>
          <w:rFonts w:ascii="Arial" w:cs="Arial" w:eastAsia="Arial" w:hAnsi="Arial"/>
          <w:b/>
          <w:bCs/>
          <w:color w:val="1F4E79"/>
          <w:sz w:val="20"/>
          <w:szCs w:val="20"/>
        </w:rPr>
        <w:t xml:space="preserve">[3] </w:t>
      </w:r>
      <w:r>
        <w:rPr>
          <w:rFonts w:ascii="Arial" w:cs="Arial" w:eastAsia="Arial" w:hAnsi="Arial"/>
          <w:color w:val="1A1A2E"/>
          <w:sz w:val="20"/>
          <w:szCs w:val="20"/>
        </w:rPr>
        <w:t xml:space="preserve">Krivanek J, Soldatov RA, Kastriti ME, et al. Dental cell type atlas reveals stem and differentiated cell types in mouse and human teeth. Nat Commun. 2020;11(1):4816. doi:10.1038/s41467-020-18512-7</w:t>
      </w:r>
    </w:p>
    <w:p>
      <w:pPr>
        <w:spacing w:after="120"/>
        <w:ind w:left="720" w:hanging="360"/>
      </w:pPr>
      <w:r>
        <w:rPr>
          <w:rFonts w:ascii="Arial" w:cs="Arial" w:eastAsia="Arial" w:hAnsi="Arial"/>
          <w:b/>
          <w:bCs/>
          <w:color w:val="1F4E79"/>
          <w:sz w:val="20"/>
          <w:szCs w:val="20"/>
        </w:rPr>
        <w:t xml:space="preserve">[4] </w:t>
      </w:r>
      <w:r>
        <w:rPr>
          <w:rFonts w:ascii="Arial" w:cs="Arial" w:eastAsia="Arial" w:hAnsi="Arial"/>
          <w:color w:val="1A1A2E"/>
          <w:sz w:val="20"/>
          <w:szCs w:val="20"/>
        </w:rPr>
        <w:t xml:space="preserve">Kim TM, Lavin V, Price AE, et al. USAG-1 and regenerative dentistry, therapeutic implications and future directions: review of the literature. J Periodontol. 2025;96(3):e1–e18. doi:10.1002/JPER.24-0342 [PMC12867463]</w:t>
      </w:r>
    </w:p>
    <w:p>
      <w:pPr>
        <w:spacing w:after="120"/>
        <w:ind w:left="720" w:hanging="360"/>
      </w:pPr>
      <w:r>
        <w:rPr>
          <w:rFonts w:ascii="Arial" w:cs="Arial" w:eastAsia="Arial" w:hAnsi="Arial"/>
          <w:b/>
          <w:bCs/>
          <w:color w:val="1F4E79"/>
          <w:sz w:val="20"/>
          <w:szCs w:val="20"/>
        </w:rPr>
        <w:t xml:space="preserve">[5] </w:t>
      </w:r>
      <w:r>
        <w:rPr>
          <w:rFonts w:ascii="Arial" w:cs="Arial" w:eastAsia="Arial" w:hAnsi="Arial"/>
          <w:color w:val="1A1A2E"/>
          <w:sz w:val="20"/>
          <w:szCs w:val="20"/>
        </w:rPr>
        <w:t xml:space="preserve">Kiso H, Takahashi K, Saito K, et al. Interactions between BMP-7 and USAG-1 (Uterine Sensitization-Associated Gene-1) regulate supernumerary organ formations. PLoS One. 2014;9(5):e96938. doi:10.1371/journal.pone.0096938</w:t>
      </w:r>
    </w:p>
    <w:p>
      <w:pPr>
        <w:spacing w:after="120"/>
        <w:ind w:left="720" w:hanging="360"/>
      </w:pPr>
      <w:r>
        <w:rPr>
          <w:rFonts w:ascii="Arial" w:cs="Arial" w:eastAsia="Arial" w:hAnsi="Arial"/>
          <w:b/>
          <w:bCs/>
          <w:color w:val="1F4E79"/>
          <w:sz w:val="20"/>
          <w:szCs w:val="20"/>
        </w:rPr>
        <w:t xml:space="preserve">[6] </w:t>
      </w:r>
      <w:r>
        <w:rPr>
          <w:rFonts w:ascii="Arial" w:cs="Arial" w:eastAsia="Arial" w:hAnsi="Arial"/>
          <w:color w:val="1A1A2E"/>
          <w:sz w:val="20"/>
          <w:szCs w:val="20"/>
        </w:rPr>
        <w:t xml:space="preserve">Ahn Y, Sanderson BW, Klein OD, Krumlauf R. Inhibition of Wnt signalling by Wise (Sostdc1) and negative feedback from Shh controls tooth number and patterning. Development. 2010;137(19):3221–3231. doi:10.1242/dev.054668</w:t>
      </w:r>
    </w:p>
    <w:p>
      <w:pPr>
        <w:spacing w:after="120"/>
        <w:ind w:left="720" w:hanging="360"/>
      </w:pPr>
      <w:r>
        <w:rPr>
          <w:rFonts w:ascii="Arial" w:cs="Arial" w:eastAsia="Arial" w:hAnsi="Arial"/>
          <w:b/>
          <w:bCs/>
          <w:color w:val="1F4E79"/>
          <w:sz w:val="20"/>
          <w:szCs w:val="20"/>
        </w:rPr>
        <w:t xml:space="preserve">[7] </w:t>
      </w:r>
      <w:r>
        <w:rPr>
          <w:rFonts w:ascii="Arial" w:cs="Arial" w:eastAsia="Arial" w:hAnsi="Arial"/>
          <w:color w:val="1A1A2E"/>
          <w:sz w:val="20"/>
          <w:szCs w:val="20"/>
        </w:rPr>
        <w:t xml:space="preserve">Murashima-Suginami A, Takahashi K, Saito K, et al. Development of a new antibody drug to treat congenital tooth agenesis. Arch Oral Biol. 2024;167:106063. doi:10.1016/j.archoralbio.2024.106063</w:t>
      </w:r>
    </w:p>
    <w:p>
      <w:pPr>
        <w:spacing w:after="120"/>
        <w:ind w:left="720" w:hanging="360"/>
      </w:pPr>
      <w:r>
        <w:rPr>
          <w:rFonts w:ascii="Arial" w:cs="Arial" w:eastAsia="Arial" w:hAnsi="Arial"/>
          <w:b/>
          <w:bCs/>
          <w:color w:val="1F4E79"/>
          <w:sz w:val="20"/>
          <w:szCs w:val="20"/>
        </w:rPr>
        <w:t xml:space="preserve">[8] </w:t>
      </w:r>
      <w:r>
        <w:rPr>
          <w:rFonts w:ascii="Arial" w:cs="Arial" w:eastAsia="Arial" w:hAnsi="Arial"/>
          <w:color w:val="1A1A2E"/>
          <w:sz w:val="20"/>
          <w:szCs w:val="20"/>
        </w:rPr>
        <w:t xml:space="preserve">Thesleff I. Current understanding of the process of tooth formation: transfer from the laboratory to the clinic. Aust Dent J. 2014;59(Suppl 1):48–54. doi:10.1111/adj.12102</w:t>
      </w:r>
    </w:p>
    <w:p>
      <w:pPr>
        <w:spacing w:after="120"/>
        <w:ind w:left="720" w:hanging="360"/>
      </w:pPr>
      <w:r>
        <w:rPr>
          <w:rFonts w:ascii="Arial" w:cs="Arial" w:eastAsia="Arial" w:hAnsi="Arial"/>
          <w:b/>
          <w:bCs/>
          <w:color w:val="1F4E79"/>
          <w:sz w:val="20"/>
          <w:szCs w:val="20"/>
        </w:rPr>
        <w:t xml:space="preserve">[9] </w:t>
      </w:r>
      <w:r>
        <w:rPr>
          <w:rFonts w:ascii="Arial" w:cs="Arial" w:eastAsia="Arial" w:hAnsi="Arial"/>
          <w:color w:val="1A1A2E"/>
          <w:sz w:val="20"/>
          <w:szCs w:val="20"/>
        </w:rPr>
        <w:t xml:space="preserve">Nanci A. Ten Cate's Oral Histology: Development, Structure, and Function. 9th ed. Elsevier; 2017. ISBN: 9780323485234</w:t>
      </w:r>
    </w:p>
    <w:p>
      <w:pPr>
        <w:spacing w:after="120"/>
        <w:ind w:left="720" w:hanging="360"/>
      </w:pPr>
      <w:r>
        <w:rPr>
          <w:rFonts w:ascii="Arial" w:cs="Arial" w:eastAsia="Arial" w:hAnsi="Arial"/>
          <w:b/>
          <w:bCs/>
          <w:color w:val="1F4E79"/>
          <w:sz w:val="20"/>
          <w:szCs w:val="20"/>
        </w:rPr>
        <w:t xml:space="preserve">[10] </w:t>
      </w:r>
      <w:r>
        <w:rPr>
          <w:rFonts w:ascii="Arial" w:cs="Arial" w:eastAsia="Arial" w:hAnsi="Arial"/>
          <w:color w:val="1A1A2E"/>
          <w:sz w:val="20"/>
          <w:szCs w:val="20"/>
        </w:rPr>
        <w:t xml:space="preserve">Liu F, Thirumangalathu S, Gallant NM, et al. Wnt-beta-catenin signalling initiates tooth organogenesis by controlling the development of the dental lamina. PLoS Genet. 2008;4(7):e1000144. doi:10.1371/journal.pgen.1000144</w:t>
      </w:r>
    </w:p>
    <w:p>
      <w:pPr>
        <w:spacing w:after="120"/>
        <w:ind w:left="720" w:hanging="360"/>
      </w:pPr>
      <w:r>
        <w:rPr>
          <w:rFonts w:ascii="Arial" w:cs="Arial" w:eastAsia="Arial" w:hAnsi="Arial"/>
          <w:b/>
          <w:bCs/>
          <w:color w:val="1F4E79"/>
          <w:sz w:val="20"/>
          <w:szCs w:val="20"/>
        </w:rPr>
        <w:t xml:space="preserve">[11] </w:t>
      </w:r>
      <w:r>
        <w:rPr>
          <w:rFonts w:ascii="Arial" w:cs="Arial" w:eastAsia="Arial" w:hAnsi="Arial"/>
          <w:color w:val="1A1A2E"/>
          <w:sz w:val="20"/>
          <w:szCs w:val="20"/>
        </w:rPr>
        <w:t xml:space="preserve">Theveneau E, et al. DKK4 mediates enamel knot signal coordination in tooth morphogenesis. Sci Adv. 2023;9:eade5064.</w:t>
      </w:r>
    </w:p>
    <w:p>
      <w:pPr>
        <w:spacing w:after="120"/>
        <w:ind w:left="720" w:hanging="360"/>
      </w:pPr>
      <w:r>
        <w:rPr>
          <w:rFonts w:ascii="Arial" w:cs="Arial" w:eastAsia="Arial" w:hAnsi="Arial"/>
          <w:b/>
          <w:bCs/>
          <w:color w:val="1F4E79"/>
          <w:sz w:val="20"/>
          <w:szCs w:val="20"/>
        </w:rPr>
        <w:t xml:space="preserve">[12] </w:t>
      </w:r>
      <w:r>
        <w:rPr>
          <w:rFonts w:ascii="Arial" w:cs="Arial" w:eastAsia="Arial" w:hAnsi="Arial"/>
          <w:color w:val="1A1A2E"/>
          <w:sz w:val="20"/>
          <w:szCs w:val="20"/>
        </w:rPr>
        <w:t xml:space="preserve">Nolan K, Dobaczewski M, Bhutani N, et al. Structural basis of BMP binding by cystine-knot antagonists. J Mol Biol. 2015;427(19):3184–3196. doi:10.1016/j.jmb.2015.07.015</w:t>
      </w:r>
    </w:p>
    <w:p>
      <w:pPr>
        <w:spacing w:after="120"/>
        <w:ind w:left="720" w:hanging="360"/>
      </w:pPr>
      <w:r>
        <w:rPr>
          <w:rFonts w:ascii="Arial" w:cs="Arial" w:eastAsia="Arial" w:hAnsi="Arial"/>
          <w:b/>
          <w:bCs/>
          <w:color w:val="1F4E79"/>
          <w:sz w:val="20"/>
          <w:szCs w:val="20"/>
        </w:rPr>
        <w:t xml:space="preserve">[13] </w:t>
      </w:r>
      <w:r>
        <w:rPr>
          <w:rFonts w:ascii="Arial" w:cs="Arial" w:eastAsia="Arial" w:hAnsi="Arial"/>
          <w:color w:val="1A1A2E"/>
          <w:sz w:val="20"/>
          <w:szCs w:val="20"/>
        </w:rPr>
        <w:t xml:space="preserve">Bhaskar V, Ramachandra NB, Madhusoodanan UK. USAG1 protein: An important drug target in teeth regeneration. bioRxiv. 2022. doi:10.1101/2022.08.01.502414</w:t>
      </w:r>
    </w:p>
    <w:p>
      <w:pPr>
        <w:spacing w:after="120"/>
        <w:ind w:left="720" w:hanging="360"/>
      </w:pPr>
      <w:r>
        <w:rPr>
          <w:rFonts w:ascii="Arial" w:cs="Arial" w:eastAsia="Arial" w:hAnsi="Arial"/>
          <w:b/>
          <w:bCs/>
          <w:color w:val="1F4E79"/>
          <w:sz w:val="20"/>
          <w:szCs w:val="20"/>
        </w:rPr>
        <w:t xml:space="preserve">[14] </w:t>
      </w:r>
      <w:r>
        <w:rPr>
          <w:rFonts w:ascii="Arial" w:cs="Arial" w:eastAsia="Arial" w:hAnsi="Arial"/>
          <w:color w:val="1A1A2E"/>
          <w:sz w:val="20"/>
          <w:szCs w:val="20"/>
        </w:rPr>
        <w:t xml:space="preserve">Nolan K, Mechtersheimer J, Bhutani N, Mueller TD. Sclerostin does not directly interact with LRP5 or LRP6. J Biol Chem. 2016;291(52):26620–26636. doi:10.1074/jbc.M116.755934</w:t>
      </w:r>
    </w:p>
    <w:p>
      <w:pPr>
        <w:spacing w:after="120"/>
        <w:ind w:left="720" w:hanging="360"/>
      </w:pPr>
      <w:r>
        <w:rPr>
          <w:rFonts w:ascii="Arial" w:cs="Arial" w:eastAsia="Arial" w:hAnsi="Arial"/>
          <w:b/>
          <w:bCs/>
          <w:color w:val="1F4E79"/>
          <w:sz w:val="20"/>
          <w:szCs w:val="20"/>
        </w:rPr>
        <w:t xml:space="preserve">[15] </w:t>
      </w:r>
      <w:r>
        <w:rPr>
          <w:rFonts w:ascii="Arial" w:cs="Arial" w:eastAsia="Arial" w:hAnsi="Arial"/>
          <w:color w:val="1A1A2E"/>
          <w:sz w:val="20"/>
          <w:szCs w:val="20"/>
        </w:rPr>
        <w:t xml:space="preserve">Parkin N, Sharpe PT. Human tooth loss and genetics: current knowledge. Genes (Basel). 2021;12(9):1316. doi:10.3390/genes12091316</w:t>
      </w:r>
    </w:p>
    <w:p>
      <w:pPr>
        <w:spacing w:after="120"/>
        <w:ind w:left="720" w:hanging="360"/>
      </w:pPr>
      <w:r>
        <w:rPr>
          <w:rFonts w:ascii="Arial" w:cs="Arial" w:eastAsia="Arial" w:hAnsi="Arial"/>
          <w:b/>
          <w:bCs/>
          <w:color w:val="1F4E79"/>
          <w:sz w:val="20"/>
          <w:szCs w:val="20"/>
        </w:rPr>
        <w:t xml:space="preserve">[16] </w:t>
      </w:r>
      <w:r>
        <w:rPr>
          <w:rFonts w:ascii="Arial" w:cs="Arial" w:eastAsia="Arial" w:hAnsi="Arial"/>
          <w:color w:val="1A1A2E"/>
          <w:sz w:val="20"/>
          <w:szCs w:val="20"/>
        </w:rPr>
        <w:t xml:space="preserve">Spielmann N, Wong DT. Saliva: diagnostics and therapeutic perspectives. Oral Dis. 2011;17(4):345–354. doi:10.1111/j.1601-0825.2010.01773.x</w:t>
      </w:r>
    </w:p>
    <w:p>
      <w:pPr>
        <w:spacing w:after="120"/>
        <w:ind w:left="720" w:hanging="360"/>
      </w:pPr>
      <w:r>
        <w:rPr>
          <w:rFonts w:ascii="Arial" w:cs="Arial" w:eastAsia="Arial" w:hAnsi="Arial"/>
          <w:b/>
          <w:bCs/>
          <w:color w:val="1F4E79"/>
          <w:sz w:val="20"/>
          <w:szCs w:val="20"/>
        </w:rPr>
        <w:t xml:space="preserve">[17] </w:t>
      </w:r>
      <w:r>
        <w:rPr>
          <w:rFonts w:ascii="Arial" w:cs="Arial" w:eastAsia="Arial" w:hAnsi="Arial"/>
          <w:color w:val="1A1A2E"/>
          <w:sz w:val="20"/>
          <w:szCs w:val="20"/>
        </w:rPr>
        <w:t xml:space="preserve">Szabo M, Begley L, Xia Y, et al. Cross-species transcriptomic validation improves biomarker translation from mouse to human. Cell Syst. 2023;14(4):307–322.</w:t>
      </w:r>
    </w:p>
    <w:p>
      <w:pPr>
        <w:spacing w:after="120"/>
        <w:ind w:left="720" w:hanging="360"/>
      </w:pPr>
      <w:r>
        <w:rPr>
          <w:rFonts w:ascii="Arial" w:cs="Arial" w:eastAsia="Arial" w:hAnsi="Arial"/>
          <w:b/>
          <w:bCs/>
          <w:color w:val="1F4E79"/>
          <w:sz w:val="20"/>
          <w:szCs w:val="20"/>
        </w:rPr>
        <w:t xml:space="preserve">[18] </w:t>
      </w:r>
      <w:r>
        <w:rPr>
          <w:rFonts w:ascii="Arial" w:cs="Arial" w:eastAsia="Arial" w:hAnsi="Arial"/>
          <w:color w:val="1A1A2E"/>
          <w:sz w:val="20"/>
          <w:szCs w:val="20"/>
        </w:rPr>
        <w:t xml:space="preserve">Komori T. Runx2, an inducer of osteoblast and chondrocyte differentiation. Histochem Cell Biol. 2018;149(4):313–323. doi:10.1007/s00418-018-1640-6</w:t>
      </w:r>
    </w:p>
    <w:p>
      <w:pPr>
        <w:spacing w:after="200"/>
      </w:pPr>
    </w:p>
    <w:p>
      <w:pPr>
        <w:pBdr>
          <w:bottom w:val="single" w:color="1F4E79" w:sz="6" w:space="1"/>
        </w:pBdr>
        <w:spacing w:after="160"/>
      </w:pPr>
      <w:r>
        <w:rPr>
          <w:sz w:val="2"/>
          <w:szCs w:val="2"/>
        </w:rPr>
        <w:t xml:space="preserve"/>
      </w:r>
    </w:p>
    <w:p>
      <w:pPr>
        <w:spacing w:after="0"/>
        <w:jc w:val="center"/>
      </w:pPr>
      <w:r>
        <w:rPr>
          <w:rFonts w:ascii="Arial" w:cs="Arial" w:eastAsia="Arial" w:hAnsi="Arial"/>
          <w:i/>
          <w:iCs/>
          <w:color w:val="5A6A7A"/>
          <w:sz w:val="18"/>
          <w:szCs w:val="18"/>
        </w:rPr>
        <w:t xml:space="preserve">End of Report  —  USAG-1 Bioinformatics Validation Project  —  June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F4E79" w:sz="6" w:space="1"/>
      </w:pBdr>
      <w:spacing w:after="160"/>
    </w:pPr>
    <w:r>
      <w:rPr>
        <w:sz w:val="2"/>
        <w:szCs w:val="2"/>
      </w:rPr>
      <w:t xml:space="preserve"/>
    </w:r>
  </w:p>
  <w:p>
    <w:pPr>
      <w:tabs>
        <w:tab w:val="right" w:pos="9026"/>
      </w:tabs>
    </w:pPr>
    <w:r>
      <w:rPr>
        <w:rFonts w:ascii="Arial" w:cs="Arial" w:eastAsia="Arial" w:hAnsi="Arial"/>
        <w:color w:val="5A6A7A"/>
        <w:sz w:val="16"/>
        <w:szCs w:val="16"/>
      </w:rPr>
      <w:t xml:space="preserve">MSc Bioinformatics  |  SOSTDC1 / USAG-1 Computational Validation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A6A7A"/>
        <w:sz w:val="18"/>
        <w:szCs w:val="18"/>
      </w:rPr>
      <w:t xml:space="preserve">USAG-1 Bioinformatics Validation  |  Graduation Research Report  |  2026</w:t>
    </w:r>
  </w:p>
  <w:p>
    <w:pPr>
      <w:pBdr>
        <w:bottom w:val="single" w:color="1F4E79" w:sz="6" w:space="1"/>
      </w:pBdr>
      <w:spacing w:after="16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2137"/>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x6tfjfktqlatissolgqf" Type="http://schemas.openxmlformats.org/officeDocument/2006/relationships/hyperlink" Target="https://github.com/[your-username]/USAG1-Validation" TargetMode="External"/><Relationship Id="rIdfotia-pdsvqv3dmpp82vu" Type="http://schemas.openxmlformats.org/officeDocument/2006/relationships/hyperlink" Target="https://[your-username].github.io/USAG1-Validati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2026-06-26T22:19:10.879Z</dcterms:created>
  <dcterms:modified xsi:type="dcterms:W3CDTF">2026-06-26T22:19:10.893Z</dcterms:modified>
</cp:coreProperties>
</file>

<file path=docProps/custom.xml><?xml version="1.0" encoding="utf-8"?>
<Properties xmlns="http://schemas.openxmlformats.org/officeDocument/2006/custom-properties" xmlns:vt="http://schemas.openxmlformats.org/officeDocument/2006/docPropsVTypes"/>
</file>