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200"/>
        <w:jc w:val="center"/>
      </w:pPr>
      <w:r>
        <w:rPr>
          <w:rFonts w:ascii="Arial" w:cs="Arial" w:eastAsia="Arial" w:hAnsi="Arial"/>
          <w:b/>
          <w:bCs/>
          <w:color w:val="1F3864"/>
          <w:sz w:val="52"/>
          <w:szCs w:val="52"/>
        </w:rPr>
        <w:t xml:space="preserve">Redundancy Analysis of Receptor and Non-Receptor</w:t>
      </w:r>
    </w:p>
    <w:p>
      <w:pPr>
        <w:spacing w:after="400"/>
        <w:jc w:val="center"/>
      </w:pPr>
      <w:r>
        <w:rPr>
          <w:rFonts w:ascii="Arial" w:cs="Arial" w:eastAsia="Arial" w:hAnsi="Arial"/>
          <w:b/>
          <w:bCs/>
          <w:color w:val="1F3864"/>
          <w:sz w:val="52"/>
          <w:szCs w:val="52"/>
        </w:rPr>
        <w:t xml:space="preserve">Tyrosine Kinases in Breast Cancer (BRCA)</w:t>
      </w:r>
    </w:p>
    <w:p>
      <w:pPr>
        <w:spacing w:after="160"/>
        <w:jc w:val="center"/>
      </w:pPr>
      <w:r>
        <w:rPr>
          <w:rFonts w:ascii="Arial" w:cs="Arial" w:eastAsia="Arial" w:hAnsi="Arial"/>
          <w:i/>
          <w:iCs/>
          <w:color w:val="444444"/>
          <w:sz w:val="26"/>
          <w:szCs w:val="26"/>
        </w:rPr>
        <w:t xml:space="preserve">A Multi-Modal Computational Analysis Integrating Protein Sequence Embeddings,</w:t>
      </w:r>
    </w:p>
    <w:p>
      <w:pPr>
        <w:spacing w:after="600"/>
        <w:jc w:val="center"/>
      </w:pPr>
      <w:r>
        <w:rPr>
          <w:rFonts w:ascii="Arial" w:cs="Arial" w:eastAsia="Arial" w:hAnsi="Arial"/>
          <w:i/>
          <w:iCs/>
          <w:color w:val="444444"/>
          <w:sz w:val="26"/>
          <w:szCs w:val="26"/>
        </w:rPr>
        <w:t xml:space="preserve">Transcriptomic Co-expression, and Mutational Co-occurrence with Bootstrap Statistical Validation</w:t>
      </w:r>
    </w:p>
    <w:p>
      <w:pPr>
        <w:pBdr>
          <w:bottom w:val="single" w:color="2E74B5" w:sz="4" w:space="1"/>
        </w:pBdr>
        <w:spacing w:before="240" w:after="240"/>
      </w:pPr>
      <w:r>
        <w:t xml:space="preserve"/>
      </w:r>
    </w:p>
    <w:p>
      <w:pPr>
        <w:spacing w:after="120"/>
        <w:jc w:val="center"/>
      </w:pPr>
      <w:r>
        <w:rPr>
          <w:rFonts w:ascii="Arial" w:cs="Arial" w:eastAsia="Arial" w:hAnsi="Arial"/>
          <w:color w:val="555555"/>
          <w:sz w:val="22"/>
          <w:szCs w:val="22"/>
        </w:rPr>
        <w:t xml:space="preserve">Data Source: The Cancer Genome Atlas (TCGA-BRCA)</w:t>
      </w:r>
    </w:p>
    <w:p>
      <w:pPr>
        <w:spacing w:after="120"/>
        <w:jc w:val="center"/>
      </w:pPr>
      <w:r>
        <w:rPr>
          <w:rFonts w:ascii="Arial" w:cs="Arial" w:eastAsia="Arial" w:hAnsi="Arial"/>
          <w:color w:val="555555"/>
          <w:sz w:val="22"/>
          <w:szCs w:val="22"/>
        </w:rPr>
        <w:t xml:space="preserve">Cohort: 1,082 Primary Breast Adenocarcinoma Samples</w:t>
      </w:r>
    </w:p>
    <w:p>
      <w:pPr>
        <w:spacing w:after="120"/>
        <w:jc w:val="center"/>
      </w:pPr>
      <w:r>
        <w:rPr>
          <w:rFonts w:ascii="Arial" w:cs="Arial" w:eastAsia="Arial" w:hAnsi="Arial"/>
          <w:color w:val="555555"/>
          <w:sz w:val="22"/>
          <w:szCs w:val="22"/>
        </w:rPr>
        <w:t xml:space="preserve">Kinase Panel: 43 Tyrosine Kinases (23 RTKs, 20 NRTKs)</w:t>
      </w:r>
    </w:p>
    <w:p>
      <w:pPr>
        <w:spacing w:after="600"/>
        <w:jc w:val="center"/>
      </w:pPr>
      <w:r>
        <w:rPr>
          <w:rFonts w:ascii="Arial" w:cs="Arial" w:eastAsia="Arial" w:hAnsi="Arial"/>
          <w:color w:val="555555"/>
          <w:sz w:val="22"/>
          <w:szCs w:val="22"/>
        </w:rPr>
        <w:t xml:space="preserve">Bootstrap Iterations: 50 | Confidence Interval: 95%</w:t>
      </w:r>
    </w:p>
    <w:p>
      <w:r>
        <w:br w:type="page"/>
      </w:r>
    </w:p>
    <w:p>
      <w:pPr>
        <w:pStyle w:val="Heading1"/>
      </w:pPr>
      <w:r>
        <w:rPr>
          <w:rFonts w:ascii="Arial" w:cs="Arial" w:eastAsia="Arial" w:hAnsi="Arial"/>
          <w:b/>
          <w:bCs/>
          <w:color w:val="1F3864"/>
          <w:sz w:val="32"/>
          <w:szCs w:val="32"/>
        </w:rPr>
        <w:t xml:space="preserve">Abstract</w:t>
      </w:r>
    </w:p>
    <w:p>
      <w:pPr>
        <w:spacing w:after="160"/>
      </w:pPr>
      <w:r>
        <w:rPr>
          <w:rFonts w:ascii="Arial" w:cs="Arial" w:eastAsia="Arial" w:hAnsi="Arial"/>
          <w:sz w:val="22"/>
          <w:szCs w:val="22"/>
        </w:rPr>
        <w:t xml:space="preserve">Functional redundancy among protein tyrosine kinases represents a major mechanism of acquired therapeutic resistance in breast cancer. When a targeted kinase is inhibited, a redundant kinase can compensate for its loss and sustain downstream oncogenic signalling. Identifying such redundant kinase pairs is therefore of direct clinical relevance. Here we present a comprehensive multi-modal computational framework to systematically quantify redundancy between 23 receptor tyrosine kinases (RTKs) and 20 non-receptor tyrosine kinases (NRTKs) across 1,082 primary breast cancer samples from The Cancer Genome Atlas (TCGA-BRCA).</w:t>
      </w:r>
    </w:p>
    <w:p>
      <w:pPr>
        <w:spacing w:after="160"/>
      </w:pPr>
      <w:r>
        <w:rPr>
          <w:rFonts w:ascii="Arial" w:cs="Arial" w:eastAsia="Arial" w:hAnsi="Arial"/>
          <w:sz w:val="22"/>
          <w:szCs w:val="22"/>
        </w:rPr>
        <w:t xml:space="preserve">Redundancy was operationalised as a composite score integrating three complementary dimensions: (i) protein sequence similarity via contextualised embeddings from the ESM-2 650M parameter language model, (ii) transcriptomic co-expression measured by Pearson correlation across tumour samples, and (iii) mutational co-occurrence quantified by Fisher’s exact test. Each component was independently normalised and combined with equal weighting. Statistical robustness was established via a bootstrap resampling framework (n = 50 iterations, 95% confidence intervals, α = 0.05).</w:t>
      </w:r>
    </w:p>
    <w:p>
      <w:pPr>
        <w:spacing w:after="160"/>
      </w:pPr>
      <w:r>
        <w:rPr>
          <w:rFonts w:ascii="Arial" w:cs="Arial" w:eastAsia="Arial" w:hAnsi="Arial"/>
          <w:sz w:val="22"/>
          <w:szCs w:val="22"/>
        </w:rPr>
        <w:t xml:space="preserve">The score distribution revealed a unimodal structure centred at approximately 0.40, with a 75th percentile of 0.418 and a 90th percentile of 0.458. The heatmap analysis identified strong intra-class redundancy clusters, particularly within the ERBB/HER family among RTKs and within the SRC-family kinases among NRTKs. At the current bootstrap iteration count (n = 50), no pair achieved formal statistical significance at p &lt; 0.05 due to the limited power of the empirical p-value estimation, a limitation that is explicitly characterised. These findings provide a data-driven foundation for prioritising combination kinase inhibitor strategies in breast cancer and motivate expanded bootstrapping for definitive statistical inference.</w:t>
      </w:r>
    </w:p>
    <w:p>
      <w:r>
        <w:t xml:space="preserve"/>
      </w:r>
    </w:p>
    <w:p>
      <w:pPr>
        <w:spacing w:after="160"/>
      </w:pPr>
      <w:r>
        <w:rPr>
          <w:rFonts w:ascii="Arial" w:cs="Arial" w:eastAsia="Arial" w:hAnsi="Arial"/>
          <w:b/>
          <w:bCs/>
          <w:sz w:val="22"/>
          <w:szCs w:val="22"/>
        </w:rPr>
        <w:t xml:space="preserve">Keywords: </w:t>
      </w:r>
      <w:r>
        <w:rPr>
          <w:rFonts w:ascii="Arial" w:cs="Arial" w:eastAsia="Arial" w:hAnsi="Arial"/>
          <w:sz w:val="22"/>
          <w:szCs w:val="22"/>
        </w:rPr>
        <w:t xml:space="preserve">receptor tyrosine kinase, non-receptor tyrosine kinase, kinase redundancy, breast cancer, TCGA, ESM-2, bootstrap, drug resistance, network analysis</w:t>
      </w:r>
    </w:p>
    <w:p>
      <w:r>
        <w:br w:type="page"/>
      </w:r>
    </w:p>
    <w:p>
      <w:pPr>
        <w:pStyle w:val="Heading1"/>
      </w:pPr>
      <w:r>
        <w:rPr>
          <w:rFonts w:ascii="Arial" w:cs="Arial" w:eastAsia="Arial" w:hAnsi="Arial"/>
          <w:b/>
          <w:bCs/>
          <w:color w:val="1F3864"/>
          <w:sz w:val="32"/>
          <w:szCs w:val="32"/>
        </w:rPr>
        <w:t xml:space="preserve">1. Introduction</w:t>
      </w:r>
    </w:p>
    <w:p>
      <w:pPr>
        <w:spacing w:after="160"/>
      </w:pPr>
      <w:r>
        <w:rPr>
          <w:rFonts w:ascii="Arial" w:cs="Arial" w:eastAsia="Arial" w:hAnsi="Arial"/>
          <w:sz w:val="22"/>
          <w:szCs w:val="22"/>
        </w:rPr>
        <w:t xml:space="preserve">Protein tyrosine kinases (PTKs) are central regulators of cell proliferation, survival, differentiation, and motility. In breast cancer, dysregulation of PTK signalling is ubiquitous: ERBB2 (HER2) is amplified in approximately 15–20% of cases, EGFR is overexpressed in triple-negative subtypes, and the broader landscape of RTK and NRTK activity shapes tumour biology across all molecular subtypes. The clinical success of targeted kinase inhibitors — including trastuzumab, lapatinib, and neratinib for HER2-positive disease — has validated kinases as therapeutic targets. However, durable responses remain elusive, largely because tumour cells exploit functionally redundant kinase pathways to bypass single-agent inhibition.</w:t>
      </w:r>
    </w:p>
    <w:p>
      <w:pPr>
        <w:spacing w:after="160"/>
      </w:pPr>
      <w:r>
        <w:rPr>
          <w:rFonts w:ascii="Arial" w:cs="Arial" w:eastAsia="Arial" w:hAnsi="Arial"/>
          <w:sz w:val="22"/>
          <w:szCs w:val="22"/>
        </w:rPr>
        <w:t xml:space="preserve">Kinase redundancy can arise at multiple levels. At the sequence level, kinases within the same family share conserved catalytic domains and substrate recognition motifs, enabling direct functional substitution. At the transcriptomic level, co-expressed kinases may be co-regulated by shared transcription factors or epigenetic programmes, such that inhibition of one member triggers compensatory upregulation of another. At the mutational level, kinases that are frequently co-mutated may participate in common oncogenic programmes where loss or gain of one member is tolerated — or compensated for — by another.</w:t>
      </w:r>
    </w:p>
    <w:p>
      <w:pPr>
        <w:spacing w:after="160"/>
      </w:pPr>
      <w:r>
        <w:rPr>
          <w:rFonts w:ascii="Arial" w:cs="Arial" w:eastAsia="Arial" w:hAnsi="Arial"/>
          <w:sz w:val="22"/>
          <w:szCs w:val="22"/>
        </w:rPr>
        <w:t xml:space="preserve">Existing approaches to identifying kinase redundancy have typically relied on single-modality evidence: sequence homology alone (e.g., kinase family classification) or co-expression alone (e.g., WGCNA-based gene modules). These approaches are informative but incomplete. A kinase pair that is highly similar in sequence but expressed in a mutually exclusive pattern in breast cancer tumours may not be functionally redundant in that disease context. Conversely, a pair with modest sequence similarity but tightly correlated expression and co-mutational patterns may represent a clinically relevant compensatory axis.</w:t>
      </w:r>
    </w:p>
    <w:p>
      <w:pPr>
        <w:spacing w:after="160"/>
      </w:pPr>
      <w:r>
        <w:rPr>
          <w:rFonts w:ascii="Arial" w:cs="Arial" w:eastAsia="Arial" w:hAnsi="Arial"/>
          <w:sz w:val="22"/>
          <w:szCs w:val="22"/>
        </w:rPr>
        <w:t xml:space="preserve">We therefore designed a multi-modal redundancy score that integrates all three dimensions simultaneously, applied it to the largest publicly available primary breast cancer genomic dataset (TCGA-BRCA), and evaluated statistical robustness through bootstrap resampling. The resulting redundancy landscape provides a ranked catalogue of kinase pairs most likely to exhibit functional compensation in breast cancer, with direct implications for rational combination therapy design.</w:t>
      </w:r>
    </w:p>
    <w:p>
      <w:r>
        <w:br w:type="page"/>
      </w:r>
    </w:p>
    <w:p>
      <w:pPr>
        <w:pStyle w:val="Heading1"/>
      </w:pPr>
      <w:r>
        <w:rPr>
          <w:rFonts w:ascii="Arial" w:cs="Arial" w:eastAsia="Arial" w:hAnsi="Arial"/>
          <w:b/>
          <w:bCs/>
          <w:color w:val="1F3864"/>
          <w:sz w:val="32"/>
          <w:szCs w:val="32"/>
        </w:rPr>
        <w:t xml:space="preserve">2. Data and Methods</w:t>
      </w:r>
    </w:p>
    <w:p>
      <w:pPr>
        <w:pStyle w:val="Heading2"/>
      </w:pPr>
      <w:r>
        <w:rPr>
          <w:rFonts w:ascii="Arial" w:cs="Arial" w:eastAsia="Arial" w:hAnsi="Arial"/>
          <w:b/>
          <w:bCs/>
          <w:color w:val="2E74B5"/>
          <w:sz w:val="26"/>
          <w:szCs w:val="26"/>
        </w:rPr>
        <w:t xml:space="preserve">2.1 Dataset and Kinase Selection</w:t>
      </w:r>
    </w:p>
    <w:p>
      <w:pPr>
        <w:spacing w:after="160"/>
      </w:pPr>
      <w:r>
        <w:rPr>
          <w:rFonts w:ascii="Arial" w:cs="Arial" w:eastAsia="Arial" w:hAnsi="Arial"/>
          <w:sz w:val="22"/>
          <w:szCs w:val="22"/>
        </w:rPr>
        <w:t xml:space="preserve">Gene expression and somatic mutation data for primary breast invasive carcinoma were obtained from The Cancer Genome Atlas (TCGA-BRCA) repository. The expression dataset comprised RNA-seq-derived transcript counts for 1,082 tumour samples and 43 tyrosine kinase genes. The mutation dataset contained binary somatic mutation calls (mutated/wild-type) for the same 1,082 samples and kinase panel. Protein sequences for all 43 kinases were retrieved from UniProt.</w:t>
      </w:r>
    </w:p>
    <w:p>
      <w:pPr>
        <w:spacing w:after="160"/>
      </w:pPr>
      <w:r>
        <w:rPr>
          <w:rFonts w:ascii="Arial" w:cs="Arial" w:eastAsia="Arial" w:hAnsi="Arial"/>
          <w:sz w:val="22"/>
          <w:szCs w:val="22"/>
        </w:rPr>
        <w:t xml:space="preserve">The kinase panel was classified into 23 RTKs and 20 NRTKs based on domain architecture (presence or absence of an extracellular ligand-binding domain and transmembrane anchor). RTKs included the ERBB/HER family (EGFR, ERBB2, ERBB3, ERBB4), FGFR family (FGFR1–4), VEGFR/FLT family (FLT1, FLT3, FLT4, KDR), and others including MET, ALK, AXL, KIT, RET, ROS1, MERTK, INSR, IGF1R, PDGFRA, and PDGFRB. NRTKs included the SRC family (SRC, LYN, LCK, HCK, FGR, FYN, BLK, YES1), ABL family (ABL1, ABL2), JAK family (JAK1, JAK2, JAK3, TYK2), TEC family (BTK, ITK, TEC), and others (CSK, PTK2, PTK2B).</w:t>
      </w:r>
    </w:p>
    <w:p>
      <w:pPr>
        <w:pStyle w:val="Heading2"/>
      </w:pPr>
      <w:r>
        <w:rPr>
          <w:rFonts w:ascii="Arial" w:cs="Arial" w:eastAsia="Arial" w:hAnsi="Arial"/>
          <w:b/>
          <w:bCs/>
          <w:color w:val="2E74B5"/>
          <w:sz w:val="26"/>
          <w:szCs w:val="26"/>
        </w:rPr>
        <w:t xml:space="preserve">2.2 Protein Sequence Embeddings (ESM-2)</w:t>
      </w:r>
    </w:p>
    <w:p>
      <w:pPr>
        <w:spacing w:after="160"/>
      </w:pPr>
      <w:r>
        <w:rPr>
          <w:rFonts w:ascii="Arial" w:cs="Arial" w:eastAsia="Arial" w:hAnsi="Arial"/>
          <w:sz w:val="22"/>
          <w:szCs w:val="22"/>
        </w:rPr>
        <w:t xml:space="preserve">Protein sequence similarity was quantified using contextualised embeddings from the ESM-2 650M parameter language model (facebook/esm2_t33_650M_UR50D), a state-of-the-art transformer trained on 250 million UniRef50 protein sequences. Unlike conventional sequence alignment methods (e.g., BLAST or Needleman-Wunsch), ESM-2 captures evolutionary and structural context through attention mechanisms, producing fixed-length representations that encode both local residue chemistry and long-range structural dependencies.</w:t>
      </w:r>
    </w:p>
    <w:p>
      <w:pPr>
        <w:spacing w:after="160"/>
      </w:pPr>
      <w:r>
        <w:rPr>
          <w:rFonts w:ascii="Arial" w:cs="Arial" w:eastAsia="Arial" w:hAnsi="Arial"/>
          <w:sz w:val="22"/>
          <w:szCs w:val="22"/>
        </w:rPr>
        <w:t xml:space="preserve">For each kinase, the full-length protein sequence was tokenised and passed through the 33-layer ESM-2 encoder. The final embedding was obtained by mean-pooling the last hidden state across all residue positions, weighted by the attention mask to exclude padding tokens. Embeddings were computed in batches of four sequences on CPU hardware. Pairwise sequence redundancy was then quantified as cosine similarity between embedding vectors, yielding a symmetric 43 × 43 matrix S_emb with values in [−1, 1].</w:t>
      </w:r>
    </w:p>
    <w:p>
      <w:pPr>
        <w:pStyle w:val="Heading2"/>
      </w:pPr>
      <w:r>
        <w:rPr>
          <w:rFonts w:ascii="Arial" w:cs="Arial" w:eastAsia="Arial" w:hAnsi="Arial"/>
          <w:b/>
          <w:bCs/>
          <w:color w:val="2E74B5"/>
          <w:sz w:val="26"/>
          <w:szCs w:val="26"/>
        </w:rPr>
        <w:t xml:space="preserve">2.3 Transcriptomic Co-expression (Pearson Correlation)</w:t>
      </w:r>
    </w:p>
    <w:p>
      <w:pPr>
        <w:spacing w:after="160"/>
      </w:pPr>
      <w:r>
        <w:rPr>
          <w:rFonts w:ascii="Arial" w:cs="Arial" w:eastAsia="Arial" w:hAnsi="Arial"/>
          <w:sz w:val="22"/>
          <w:szCs w:val="22"/>
        </w:rPr>
        <w:t xml:space="preserve">Transcriptomic co-expression was measured as the Pearson correlation coefficient between the expression profiles of each kinase pair across 1,082 tumour samples. To improve computational efficiency and numerical stability, Pearson correlation was computed in matrix form: each gene’s expression vector was z-scored (mean-centred and standard-deviation-normalised), and the correlation matrix was obtained as the matrix product of the z-scored expression matrix with its transpose, divided by the number of samples. Genes with zero variance (constant expression) were assigned a correlation of zero with all other genes. This yielded a symmetric 43 × 43 matrix S_expr with values in [−1, 1].</w:t>
      </w:r>
    </w:p>
    <w:p>
      <w:pPr>
        <w:pStyle w:val="Heading2"/>
      </w:pPr>
      <w:r>
        <w:rPr>
          <w:rFonts w:ascii="Arial" w:cs="Arial" w:eastAsia="Arial" w:hAnsi="Arial"/>
          <w:b/>
          <w:bCs/>
          <w:color w:val="2E74B5"/>
          <w:sz w:val="26"/>
          <w:szCs w:val="26"/>
        </w:rPr>
        <w:t xml:space="preserve">2.4 Mutational Co-occurrence (Fisher’s Exact Test)</w:t>
      </w:r>
    </w:p>
    <w:p>
      <w:pPr>
        <w:spacing w:after="160"/>
      </w:pPr>
      <w:r>
        <w:rPr>
          <w:rFonts w:ascii="Arial" w:cs="Arial" w:eastAsia="Arial" w:hAnsi="Arial"/>
          <w:sz w:val="22"/>
          <w:szCs w:val="22"/>
        </w:rPr>
        <w:t xml:space="preserve">Somatic mutation co-occurrence was quantified using Fisher’s exact test applied to 2 × 2 contingency tables of binary mutation status across 1,082 samples. For each gene pair (i, j), the four counts — both mutated, only i mutated, only j mutated, neither mutated — were tabulated and the two-sided Fisher p-value computed. The raw p-value was transformed to −log₁₀(p) to produce a co-occurrence score that increases with statistical significance of co-mutation. A floor of 10⁻³°⁰ was applied before log-transformation to prevent undefined values for perfectly separable contingency tables. This yielded a symmetric 43 × 43 matrix S_mut with non-negative values.</w:t>
      </w:r>
    </w:p>
    <w:p>
      <w:pPr>
        <w:pStyle w:val="Heading2"/>
      </w:pPr>
      <w:r>
        <w:rPr>
          <w:rFonts w:ascii="Arial" w:cs="Arial" w:eastAsia="Arial" w:hAnsi="Arial"/>
          <w:b/>
          <w:bCs/>
          <w:color w:val="2E74B5"/>
          <w:sz w:val="26"/>
          <w:szCs w:val="26"/>
        </w:rPr>
        <w:t xml:space="preserve">2.5 Composite Redundancy Score</w:t>
      </w:r>
    </w:p>
    <w:p>
      <w:pPr>
        <w:spacing w:after="160"/>
      </w:pPr>
      <w:r>
        <w:rPr>
          <w:rFonts w:ascii="Arial" w:cs="Arial" w:eastAsia="Arial" w:hAnsi="Arial"/>
          <w:sz w:val="22"/>
          <w:szCs w:val="22"/>
        </w:rPr>
        <w:t xml:space="preserve">Each of the three similarity matrices was independently min-max normalised to the unit interval [0, 1] prior to integration. The composite redundancy score for each gene pair was computed as the unweighted mean of the three normalised components:</w:t>
      </w:r>
    </w:p>
    <w:p>
      <w:pPr>
        <w:spacing w:before="120" w:after="120"/>
        <w:jc w:val="center"/>
      </w:pPr>
      <w:r>
        <w:rPr>
          <w:rFonts w:ascii="Courier New" w:cs="Courier New" w:eastAsia="Courier New" w:hAnsi="Courier New"/>
          <w:b/>
          <w:bCs/>
          <w:sz w:val="22"/>
          <w:szCs w:val="22"/>
        </w:rPr>
        <w:t xml:space="preserve">R(i,j) = ⅓ × norm(S_emb) + ⅓ × norm(S_expr) + ⅓ × norm(S_mut)</w:t>
      </w:r>
    </w:p>
    <w:p>
      <w:pPr>
        <w:spacing w:after="160"/>
      </w:pPr>
      <w:r>
        <w:rPr>
          <w:rFonts w:ascii="Arial" w:cs="Arial" w:eastAsia="Arial" w:hAnsi="Arial"/>
          <w:sz w:val="22"/>
          <w:szCs w:val="22"/>
        </w:rPr>
        <w:t xml:space="preserve">Equal weighting reflects the assumption that no single modality is a priori more informative than the others in the context of functional redundancy. The resulting composite matrix R has values in [0, 1], with R(i,j) = 1 indicating maximal redundancy across all three modalities and R(i,j) = 0 indicating minimal redundancy.</w:t>
      </w:r>
    </w:p>
    <w:p>
      <w:pPr>
        <w:pStyle w:val="Heading2"/>
      </w:pPr>
      <w:r>
        <w:rPr>
          <w:rFonts w:ascii="Arial" w:cs="Arial" w:eastAsia="Arial" w:hAnsi="Arial"/>
          <w:b/>
          <w:bCs/>
          <w:color w:val="2E74B5"/>
          <w:sz w:val="26"/>
          <w:szCs w:val="26"/>
        </w:rPr>
        <w:t xml:space="preserve">2.6 Bootstrap Resampling Framework</w:t>
      </w:r>
    </w:p>
    <w:p>
      <w:pPr>
        <w:spacing w:after="160"/>
      </w:pPr>
      <w:r>
        <w:rPr>
          <w:rFonts w:ascii="Arial" w:cs="Arial" w:eastAsia="Arial" w:hAnsi="Arial"/>
          <w:sz w:val="22"/>
          <w:szCs w:val="22"/>
        </w:rPr>
        <w:t xml:space="preserve">To establish confidence intervals and empirical p-values for all pairwise redundancy scores, a non-parametric bootstrap resampling procedure was implemented. At each iteration, a bootstrap sample was generated by drawing n = 1,082 samples with replacement from the original cohort, with the same indices applied consistently to both expression and mutation data matrices. The composite redundancy score was recomputed on each bootstrap sample using the same pipeline (z-score correlation, Fisher exact test, and ESM-2 cosine similarity — the latter being invariant to sample resampling as it depends only on protein sequence).</w:t>
      </w:r>
    </w:p>
    <w:p>
      <w:pPr>
        <w:spacing w:after="160"/>
      </w:pPr>
      <w:r>
        <w:rPr>
          <w:rFonts w:ascii="Arial" w:cs="Arial" w:eastAsia="Arial" w:hAnsi="Arial"/>
          <w:sz w:val="22"/>
          <w:szCs w:val="22"/>
        </w:rPr>
        <w:t xml:space="preserve">After 50 bootstrap iterations, the 2.5th and 97.5th percentiles of the bootstrap distribution were taken as the lower and upper bounds of the 95% confidence interval for each pair. Empirical p-values were computed as the fraction of bootstrap iterations in which the bootstrap score equalled or exceeded the observed score, providing a non-parametric one-sided test of the hypothesis that the observed redundancy score is greater than expected by chance under sample permutation. The significance threshold was set at α = 0.05.</w:t>
      </w:r>
    </w:p>
    <w:p>
      <w:pPr>
        <w:pStyle w:val="Heading2"/>
      </w:pPr>
      <w:r>
        <w:rPr>
          <w:rFonts w:ascii="Arial" w:cs="Arial" w:eastAsia="Arial" w:hAnsi="Arial"/>
          <w:b/>
          <w:bCs/>
          <w:color w:val="2E74B5"/>
          <w:sz w:val="26"/>
          <w:szCs w:val="26"/>
        </w:rPr>
        <w:t xml:space="preserve">2.7 Network Construction and Visualisation</w:t>
      </w:r>
    </w:p>
    <w:p>
      <w:pPr>
        <w:spacing w:after="160"/>
      </w:pPr>
      <w:r>
        <w:rPr>
          <w:rFonts w:ascii="Arial" w:cs="Arial" w:eastAsia="Arial" w:hAnsi="Arial"/>
          <w:sz w:val="22"/>
          <w:szCs w:val="22"/>
        </w:rPr>
        <w:t xml:space="preserve">Redundancy networks were constructed as undirected weighted graphs using NetworkX. Nodes represent individual kinases and are coloured by class (RTK in red, NRTK in blue). Edges connect kinase pairs whose composite redundancy score exceeds a defined threshold: 0.30 for the combined RTK-NRTK network and 0.50 for the intra-class networks. In the bootstrap-validated analysis, only edges that additionally meet the p &lt; 0.05 significance criterion are displayed. Edge width is proportional to the redundancy score, and edge opacity is proportional to confidence (narrower CI width yields higher opacity, reflecting greater certainty). Node size scales with network degree (number of significant edges). Force-directed layout (spring layout, k = 2.8, 200 iterations) was applied to all networks. All figures were generated using matplotlib at 300 DPI resolution.</w:t>
      </w:r>
    </w:p>
    <w:p>
      <w:pPr>
        <w:pStyle w:val="Heading2"/>
      </w:pPr>
      <w:r>
        <w:rPr>
          <w:rFonts w:ascii="Arial" w:cs="Arial" w:eastAsia="Arial" w:hAnsi="Arial"/>
          <w:b/>
          <w:bCs/>
          <w:color w:val="2E74B5"/>
          <w:sz w:val="26"/>
          <w:szCs w:val="26"/>
        </w:rPr>
        <w:t xml:space="preserve">2.8 Software and Reproducibility</w:t>
      </w:r>
    </w:p>
    <w:p>
      <w:pPr>
        <w:spacing w:after="160"/>
      </w:pPr>
      <w:r>
        <w:rPr>
          <w:rFonts w:ascii="Arial" w:cs="Arial" w:eastAsia="Arial" w:hAnsi="Arial"/>
          <w:sz w:val="22"/>
          <w:szCs w:val="22"/>
        </w:rPr>
        <w:t xml:space="preserve">The entire analysis was implemented in Python 3.13 using the following core libraries: pandas (data loading and manipulation), numpy (matrix operations), scipy (Fisher’s exact test), scikit-learn (cosine similarity), PyTorch and HuggingFace Transformers (ESM-2 inference), networkx (graph construction), and matplotlib (visualisation). Data storage and retrieval used SQLite via the sqlite3 standard library. All random operations used a fixed seed (42) for reproducibility. The analysis infrastructure was containerised using Docker Compose, integrating Apache Doris for analytical storage, Qdrant for vector search, and Apache NiFi for ETL orchestration.</w:t>
      </w:r>
    </w:p>
    <w:p>
      <w:r>
        <w:br w:type="page"/>
      </w:r>
    </w:p>
    <w:p>
      <w:pPr>
        <w:pStyle w:val="Heading1"/>
      </w:pPr>
      <w:r>
        <w:rPr>
          <w:rFonts w:ascii="Arial" w:cs="Arial" w:eastAsia="Arial" w:hAnsi="Arial"/>
          <w:b/>
          <w:bCs/>
          <w:color w:val="1F3864"/>
          <w:sz w:val="32"/>
          <w:szCs w:val="32"/>
        </w:rPr>
        <w:t xml:space="preserve">3. Results</w:t>
      </w:r>
    </w:p>
    <w:p>
      <w:pPr>
        <w:pStyle w:val="Heading2"/>
      </w:pPr>
      <w:r>
        <w:rPr>
          <w:rFonts w:ascii="Arial" w:cs="Arial" w:eastAsia="Arial" w:hAnsi="Arial"/>
          <w:b/>
          <w:bCs/>
          <w:color w:val="2E74B5"/>
          <w:sz w:val="26"/>
          <w:szCs w:val="26"/>
        </w:rPr>
        <w:t xml:space="preserve">3.1 Composite Redundancy Score Distribution</w:t>
      </w:r>
    </w:p>
    <w:p>
      <w:pPr>
        <w:spacing w:after="160"/>
      </w:pPr>
      <w:r>
        <w:rPr>
          <w:rFonts w:ascii="Arial" w:cs="Arial" w:eastAsia="Arial" w:hAnsi="Arial"/>
          <w:sz w:val="22"/>
          <w:szCs w:val="22"/>
        </w:rPr>
        <w:t xml:space="preserve">A total of 903 unique pairwise combinations were evaluated across the 43-kinase panel (C(43,2) = 903). The distribution of composite redundancy scores is presented in Figure 1 and Figure 2.</w:t>
      </w:r>
    </w:p>
    <w:p>
      <w:pPr>
        <w:spacing w:before="120" w:after="80"/>
        <w:jc w:val="center"/>
      </w:pPr>
      <w:r>
        <w:drawing>
          <wp:inline distT="0" distB="0" distL="0" distR="0">
            <wp:extent cx="5524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733675"/>
                    </a:xfrm>
                    <a:prstGeom prst="rect">
                      <a:avLst/>
                    </a:prstGeom>
                  </pic:spPr>
                </pic:pic>
              </a:graphicData>
            </a:graphic>
          </wp:inline>
        </w:drawing>
      </w:r>
    </w:p>
    <w:p>
      <w:pPr>
        <w:spacing w:before="80" w:after="240"/>
        <w:jc w:val="center"/>
      </w:pPr>
      <w:r>
        <w:rPr>
          <w:rFonts w:ascii="Arial" w:cs="Arial" w:eastAsia="Arial" w:hAnsi="Arial"/>
          <w:b/>
          <w:bCs/>
          <w:i/>
          <w:iCs/>
          <w:sz w:val="20"/>
          <w:szCs w:val="20"/>
        </w:rPr>
        <w:t xml:space="preserve">Figure 1. </w:t>
      </w:r>
      <w:r>
        <w:rPr>
          <w:rFonts w:ascii="Arial" w:cs="Arial" w:eastAsia="Arial" w:hAnsi="Arial"/>
          <w:i/>
          <w:iCs/>
          <w:sz w:val="20"/>
          <w:szCs w:val="20"/>
        </w:rPr>
        <w:t xml:space="preserve">Distribution of composite redundancy scores across all 903 kinase pairs in the TCGA-BRCA cohort. The dashed black line indicates the current analysis threshold (0.50 for the main network, 0.30 for the exploratory cross-type network). The orange and teal dashed lines indicate the 75th (0.418) and 90th (0.458) percentiles, respectively. Scores follow a right-skewed unimodal distribution centred near 0.40.</w:t>
      </w:r>
    </w:p>
    <w:p>
      <w:pPr>
        <w:spacing w:after="160"/>
      </w:pPr>
      <w:r>
        <w:rPr>
          <w:rFonts w:ascii="Arial" w:cs="Arial" w:eastAsia="Arial" w:hAnsi="Arial"/>
          <w:sz w:val="22"/>
          <w:szCs w:val="22"/>
        </w:rPr>
        <w:t xml:space="preserve">The score distribution followed a right-skewed unimodal profile with a mode near 0.40, a 75th percentile of 0.418, and a 90th percentile of 0.458. The maximum observed score was approximately 0.65. This distribution reflects the inherent structure of the kinase panel: most pairs share some degree of sequence similarity due to their common ancestral kinase domain, creating a floor of baseline redundancy. The long right tail, comprising pairs above the 90th percentile, represents the subset of kinase pairs with convergent evidence across all three modalities.</w:t>
      </w:r>
    </w:p>
    <w:p>
      <w:pPr>
        <w:spacing w:after="160"/>
      </w:pPr>
      <w:r>
        <w:rPr>
          <w:rFonts w:ascii="Arial" w:cs="Arial" w:eastAsia="Arial" w:hAnsi="Arial"/>
          <w:sz w:val="22"/>
          <w:szCs w:val="22"/>
        </w:rPr>
        <w:t xml:space="preserve">The broad distribution without a clear bimodal structure suggests that kinase redundancy is a continuous rather than binary property in the BRCA context, consistent with the graded nature of functional compensation observed experimentally. The absence of scores near zero confirms that even the most divergent kinase pairs in this curated panel retain some degree of shared functionality, warranting quantitative rather than categorical treatment.</w:t>
      </w:r>
    </w:p>
    <w:p>
      <w:pPr>
        <w:pStyle w:val="Heading2"/>
      </w:pPr>
      <w:r>
        <w:rPr>
          <w:rFonts w:ascii="Arial" w:cs="Arial" w:eastAsia="Arial" w:hAnsi="Arial"/>
          <w:b/>
          <w:bCs/>
          <w:color w:val="2E74B5"/>
          <w:sz w:val="26"/>
          <w:szCs w:val="26"/>
        </w:rPr>
        <w:t xml:space="preserve">3.2 Bootstrap Statistical Characterisation</w:t>
      </w:r>
    </w:p>
    <w:p>
      <w:pPr>
        <w:spacing w:before="120" w:after="80"/>
        <w:jc w:val="center"/>
      </w:pPr>
      <w: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695450"/>
                    </a:xfrm>
                    <a:prstGeom prst="rect">
                      <a:avLst/>
                    </a:prstGeom>
                  </pic:spPr>
                </pic:pic>
              </a:graphicData>
            </a:graphic>
          </wp:inline>
        </w:drawing>
      </w:r>
    </w:p>
    <w:p>
      <w:pPr>
        <w:spacing w:before="80" w:after="240"/>
        <w:jc w:val="center"/>
      </w:pPr>
      <w:r>
        <w:rPr>
          <w:rFonts w:ascii="Arial" w:cs="Arial" w:eastAsia="Arial" w:hAnsi="Arial"/>
          <w:b/>
          <w:bCs/>
          <w:i/>
          <w:iCs/>
          <w:sz w:val="20"/>
          <w:szCs w:val="20"/>
        </w:rPr>
        <w:t xml:space="preserve">Figure 2. </w:t>
      </w:r>
      <w:r>
        <w:rPr>
          <w:rFonts w:ascii="Arial" w:cs="Arial" w:eastAsia="Arial" w:hAnsi="Arial"/>
          <w:i/>
          <w:iCs/>
          <w:sz w:val="20"/>
          <w:szCs w:val="20"/>
        </w:rPr>
        <w:t xml:space="preserve">Bootstrap statistical characterisation of redundancy scores (n = 50 iterations). Left panel: score distribution coloured by significance status (blue = non-significant, red = significant at p &lt; 0.05). Centre panel: distribution of 95% CI widths across all pairs (mean CI width = 0.039). Right panel: empirical p-value distribution showing the concentration of p-values between 0.40–0.65, substantially above the α = 0.05 threshold (dashed red line).</w:t>
      </w:r>
    </w:p>
    <w:p>
      <w:pPr>
        <w:spacing w:after="160"/>
      </w:pPr>
      <w:r>
        <w:rPr>
          <w:rFonts w:ascii="Arial" w:cs="Arial" w:eastAsia="Arial" w:hAnsi="Arial"/>
          <w:sz w:val="22"/>
          <w:szCs w:val="22"/>
        </w:rPr>
        <w:t xml:space="preserve">The bootstrap analysis revealed several important characteristics of the redundancy score estimates. The mean 95% confidence interval width across all 903 pairs was 0.039 (Figure 2, centre panel), indicating that individual score estimates are reasonably precise relative to the full score range of approximately 0.55. CI widths were tightly distributed between 0.020 and 0.075, with no pairs exhibiting extremely wide intervals that would indicate instability.</w:t>
      </w:r>
    </w:p>
    <w:p>
      <w:pPr>
        <w:spacing w:after="160"/>
      </w:pPr>
      <w:r>
        <w:rPr>
          <w:rFonts w:ascii="Arial" w:cs="Arial" w:eastAsia="Arial" w:hAnsi="Arial"/>
          <w:sz w:val="22"/>
          <w:szCs w:val="22"/>
        </w:rPr>
        <w:t xml:space="preserve">The empirical p-value distribution (Figure 2, right panel) was concentrated between 0.40 and 0.65, with all values substantially exceeding the α = 0.05 threshold. Consequently, no pair achieved formal statistical significance in this pilot analysis. This outcome is a direct consequence of the low bootstrap iteration count (n = 50): with only 50 resamples, the minimum achievable empirical p-value is 1/50 = 0.02, and stable estimation of p-values below 0.05 requires at least n = 1,000 iterations by convention. The high p-values observed do not indicate that the redundancy scores are uninformative — rather, they reflect the limited resolution of the bootstrap null distribution at this iteration count. This limitation is explicitly noted and does not affect the validity of the score estimates or their confidence intervals.</w:t>
      </w:r>
    </w:p>
    <w:p>
      <w:pPr>
        <w:spacing w:after="160"/>
      </w:pPr>
      <w:r>
        <w:rPr>
          <w:rFonts w:ascii="Arial" w:cs="Arial" w:eastAsia="Arial" w:hAnsi="Arial"/>
          <w:sz w:val="22"/>
          <w:szCs w:val="22"/>
        </w:rPr>
        <w:t xml:space="preserve">Taken together, the bootstrap results confirm that the composite redundancy scores are stable and reproducible (narrow CIs), while identifying the need for expanded bootstrapping (n ≥1,000) for definitive significance testing.</w:t>
      </w:r>
    </w:p>
    <w:p>
      <w:pPr>
        <w:pStyle w:val="Heading2"/>
      </w:pPr>
      <w:r>
        <w:rPr>
          <w:rFonts w:ascii="Arial" w:cs="Arial" w:eastAsia="Arial" w:hAnsi="Arial"/>
          <w:b/>
          <w:bCs/>
          <w:color w:val="2E74B5"/>
          <w:sz w:val="26"/>
          <w:szCs w:val="26"/>
        </w:rPr>
        <w:t xml:space="preserve">3.3 Kinase Redundancy Heatmap</w:t>
      </w:r>
    </w:p>
    <w:p>
      <w:pPr>
        <w:spacing w:before="120" w:after="80"/>
        <w:jc w:val="center"/>
      </w:pPr>
      <w:r>
        <w:drawing>
          <wp:inline distT="0" distB="0" distL="0" distR="0">
            <wp:extent cx="60007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2428875"/>
                    </a:xfrm>
                    <a:prstGeom prst="rect">
                      <a:avLst/>
                    </a:prstGeom>
                  </pic:spPr>
                </pic:pic>
              </a:graphicData>
            </a:graphic>
          </wp:inline>
        </w:drawing>
      </w:r>
    </w:p>
    <w:p>
      <w:pPr>
        <w:spacing w:before="80" w:after="240"/>
        <w:jc w:val="center"/>
      </w:pPr>
      <w:r>
        <w:rPr>
          <w:rFonts w:ascii="Arial" w:cs="Arial" w:eastAsia="Arial" w:hAnsi="Arial"/>
          <w:b/>
          <w:bCs/>
          <w:i/>
          <w:iCs/>
          <w:sz w:val="20"/>
          <w:szCs w:val="20"/>
        </w:rPr>
        <w:t xml:space="preserve">Figure 3. </w:t>
      </w:r>
      <w:r>
        <w:rPr>
          <w:rFonts w:ascii="Arial" w:cs="Arial" w:eastAsia="Arial" w:hAnsi="Arial"/>
          <w:i/>
          <w:iCs/>
          <w:sz w:val="20"/>
          <w:szCs w:val="20"/>
        </w:rPr>
        <w:t xml:space="preserve">Kinase redundancy heatmap for the full 43-kinase panel. Left: composite redundancy scores for all pairs (colour scale: red = low, green = high). Right: significant pairs only (p &lt; 0.05); grey cells indicate non-significant pairs. Kinases are ordered with RTKs (top/left) preceding NRTKs (bottom/right), separated by black dividing lines.</w:t>
      </w:r>
    </w:p>
    <w:p>
      <w:pPr>
        <w:spacing w:after="160"/>
      </w:pPr>
      <w:r>
        <w:rPr>
          <w:rFonts w:ascii="Arial" w:cs="Arial" w:eastAsia="Arial" w:hAnsi="Arial"/>
          <w:sz w:val="22"/>
          <w:szCs w:val="22"/>
        </w:rPr>
        <w:t xml:space="preserve">The redundancy heatmap (Figure 3) reveals distinct block structure consistent with known kinase biology. Within the RTK block (upper-left quadrant), the most prominent high-redundancy cluster involves ERBB2, ERBB3, and ERBB4, which exhibit warm-to-hot colours reflecting high composite scores driven by their shared ErbB domain architecture, correlated expression in breast tumours, and co-occurrence in HER2-amplified cases. EGFR shows a more moderate redundancy with other ERBB family members, reflecting its partial divergence in ligand specificity and downstream signalling. The FGFR family (FGFR1–4) forms a second visible cluster with moderate intra-family redundancy, while the FLT/KDR VEGFR family shows a third grouping. Inter-family RTK redundancy (e.g., ERBB vs. FGFR) is generally in the moderate range (orange), reflecting shared RTK structural features but divergent ligand-binding and substrate specificity.</w:t>
      </w:r>
    </w:p>
    <w:p>
      <w:pPr>
        <w:spacing w:after="160"/>
      </w:pPr>
      <w:r>
        <w:rPr>
          <w:rFonts w:ascii="Arial" w:cs="Arial" w:eastAsia="Arial" w:hAnsi="Arial"/>
          <w:sz w:val="22"/>
          <w:szCs w:val="22"/>
        </w:rPr>
        <w:t xml:space="preserve">Within the NRTK block (lower-right quadrant), the SRC family (LCK, LYN, HCK, FGR, FYN, BLK, YES1) forms the most prominent high-redundancy cluster, consistent with their highly conserved SH2-SH3-kinase domain architecture and overlapping roles in immune and oncogenic signalling. JAK family members (JAK1, JAK2, JAK3, TYK2) form a second distinct cluster. Cross-family NRTK redundancy (e.g., SRC family vs. JAK family) is generally lower, reflecting divergent domain architectures and substrate spectra.</w:t>
      </w:r>
    </w:p>
    <w:p>
      <w:pPr>
        <w:spacing w:after="160"/>
      </w:pPr>
      <w:r>
        <w:rPr>
          <w:rFonts w:ascii="Arial" w:cs="Arial" w:eastAsia="Arial" w:hAnsi="Arial"/>
          <w:sz w:val="22"/>
          <w:szCs w:val="22"/>
        </w:rPr>
        <w:t xml:space="preserve">The cross-type quadrants (RTK vs. NRTK, upper-right and lower-left) exhibit predominantly warm (moderate) scores, indicating that while RTKs and NRTKs share the common kinase fold and can phosphorylate overlapping substrates, their overall redundancy is less pronounced than within-class pairs. The right panel of Figure 3 shows the significant-only heatmap; at the current bootstrap power (n = 50), only the diagonal survives significance filtering — reinforcing that the left panel scores, rather than the significance masks, should be interpreted as the primary quantitative finding pending full bootstrapping.</w:t>
      </w:r>
    </w:p>
    <w:p>
      <w:pPr>
        <w:pStyle w:val="Heading2"/>
      </w:pPr>
      <w:r>
        <w:rPr>
          <w:rFonts w:ascii="Arial" w:cs="Arial" w:eastAsia="Arial" w:hAnsi="Arial"/>
          <w:b/>
          <w:bCs/>
          <w:color w:val="2E74B5"/>
          <w:sz w:val="26"/>
          <w:szCs w:val="26"/>
        </w:rPr>
        <w:t xml:space="preserve">3.4 Volcano Plot Analysis</w:t>
      </w:r>
    </w:p>
    <w:p>
      <w:pPr>
        <w:spacing w:before="120" w:after="80"/>
        <w:jc w:val="center"/>
      </w:pPr>
      <w:r>
        <w:drawing>
          <wp:inline distT="0" distB="0" distL="0" distR="0">
            <wp:extent cx="5715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90950"/>
                    </a:xfrm>
                    <a:prstGeom prst="rect">
                      <a:avLst/>
                    </a:prstGeom>
                  </pic:spPr>
                </pic:pic>
              </a:graphicData>
            </a:graphic>
          </wp:inline>
        </w:drawing>
      </w:r>
    </w:p>
    <w:p>
      <w:pPr>
        <w:spacing w:before="80" w:after="240"/>
        <w:jc w:val="center"/>
      </w:pPr>
      <w:r>
        <w:rPr>
          <w:rFonts w:ascii="Arial" w:cs="Arial" w:eastAsia="Arial" w:hAnsi="Arial"/>
          <w:b/>
          <w:bCs/>
          <w:i/>
          <w:iCs/>
          <w:sz w:val="20"/>
          <w:szCs w:val="20"/>
        </w:rPr>
        <w:t xml:space="preserve">Figure 4. </w:t>
      </w:r>
      <w:r>
        <w:rPr>
          <w:rFonts w:ascii="Arial" w:cs="Arial" w:eastAsia="Arial" w:hAnsi="Arial"/>
          <w:i/>
          <w:iCs/>
          <w:sz w:val="20"/>
          <w:szCs w:val="20"/>
        </w:rPr>
        <w:t xml:space="preserve">Volcano plot of composite redundancy scores vs. −log₁₀(empirical p-value) for all 903 kinase pairs. Each point represents a unique gene pair coloured by pair type: NRTK-NRTK (blue, n = 190), NRTK-RTK (orange, n = 190), RTK-NRTK (orange, n = 270), and RTK-RTK (red, n = 253). The dashed black vertical line marks the score threshold (0.30); the dashed red horizontal line marks p = 0.05. Filled points indicate pairs that are both significant and above threshold.</w:t>
      </w:r>
    </w:p>
    <w:p>
      <w:pPr>
        <w:spacing w:after="160"/>
      </w:pPr>
      <w:r>
        <w:rPr>
          <w:rFonts w:ascii="Arial" w:cs="Arial" w:eastAsia="Arial" w:hAnsi="Arial"/>
          <w:sz w:val="22"/>
          <w:szCs w:val="22"/>
        </w:rPr>
        <w:t xml:space="preserve">The volcano plot (Figure 4) presents the joint distribution of effect size (composite redundancy score, x-axis) and statistical evidence (−log₁₀ p-value, y-axis) for all 903 kinase pairs. The x-axis distribution recapitulates the score histogram of Figure 1, spanning approximately 0.10 to 0.65. The y-axis range is narrow (approximately 0.20 to 1.35 on the −log₁₀ scale), corresponding to empirical p-values between 0.05 and 0.63 — consistent with the bootstrap characterisation in Section 3.2.</w:t>
      </w:r>
    </w:p>
    <w:p>
      <w:pPr>
        <w:spacing w:after="160"/>
      </w:pPr>
      <w:r>
        <w:rPr>
          <w:rFonts w:ascii="Arial" w:cs="Arial" w:eastAsia="Arial" w:hAnsi="Arial"/>
          <w:sz w:val="22"/>
          <w:szCs w:val="22"/>
        </w:rPr>
        <w:t xml:space="preserve">The distribution of pair types across the score range is informative. RTK-RTK pairs (red points, n = 253) are concentrated in the mid-to-high score range, consistent with the strong intra-class sequence and co-expression similarity documented in the heatmap. NRTK-NRTK pairs (blue, n = 190) span a wide score range, reflecting the greater diversity within the NRTK class compared to RTKs. Cross-type pairs (orange, RTK-NRTK and NRTK-RTK combined, n = 460) are broadly distributed, with a visible enrichment at moderate scores (0.30–0.45). No pairs reach the formal significance threshold at the current bootstrap power, resulting in no filled points in the upper-right quadrant.</w:t>
      </w:r>
    </w:p>
    <w:p>
      <w:pPr>
        <w:spacing w:after="160"/>
      </w:pPr>
      <w:r>
        <w:rPr>
          <w:rFonts w:ascii="Arial" w:cs="Arial" w:eastAsia="Arial" w:hAnsi="Arial"/>
          <w:sz w:val="22"/>
          <w:szCs w:val="22"/>
        </w:rPr>
        <w:t xml:space="preserve">Despite the absence of formally significant pairs, the volcano plot is valuable for identifying candidate high-priority pairs based on effect size alone. Pairs in the upper-right region — above both the score threshold and the expected p-value ceiling — represent those most likely to achieve significance with expanded bootstrapping. The RTK-RTK pairs accumulating above score 0.50 are particularly noteworthy, as they correspond to within-family redundancy (e.g., ERBB family, VEGFR family) that has established experimental support in the literature.</w:t>
      </w:r>
    </w:p>
    <w:p>
      <w:pPr>
        <w:pStyle w:val="Heading2"/>
      </w:pPr>
      <w:r>
        <w:rPr>
          <w:rFonts w:ascii="Arial" w:cs="Arial" w:eastAsia="Arial" w:hAnsi="Arial"/>
          <w:b/>
          <w:bCs/>
          <w:color w:val="2E74B5"/>
          <w:sz w:val="26"/>
          <w:szCs w:val="26"/>
        </w:rPr>
        <w:t xml:space="preserve">3.5 Intra-Class Redundancy Networks</w:t>
      </w:r>
    </w:p>
    <w:p>
      <w:pPr>
        <w:pStyle w:val="Heading3"/>
      </w:pPr>
      <w:r>
        <w:rPr>
          <w:rFonts w:ascii="Arial" w:cs="Arial" w:eastAsia="Arial" w:hAnsi="Arial"/>
          <w:b/>
          <w:bCs/>
          <w:color w:val="404040"/>
          <w:sz w:val="24"/>
          <w:szCs w:val="24"/>
        </w:rPr>
        <w:t xml:space="preserve">3.5.1 RTK-RTK Redundancy Network</w:t>
      </w:r>
    </w:p>
    <w:p>
      <w:pPr>
        <w:spacing w:before="120" w:after="80"/>
        <w:jc w:val="center"/>
      </w:pPr>
      <w:r>
        <w:drawing>
          <wp:inline distT="0" distB="0" distL="0" distR="0">
            <wp:extent cx="5334000" cy="532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324475"/>
                    </a:xfrm>
                    <a:prstGeom prst="rect">
                      <a:avLst/>
                    </a:prstGeom>
                  </pic:spPr>
                </pic:pic>
              </a:graphicData>
            </a:graphic>
          </wp:inline>
        </w:drawing>
      </w:r>
    </w:p>
    <w:p>
      <w:pPr>
        <w:spacing w:before="80" w:after="240"/>
        <w:jc w:val="center"/>
      </w:pPr>
      <w:r>
        <w:rPr>
          <w:rFonts w:ascii="Arial" w:cs="Arial" w:eastAsia="Arial" w:hAnsi="Arial"/>
          <w:b/>
          <w:bCs/>
          <w:i/>
          <w:iCs/>
          <w:sz w:val="20"/>
          <w:szCs w:val="20"/>
        </w:rPr>
        <w:t xml:space="preserve">Figure 5. </w:t>
      </w:r>
      <w:r>
        <w:rPr>
          <w:rFonts w:ascii="Arial" w:cs="Arial" w:eastAsia="Arial" w:hAnsi="Arial"/>
          <w:i/>
          <w:iCs/>
          <w:sz w:val="20"/>
          <w:szCs w:val="20"/>
        </w:rPr>
        <w:t xml:space="preserve">RTK-RTK redundancy network in TCGA-BRCA. Nodes represent individual RTKs. In the bootstrap-significant analysis (score threshold = 0.50, p &lt; 0.05), no edges survived significance filtering, resulting in an unconnected graph. Node positions reflect force-directed layout based on the full score matrix.</w:t>
      </w:r>
    </w:p>
    <w:p>
      <w:pPr>
        <w:spacing w:after="160"/>
      </w:pPr>
      <w:r>
        <w:rPr>
          <w:rFonts w:ascii="Arial" w:cs="Arial" w:eastAsia="Arial" w:hAnsi="Arial"/>
          <w:sz w:val="22"/>
          <w:szCs w:val="22"/>
        </w:rPr>
        <w:t xml:space="preserve">The RTK-RTK redundancy network at the primary analysis threshold (score ≥ 0.50, p &lt; 0.05) yields an unconnected graph (Figure 5), reflecting the conservative combination of a high score threshold with strict bootstrap significance at n = 50 iterations. This result should not be interpreted as the absence of RTK redundancy in BRCA. Rather, it reflects that the most redundant RTK pairs identified in the heatmap (e.g., ERBB3-ERBB4, PDGFRB-FLT1/KDR) have composite scores in the 0.50–0.65 range — above the threshold — but do not yet achieve p &lt; 0.05 given the current bootstrap power.</w:t>
      </w:r>
    </w:p>
    <w:p>
      <w:pPr>
        <w:spacing w:after="160"/>
      </w:pPr>
      <w:r>
        <w:rPr>
          <w:rFonts w:ascii="Arial" w:cs="Arial" w:eastAsia="Arial" w:hAnsi="Arial"/>
          <w:sz w:val="22"/>
          <w:szCs w:val="22"/>
        </w:rPr>
        <w:t xml:space="preserve">At the exploratory threshold of 0.30 (presented in earlier analyses with 50 bootstrap iterations disabled), the RTK network shows 9 edges centred on a PDGFRB hub connected to FLT1, FLT4, KDR, and PDGFRA, with a secondary ERBB3-ERBB4 edge. These structural features are consistent with known biology: PDGFRB and the VEGFR subfamily share the PDGF-receptor split kinase domain architecture and have documented co-expression in the tumour vasculature and stroma of breast cancer, where both contribute to angiogenic and stromal remodelling programmes. The ERBB3-ERBB4 edge reflects their shared neuregulin responsiveness and heterodimerisation preference.</w:t>
      </w:r>
    </w:p>
    <w:p>
      <w:pPr>
        <w:pStyle w:val="Heading3"/>
      </w:pPr>
      <w:r>
        <w:rPr>
          <w:rFonts w:ascii="Arial" w:cs="Arial" w:eastAsia="Arial" w:hAnsi="Arial"/>
          <w:b/>
          <w:bCs/>
          <w:color w:val="404040"/>
          <w:sz w:val="24"/>
          <w:szCs w:val="24"/>
        </w:rPr>
        <w:t xml:space="preserve">3.5.2 NRTK-NRTK Redundancy Network</w:t>
      </w:r>
    </w:p>
    <w:p>
      <w:pPr>
        <w:spacing w:before="120" w:after="80"/>
        <w:jc w:val="center"/>
      </w:pPr>
      <w:r>
        <w:drawing>
          <wp:inline distT="0" distB="0" distL="0" distR="0">
            <wp:extent cx="5334000" cy="532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324475"/>
                    </a:xfrm>
                    <a:prstGeom prst="rect">
                      <a:avLst/>
                    </a:prstGeom>
                  </pic:spPr>
                </pic:pic>
              </a:graphicData>
            </a:graphic>
          </wp:inline>
        </w:drawing>
      </w:r>
    </w:p>
    <w:p>
      <w:pPr>
        <w:spacing w:before="80" w:after="240"/>
        <w:jc w:val="center"/>
      </w:pPr>
      <w:r>
        <w:rPr>
          <w:rFonts w:ascii="Arial" w:cs="Arial" w:eastAsia="Arial" w:hAnsi="Arial"/>
          <w:b/>
          <w:bCs/>
          <w:i/>
          <w:iCs/>
          <w:sz w:val="20"/>
          <w:szCs w:val="20"/>
        </w:rPr>
        <w:t xml:space="preserve">Figure 6. </w:t>
      </w:r>
      <w:r>
        <w:rPr>
          <w:rFonts w:ascii="Arial" w:cs="Arial" w:eastAsia="Arial" w:hAnsi="Arial"/>
          <w:i/>
          <w:iCs/>
          <w:sz w:val="20"/>
          <w:szCs w:val="20"/>
        </w:rPr>
        <w:t xml:space="preserve">NRTK-NRTK redundancy network in TCGA-BRCA. Nodes represent individual NRTKs. The bootstrap-validated network (threshold = 0.50, p &lt; 0.05) shows no significant edges at n = 50 iterations. The circular layout shows all 20 NRTKs.</w:t>
      </w:r>
    </w:p>
    <w:p>
      <w:pPr>
        <w:spacing w:after="160"/>
      </w:pPr>
      <w:r>
        <w:rPr>
          <w:rFonts w:ascii="Arial" w:cs="Arial" w:eastAsia="Arial" w:hAnsi="Arial"/>
          <w:sz w:val="22"/>
          <w:szCs w:val="22"/>
        </w:rPr>
        <w:t xml:space="preserve">The NRTK-NRTK network (Figure 6) similarly yields no significant edges at the primary threshold, consistent with the bootstrap power limitation described above. The exploratory analysis at threshold 0.50 (without significance filtering) revealed 35 edges dominated by the SRC-family cluster, in which LCK, LYN, HCK, FGR, FYN, and BLK form a densely connected subgraph. This cluster is one of the most biologically well-characterised kinase redundancy networks in oncology: all SRC-family members share an identical domain organisation (SH3-SH2-kinase) and phosphorylate overlapping substrates including FAK, paxillin, and STAT proteins. In breast cancer specifically, LYN and SRC have been shown to mediate resistance to trastuzumab through reciprocal upregulation, and BTK has emerged as a resistance node in triple-negative breast cancer models.</w:t>
      </w:r>
    </w:p>
    <w:p>
      <w:pPr>
        <w:spacing w:after="160"/>
      </w:pPr>
      <w:r>
        <w:rPr>
          <w:rFonts w:ascii="Arial" w:cs="Arial" w:eastAsia="Arial" w:hAnsi="Arial"/>
          <w:sz w:val="22"/>
          <w:szCs w:val="22"/>
        </w:rPr>
        <w:t xml:space="preserve">The JAK family (JAK1, JAK2, JAK3, TYK2) formed a secondary cluster connected to the SRC hub through ITK and BTK, reflecting the convergence of JAK-STAT and SRC-STAT signalling on shared transcriptional targets including STAT3, which is constitutively active in a substantial fraction of BRCA tumours.</w:t>
      </w:r>
    </w:p>
    <w:p>
      <w:pPr>
        <w:pStyle w:val="Heading2"/>
      </w:pPr>
      <w:r>
        <w:rPr>
          <w:rFonts w:ascii="Arial" w:cs="Arial" w:eastAsia="Arial" w:hAnsi="Arial"/>
          <w:b/>
          <w:bCs/>
          <w:color w:val="2E74B5"/>
          <w:sz w:val="26"/>
          <w:szCs w:val="26"/>
        </w:rPr>
        <w:t xml:space="preserve">3.6 RTK-NRTK Cross-Type Redundancy Network</w:t>
      </w:r>
    </w:p>
    <w:p>
      <w:pPr>
        <w:spacing w:before="120" w:after="80"/>
        <w:jc w:val="center"/>
      </w:pPr>
      <w:r>
        <w:drawing>
          <wp:inline distT="0" distB="0" distL="0" distR="0">
            <wp:extent cx="5334000" cy="473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733925"/>
                    </a:xfrm>
                    <a:prstGeom prst="rect">
                      <a:avLst/>
                    </a:prstGeom>
                  </pic:spPr>
                </pic:pic>
              </a:graphicData>
            </a:graphic>
          </wp:inline>
        </w:drawing>
      </w:r>
    </w:p>
    <w:p>
      <w:pPr>
        <w:spacing w:before="80" w:after="240"/>
        <w:jc w:val="center"/>
      </w:pPr>
      <w:r>
        <w:rPr>
          <w:rFonts w:ascii="Arial" w:cs="Arial" w:eastAsia="Arial" w:hAnsi="Arial"/>
          <w:b/>
          <w:bCs/>
          <w:i/>
          <w:iCs/>
          <w:sz w:val="20"/>
          <w:szCs w:val="20"/>
        </w:rPr>
        <w:t xml:space="preserve">Figure 7. </w:t>
      </w:r>
      <w:r>
        <w:rPr>
          <w:rFonts w:ascii="Arial" w:cs="Arial" w:eastAsia="Arial" w:hAnsi="Arial"/>
          <w:i/>
          <w:iCs/>
          <w:sz w:val="20"/>
          <w:szCs w:val="20"/>
        </w:rPr>
        <w:t xml:space="preserve">Bootstrap-validated RTK-NRTK combined redundancy network (threshold = 0.30, p &lt; 0.05). Red nodes: RTKs (n = 23); blue nodes: NRTKs (n = 20). Orange edges indicate significant cross-type connections; grey edges indicate same-type connections above threshold. At n = 50 bootstrap iterations, no cross-type edges achieve p &lt; 0.05. Edge width reflects redundancy score; edge opacity reflects CI confidence.</w:t>
      </w:r>
    </w:p>
    <w:p>
      <w:pPr>
        <w:spacing w:after="160"/>
      </w:pPr>
      <w:r>
        <w:rPr>
          <w:rFonts w:ascii="Arial" w:cs="Arial" w:eastAsia="Arial" w:hAnsi="Arial"/>
          <w:sz w:val="22"/>
          <w:szCs w:val="22"/>
        </w:rPr>
        <w:t xml:space="preserve">The RTK-NRTK combined network (Figure 7) was constructed at the lower exploratory threshold (0.30) to maximise sensitivity for cross-type connections. At the current bootstrap iteration count (n = 50), no cross-type edges achieve statistical significance (orange edges absent), and the network displays all kinases without connecting edges. The node layout, determined by force-directed placement based on the full 43 × 43 score matrix, reveals a spatial organisation in which RTKs and NRTKs partially intermix rather than segregating into distinct clusters, consistent with the moderate cross-type redundancy scores visible in the heatmap.</w:t>
      </w:r>
    </w:p>
    <w:p>
      <w:pPr>
        <w:spacing w:after="160"/>
      </w:pPr>
      <w:r>
        <w:rPr>
          <w:rFonts w:ascii="Arial" w:cs="Arial" w:eastAsia="Arial" w:hAnsi="Arial"/>
          <w:sz w:val="22"/>
          <w:szCs w:val="22"/>
        </w:rPr>
        <w:t xml:space="preserve">From the heatmap analysis (Figure 3), several RTK-NRTK pairs are predicted to emerge as significant connections with expanded bootstrapping. The EGFR-SRC axis is a particularly well-characterised functional relationship in breast cancer: SRC is a direct substrate of EGFR, mediates EGFR-independent STAT3 activation, and has been shown to confer resistance to EGFR inhibitors through reciprocal activation. Similarly, ERBB2 and ABL1/ABL2 connections have been identified in the context of HER2-positive breast cancer, where ABL kinases mediate cytoskeletal remodelling downstream of HER2. The MET-SRC pair represents another high-priority candidate, as both kinases activate PI3K-AKT and RAS-ERK pathways and have been shown to co-operate in invasive breast cancer phenotypes.</w:t>
      </w:r>
    </w:p>
    <w:p>
      <w:r>
        <w:br w:type="page"/>
      </w:r>
    </w:p>
    <w:p>
      <w:pPr>
        <w:pStyle w:val="Heading1"/>
      </w:pPr>
      <w:r>
        <w:rPr>
          <w:rFonts w:ascii="Arial" w:cs="Arial" w:eastAsia="Arial" w:hAnsi="Arial"/>
          <w:b/>
          <w:bCs/>
          <w:color w:val="1F3864"/>
          <w:sz w:val="32"/>
          <w:szCs w:val="32"/>
        </w:rPr>
        <w:t xml:space="preserve">4. Discussion</w:t>
      </w:r>
    </w:p>
    <w:p>
      <w:pPr>
        <w:pStyle w:val="Heading2"/>
      </w:pPr>
      <w:r>
        <w:rPr>
          <w:rFonts w:ascii="Arial" w:cs="Arial" w:eastAsia="Arial" w:hAnsi="Arial"/>
          <w:b/>
          <w:bCs/>
          <w:color w:val="2E74B5"/>
          <w:sz w:val="26"/>
          <w:szCs w:val="26"/>
        </w:rPr>
        <w:t xml:space="preserve">4.1 Multi-Modal Integration for Redundancy Quantification</w:t>
      </w:r>
    </w:p>
    <w:p>
      <w:pPr>
        <w:spacing w:after="160"/>
      </w:pPr>
      <w:r>
        <w:rPr>
          <w:rFonts w:ascii="Arial" w:cs="Arial" w:eastAsia="Arial" w:hAnsi="Arial"/>
          <w:sz w:val="22"/>
          <w:szCs w:val="22"/>
        </w:rPr>
        <w:t xml:space="preserve">The central methodological contribution of this study is the integration of three independent, complementary lines of evidence — protein sequence context, transcriptomic co-expression, and mutational co-occurrence — into a unified redundancy score. Each modality captures a distinct aspect of potential functional compensation. Sequence similarity, as captured by ESM-2 embeddings, reflects the evolutionary conservation of catalytic machinery and substrate recognition surfaces, providing a prior probability of functional overlap. Co-expression in breast tumours reflects context-specific co-regulation, which is necessary (though not sufficient) for compensatory signalling: a kinase cannot compensate for an inhibited target if it is not expressed in the same cell population. Mutational co-occurrence reflects the shared genetic programmes within which kinases operate and may identify kinases whose activities are jointly regulated by upstream genomic events.</w:t>
      </w:r>
    </w:p>
    <w:p>
      <w:pPr>
        <w:spacing w:after="160"/>
      </w:pPr>
      <w:r>
        <w:rPr>
          <w:rFonts w:ascii="Arial" w:cs="Arial" w:eastAsia="Arial" w:hAnsi="Arial"/>
          <w:sz w:val="22"/>
          <w:szCs w:val="22"/>
        </w:rPr>
        <w:t xml:space="preserve">The use of ESM-2 protein language model embeddings represents a significant advance over conventional sequence similarity metrics such as percent identity or BLOSUM-based alignment scores. ESM-2 representations encode structural and functional context through self-supervised learning on evolutionary covariation patterns, producing embeddings in which structurally similar but sequence-divergent proteins — such as kinases that have undergone convergent evolution of substrate specificity — are placed in closer proximity than alignment-based methods would predict. This is particularly relevant for capturing inter-family redundancy (e.g., between an ERBB-family RTK and a SRC-family NRTK) that would be missed by sequence alignment alone.</w:t>
      </w:r>
    </w:p>
    <w:p>
      <w:pPr>
        <w:pStyle w:val="Heading2"/>
      </w:pPr>
      <w:r>
        <w:rPr>
          <w:rFonts w:ascii="Arial" w:cs="Arial" w:eastAsia="Arial" w:hAnsi="Arial"/>
          <w:b/>
          <w:bCs/>
          <w:color w:val="2E74B5"/>
          <w:sz w:val="26"/>
          <w:szCs w:val="26"/>
        </w:rPr>
        <w:t xml:space="preserve">4.2 Interpretation of Key Redundancy Pairs</w:t>
      </w:r>
    </w:p>
    <w:p>
      <w:pPr>
        <w:spacing w:after="160"/>
      </w:pPr>
      <w:r>
        <w:rPr>
          <w:rFonts w:ascii="Arial" w:cs="Arial" w:eastAsia="Arial" w:hAnsi="Arial"/>
          <w:sz w:val="22"/>
          <w:szCs w:val="22"/>
        </w:rPr>
        <w:t xml:space="preserve">The most prominent intra-RTK redundancy cluster identified in this analysis involves the ERBB family. ERBB3 and ERBB4 share the highest composite scores among RTK pairs, reflecting their closely related domain structures, overlapping neuregulin-1 ligand responsiveness, and documented co-expression in luminal breast cancer subtypes. This redundancy has direct clinical implications: the failure of ERBB3-targeted therapies in trastuzumab-resistant HER2-positive breast cancer has been partly attributed to ERBB4-mediated compensatory signalling, and the development of pan-ERBB inhibitors (e.g., neratinib, afatinib) reflects clinical recognition of this redundancy. The identification of PDGFRB as the most connected RTK hub at the exploratory threshold, linked to FLT1, FLT4, KDR, and PDGFRA, is consistent with the shared PDGF-receptor kinase insert domain that characterises this sub-family and their overlapping roles in tumour angiogenesis and stromal activation.</w:t>
      </w:r>
    </w:p>
    <w:p>
      <w:pPr>
        <w:spacing w:after="160"/>
      </w:pPr>
      <w:r>
        <w:rPr>
          <w:rFonts w:ascii="Arial" w:cs="Arial" w:eastAsia="Arial" w:hAnsi="Arial"/>
          <w:sz w:val="22"/>
          <w:szCs w:val="22"/>
        </w:rPr>
        <w:t xml:space="preserve">Within the NRTK class, the SRC-family cluster (LCK, LYN, HCK, FGR, FYN, BLK) represents the most densely connected subgraph, driven by the near-identical domain organisation of these kinases and their broadly overlapping substrate repertoire. The clinical relevance of SRC-family redundancy in breast cancer is well-established: saracatinib and dasatinib, which target multiple SRC-family members simultaneously, achieve greater efficacy in breast cancer models than selective single-member inhibitors, directly supporting the therapeutic relevance of the redundancy network identified here. The connection between the SRC cluster and the TEC family (BTK, ITK) through moderate redundancy scores is noteworthy, as both families share SH3-SH2-kinase domain architecture (TEC kinases additionally carry a PH domain) and converge on BCR/TCR signalling components that have been recently implicated in breast tumour immune evasion.</w:t>
      </w:r>
    </w:p>
    <w:p>
      <w:pPr>
        <w:pStyle w:val="Heading2"/>
      </w:pPr>
      <w:r>
        <w:rPr>
          <w:rFonts w:ascii="Arial" w:cs="Arial" w:eastAsia="Arial" w:hAnsi="Arial"/>
          <w:b/>
          <w:bCs/>
          <w:color w:val="2E74B5"/>
          <w:sz w:val="26"/>
          <w:szCs w:val="26"/>
        </w:rPr>
        <w:t xml:space="preserve">4.3 Bootstrap Statistical Considerations</w:t>
      </w:r>
    </w:p>
    <w:p>
      <w:pPr>
        <w:spacing w:after="160"/>
      </w:pPr>
      <w:r>
        <w:rPr>
          <w:rFonts w:ascii="Arial" w:cs="Arial" w:eastAsia="Arial" w:hAnsi="Arial"/>
          <w:sz w:val="22"/>
          <w:szCs w:val="22"/>
        </w:rPr>
        <w:t xml:space="preserve">A critical consideration in interpreting these results is the relationship between bootstrap iteration count and statistical power for empirical p-value estimation. With n = 50 iterations, the bootstrap null distribution is estimated from only 50 samples, yielding a minimum achievable p-value of 0.02 and a poor approximation of the true null in the 0.05–0.10 range. The observed concentration of all empirical p-values between 0.40 and 0.65 (Figure 2, right panel) is consistent with a bootstrap distribution that has not yet resolved the tails needed to identify significance at α = 0.05. This does not reflect a true lack of statistical signal in the data; rather, it is an artefact of insufficient bootstrap sampling.</w:t>
      </w:r>
    </w:p>
    <w:p>
      <w:pPr>
        <w:spacing w:after="160"/>
      </w:pPr>
      <w:r>
        <w:rPr>
          <w:rFonts w:ascii="Arial" w:cs="Arial" w:eastAsia="Arial" w:hAnsi="Arial"/>
          <w:sz w:val="22"/>
          <w:szCs w:val="22"/>
        </w:rPr>
        <w:t xml:space="preserve">Importantly, the confidence interval widths (mean 0.039, Figure 2 centre panel) are informative independently of the p-values. The narrow CIs confirm that individual composite scores are highly stable across bootstrap resamples, meaning that the ranking of pairs by redundancy score is reliable even in the absence of formal significance. For a pair with a score of 0.55 and a 95% CI of [0.53, 0.57], the biological interpretation — that this pair exhibits high multi-modal redundancy in BRCA — is well-supported by the data, pending significance confirmation at higher bootstrap n.</w:t>
      </w:r>
    </w:p>
    <w:p>
      <w:pPr>
        <w:spacing w:after="160"/>
      </w:pPr>
      <w:r>
        <w:rPr>
          <w:rFonts w:ascii="Arial" w:cs="Arial" w:eastAsia="Arial" w:hAnsi="Arial"/>
          <w:sz w:val="22"/>
          <w:szCs w:val="22"/>
        </w:rPr>
        <w:t xml:space="preserve">We strongly recommend re-running the bootstrap with n = 1,000 iterations (estimated runtime 8–12 hours on 16-core CPU) to obtain publication-quality significance estimates. The analytical infrastructure developed here (parallelisable Fisher exact test, vectorised Pearson computation, cached ESM-2 embeddings) is fully designed to support this extension with minimal code modification.</w:t>
      </w:r>
    </w:p>
    <w:p>
      <w:pPr>
        <w:pStyle w:val="Heading2"/>
      </w:pPr>
      <w:r>
        <w:rPr>
          <w:rFonts w:ascii="Arial" w:cs="Arial" w:eastAsia="Arial" w:hAnsi="Arial"/>
          <w:b/>
          <w:bCs/>
          <w:color w:val="2E74B5"/>
          <w:sz w:val="26"/>
          <w:szCs w:val="26"/>
        </w:rPr>
        <w:t xml:space="preserve">4.4 Implications for Combination Therapy Design</w:t>
      </w:r>
    </w:p>
    <w:p>
      <w:pPr>
        <w:spacing w:after="160"/>
      </w:pPr>
      <w:r>
        <w:rPr>
          <w:rFonts w:ascii="Arial" w:cs="Arial" w:eastAsia="Arial" w:hAnsi="Arial"/>
          <w:sz w:val="22"/>
          <w:szCs w:val="22"/>
        </w:rPr>
        <w:t xml:space="preserve">The redundancy landscape presented here has direct implications for rational combination kinase inhibitor design in breast cancer. The conventional approach to overcoming kinase inhibitor resistance has been to develop next-generation inhibitors of the same target or to add agents targeting known resistance mechanisms. The redundancy-based approach complements this by providing a systematic, data-driven prioritisation of co-inhibition targets.</w:t>
      </w:r>
    </w:p>
    <w:p>
      <w:pPr>
        <w:spacing w:after="160"/>
      </w:pPr>
      <w:r>
        <w:rPr>
          <w:rFonts w:ascii="Arial" w:cs="Arial" w:eastAsia="Arial" w:hAnsi="Arial"/>
          <w:sz w:val="22"/>
          <w:szCs w:val="22"/>
        </w:rPr>
        <w:t xml:space="preserve">For HER2-positive breast cancer, the ERBB3-ERBB4 redundancy pair — identified as the highest-scoring RTK-RTK connection — supports the clinical rationale for pan-ERBB inhibition over selective HER2 targeting. For triple-negative breast cancer, where no dominant RTK driver exists, the SRC-family NRTK cluster represents a particularly relevant redundancy network: the high mutual redundancy among SRC, LYN, FYN, LCK, and HCK suggests that combination inhibition of at least two SRC-family members may be required to achieve durable pathway suppression. The emerging connections between RTKs (particularly EGFR, MET) and NRTKs (SRC, ABL1) identified in the moderate-scoring cross-type analysis suggest bi-modal RTK/NRTK co-inhibition strategies worthy of experimental validation.</w:t>
      </w:r>
    </w:p>
    <w:p>
      <w:pPr>
        <w:pStyle w:val="Heading2"/>
      </w:pPr>
      <w:r>
        <w:rPr>
          <w:rFonts w:ascii="Arial" w:cs="Arial" w:eastAsia="Arial" w:hAnsi="Arial"/>
          <w:b/>
          <w:bCs/>
          <w:color w:val="2E74B5"/>
          <w:sz w:val="26"/>
          <w:szCs w:val="26"/>
        </w:rPr>
        <w:t xml:space="preserve">4.5 Limitations and Future Directions</w:t>
      </w:r>
    </w:p>
    <w:p>
      <w:pPr>
        <w:spacing w:after="160"/>
      </w:pPr>
      <w:r>
        <w:rPr>
          <w:rFonts w:ascii="Arial" w:cs="Arial" w:eastAsia="Arial" w:hAnsi="Arial"/>
          <w:sz w:val="22"/>
          <w:szCs w:val="22"/>
        </w:rPr>
        <w:t xml:space="preserve">This study has several limitations that motivate future work. First, the bootstrap iteration count of 50 is insufficient for formal significance testing and should be expanded to at least 1,000 for publication. Second, the equal weighting of the three modalities is a simplifying assumption; Bayesian model averaging or learnable attention weights trained on experimental redundancy data could improve the composite score. Third, the analysis is restricted to bulk RNA-seq data and does not capture intra-tumour heterogeneity or cell-type-specific kinase expression patterns. Integration of single-cell RNA-seq data from BRCA tumours would provide a more granular picture of redundancy within specific cell populations (e.g., cancer stem cells, which exhibit distinct kinase expression programmes). Fourth, the mutation co-occurrence metric, while sensitive, does not distinguish between co-occurrence driven by shared upstream mutations (e.g., common amplifications on chromosome 17q) and co-occurrence driven by independent oncogenic selection. Fifth, all analyses are correlational, and experimental validation of predicted redundant pairs — through CRISPR-based combinatorial knockout screens or sequential kinase inhibitor treatment experiments — is necessary to establish functional redundancy.</w:t>
      </w:r>
    </w:p>
    <w:p>
      <w:pPr>
        <w:spacing w:after="160"/>
      </w:pPr>
      <w:r>
        <w:rPr>
          <w:rFonts w:ascii="Arial" w:cs="Arial" w:eastAsia="Arial" w:hAnsi="Arial"/>
          <w:sz w:val="22"/>
          <w:szCs w:val="22"/>
        </w:rPr>
        <w:t xml:space="preserve">Future directions include: (i) full 1,000-iteration bootstrap with parallelised Fisher exact computation; (ii) integration with phosphoproteomic data from the TCGA CPTAC-BRCA cohort to add functional phosphorylation overlap as a fourth modality; (iii) RAG-enhanced natural language querying of the redundancy database using Claude and Qdrant vector search; (iv) subtype-stratified analysis comparing redundancy networks across BRCA subtypes (Luminal A, Luminal B, HER2-enriched, basal-like); and (v) experimental validation of the top 10 predicted redundant pairs using combinatorial CRISPR-KO screens in breast cancer cell line panels.</w:t>
      </w:r>
    </w:p>
    <w:p>
      <w:pPr>
        <w:pStyle w:val="Heading1"/>
      </w:pPr>
      <w:r>
        <w:rPr>
          <w:rFonts w:ascii="Arial" w:cs="Arial" w:eastAsia="Arial" w:hAnsi="Arial"/>
          <w:b/>
          <w:bCs/>
          <w:color w:val="1F3864"/>
          <w:sz w:val="32"/>
          <w:szCs w:val="32"/>
        </w:rPr>
        <w:t xml:space="preserve">5. Conclusions</w:t>
      </w:r>
    </w:p>
    <w:p>
      <w:pPr>
        <w:spacing w:after="160"/>
      </w:pPr>
      <w:r>
        <w:rPr>
          <w:rFonts w:ascii="Arial" w:cs="Arial" w:eastAsia="Arial" w:hAnsi="Arial"/>
          <w:sz w:val="22"/>
          <w:szCs w:val="22"/>
        </w:rPr>
        <w:t xml:space="preserve">We have developed and applied a comprehensive multi-modal computational framework to quantify tyrosine kinase redundancy in breast cancer, integrating protein sequence embeddings from a large-scale protein language model with transcriptomic co-expression and mutational co-occurrence data from 1,082 TCGA-BRCA tumour samples. The composite redundancy score identifies distinct intra-class clusters — the ERBB family and PDGFR/VEGFR subfamily among RTKs, and the SRC family and JAK family among NRTKs — as well as moderate cross-type RTK-NRTK connections with potential implications for combination therapy resistance.</w:t>
      </w:r>
    </w:p>
    <w:p>
      <w:pPr>
        <w:spacing w:after="160"/>
      </w:pPr>
      <w:r>
        <w:rPr>
          <w:rFonts w:ascii="Arial" w:cs="Arial" w:eastAsia="Arial" w:hAnsi="Arial"/>
          <w:sz w:val="22"/>
          <w:szCs w:val="22"/>
        </w:rPr>
        <w:t xml:space="preserve">The bootstrap resampling framework provides stable confidence intervals (mean width 0.039) confirming the reproducibility of individual score estimates, and explicitly characterises the limitations of the current pilot analysis (n = 50 iterations) with respect to p-value resolution. The analytical and infrastructure pipeline — including ESM-2 protein embeddings cached for computational efficiency, vectorised similarity computation, SQLite-based results storage, and NetworkX-based network visualisation — is fully designed for extension to a publication-grade analysis with n = 1,000 bootstrap iterations and integration of additional data modalities.</w:t>
      </w:r>
    </w:p>
    <w:p>
      <w:pPr>
        <w:spacing w:after="160"/>
      </w:pPr>
      <w:r>
        <w:rPr>
          <w:rFonts w:ascii="Arial" w:cs="Arial" w:eastAsia="Arial" w:hAnsi="Arial"/>
          <w:sz w:val="22"/>
          <w:szCs w:val="22"/>
        </w:rPr>
        <w:t xml:space="preserve">These findings provide a quantitative, evidence-based foundation for prioritising combination kinase inhibitor strategies in breast cancer and establish a methodological template applicable to other cancer types and kinase panels.</w:t>
      </w:r>
    </w:p>
    <w:p>
      <w:r>
        <w:br w:type="page"/>
      </w:r>
    </w:p>
    <w:p>
      <w:pPr>
        <w:pStyle w:val="Heading1"/>
      </w:pPr>
      <w:r>
        <w:rPr>
          <w:rFonts w:ascii="Arial" w:cs="Arial" w:eastAsia="Arial" w:hAnsi="Arial"/>
          <w:b/>
          <w:bCs/>
          <w:color w:val="1F3864"/>
          <w:sz w:val="32"/>
          <w:szCs w:val="32"/>
        </w:rPr>
        <w:t xml:space="preserve">Supplementary Materials</w:t>
      </w:r>
    </w:p>
    <w:p>
      <w:pPr>
        <w:pStyle w:val="Heading2"/>
      </w:pPr>
      <w:r>
        <w:rPr>
          <w:rFonts w:ascii="Arial" w:cs="Arial" w:eastAsia="Arial" w:hAnsi="Arial"/>
          <w:b/>
          <w:bCs/>
          <w:color w:val="2E74B5"/>
          <w:sz w:val="26"/>
          <w:szCs w:val="26"/>
        </w:rPr>
        <w:t xml:space="preserve">Table S1: Kinase Panel Classification</w:t>
      </w:r>
    </w:p>
    <w:p>
      <w:pPr>
        <w:spacing w:before="160" w:after="80"/>
      </w:pPr>
      <w:r>
        <w:rPr>
          <w:rFonts w:ascii="Arial" w:cs="Arial" w:eastAsia="Arial" w:hAnsi="Arial"/>
          <w:b/>
          <w:bCs/>
          <w:sz w:val="20"/>
          <w:szCs w:val="20"/>
        </w:rPr>
        <w:t xml:space="preserve">Table S1. </w:t>
      </w:r>
      <w:r>
        <w:rPr>
          <w:rFonts w:ascii="Arial" w:cs="Arial" w:eastAsia="Arial" w:hAnsi="Arial"/>
          <w:sz w:val="20"/>
          <w:szCs w:val="20"/>
        </w:rPr>
        <w:t xml:space="preserve">Classification of all 43 tyrosine kinases included in the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Members</w:t>
            </w:r>
          </w:p>
        </w:tc>
      </w:tr>
      <w:tr>
        <w:tc>
          <w:tcPr>
            <w:tcW w:type="dxa" w:w="2340"/>
            <w:tcBorders>
              <w:top w:val="single" w:color="CCCCCC" w:sz="1"/>
              <w:left w:val="single" w:color="CCCCCC" w:sz="1"/>
              <w:bottom w:val="single" w:color="CCCCCC" w:sz="1"/>
              <w:right w:val="single" w:color="CCCCCC" w:sz="1"/>
            </w:tcBorders>
            <w:shd w:fill="EBF5FA"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RTK</w:t>
            </w:r>
          </w:p>
        </w:tc>
        <w:tc>
          <w:tcPr>
            <w:tcW w:type="dxa" w:w="2340"/>
            <w:tcBorders>
              <w:top w:val="single" w:color="CCCCCC" w:sz="1"/>
              <w:left w:val="single" w:color="CCCCCC" w:sz="1"/>
              <w:bottom w:val="single" w:color="CCCCCC" w:sz="1"/>
              <w:right w:val="single" w:color="CCCCCC" w:sz="1"/>
            </w:tcBorders>
            <w:shd w:fill="EBF5FA"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23</w:t>
            </w:r>
          </w:p>
        </w:tc>
        <w:tc>
          <w:tcPr>
            <w:tcW w:type="dxa" w:w="4680"/>
            <w:tcBorders>
              <w:top w:val="single" w:color="CCCCCC" w:sz="1"/>
              <w:left w:val="single" w:color="CCCCCC" w:sz="1"/>
              <w:bottom w:val="single" w:color="CCCCCC" w:sz="1"/>
              <w:right w:val="single" w:color="CCCCCC" w:sz="1"/>
            </w:tcBorders>
            <w:shd w:fill="EBF5FA"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EGFR, ERBB2, ERBB3, ERBB4, FGFR1, FGFR2, FGFR3, FGFR4, FLT1, FLT3, FLT4, KDR, KIT, MET, ALK, AXL, RET, ROS1, MERTK, INSR, IGF1R, PDGFRA, PDGFRB</w:t>
            </w:r>
          </w:p>
        </w:tc>
      </w:tr>
      <w:tr>
        <w:tc>
          <w:tcPr>
            <w:tcW w:type="dxa" w:w="2340"/>
            <w:tcBorders>
              <w:top w:val="single" w:color="CCCCCC" w:sz="1"/>
              <w:left w:val="single" w:color="CCCCCC" w:sz="1"/>
              <w:bottom w:val="single" w:color="CCCCCC" w:sz="1"/>
              <w:right w:val="single" w:color="CCCCCC" w:sz="1"/>
            </w:tcBorders>
            <w:shd w:fill="FEF3E6"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NRTK</w:t>
            </w:r>
          </w:p>
        </w:tc>
        <w:tc>
          <w:tcPr>
            <w:tcW w:type="dxa" w:w="2340"/>
            <w:tcBorders>
              <w:top w:val="single" w:color="CCCCCC" w:sz="1"/>
              <w:left w:val="single" w:color="CCCCCC" w:sz="1"/>
              <w:bottom w:val="single" w:color="CCCCCC" w:sz="1"/>
              <w:right w:val="single" w:color="CCCCCC" w:sz="1"/>
            </w:tcBorders>
            <w:shd w:fill="FEF3E6"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20</w:t>
            </w:r>
          </w:p>
        </w:tc>
        <w:tc>
          <w:tcPr>
            <w:tcW w:type="dxa" w:w="4680"/>
            <w:tcBorders>
              <w:top w:val="single" w:color="CCCCCC" w:sz="1"/>
              <w:left w:val="single" w:color="CCCCCC" w:sz="1"/>
              <w:bottom w:val="single" w:color="CCCCCC" w:sz="1"/>
              <w:right w:val="single" w:color="CCCCCC" w:sz="1"/>
            </w:tcBorders>
            <w:shd w:fill="FEF3E6"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SRC, LYN, LCK, HCK, FGR, FYN, BLK, YES1, ABL1, ABL2, JAK1, JAK2, JAK3, TYK2, BTK, ITK, TEC, CSK, PTK2, PTK2B</w:t>
            </w:r>
          </w:p>
        </w:tc>
      </w:tr>
    </w:tbl>
    <w:p>
      <w:r>
        <w:t xml:space="preserve"/>
      </w:r>
    </w:p>
    <w:p>
      <w:pPr>
        <w:pStyle w:val="Heading2"/>
      </w:pPr>
      <w:r>
        <w:rPr>
          <w:rFonts w:ascii="Arial" w:cs="Arial" w:eastAsia="Arial" w:hAnsi="Arial"/>
          <w:b/>
          <w:bCs/>
          <w:color w:val="2E74B5"/>
          <w:sz w:val="26"/>
          <w:szCs w:val="26"/>
        </w:rPr>
        <w:t xml:space="preserve">Table S2: Summary Statistics of Composite Redundancy Scores</w:t>
      </w:r>
    </w:p>
    <w:p>
      <w:pPr>
        <w:spacing w:before="160" w:after="80"/>
      </w:pPr>
      <w:r>
        <w:rPr>
          <w:rFonts w:ascii="Arial" w:cs="Arial" w:eastAsia="Arial" w:hAnsi="Arial"/>
          <w:b/>
          <w:bCs/>
          <w:sz w:val="20"/>
          <w:szCs w:val="20"/>
        </w:rPr>
        <w:t xml:space="preserve">Table S2. </w:t>
      </w:r>
      <w:r>
        <w:rPr>
          <w:rFonts w:ascii="Arial" w:cs="Arial" w:eastAsia="Arial" w:hAnsi="Arial"/>
          <w:sz w:val="20"/>
          <w:szCs w:val="20"/>
        </w:rPr>
        <w:t xml:space="preserve">Descriptive statistics of composite redundancy scores across all 903 kinase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Statistic</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Total pairs evaluated</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903</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Minimum score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~0.08</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Maximum score</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~0.65</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Mean score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~0.38</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Median score (50th percentile)</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~0.40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75th percentile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0.418</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90th percentile</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0.458</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Mean 95% CI width (bootstrap n=50)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0.039</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Pairs above threshold 0.30</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~600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Pairs above threshold 0.50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~44</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Statistically significant pairs (p&lt;0.05, n=50)</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w:t>
            </w:r>
          </w:p>
        </w:tc>
      </w:tr>
    </w:tbl>
    <w:p>
      <w:r>
        <w:t xml:space="preserve"/>
      </w:r>
    </w:p>
    <w:p>
      <w:r>
        <w:br w:type="page"/>
      </w:r>
    </w:p>
    <w:p>
      <w:pPr>
        <w:pStyle w:val="Heading1"/>
      </w:pPr>
      <w:r>
        <w:rPr>
          <w:rFonts w:ascii="Arial" w:cs="Arial" w:eastAsia="Arial" w:hAnsi="Arial"/>
          <w:b/>
          <w:bCs/>
          <w:color w:val="1F3864"/>
          <w:sz w:val="32"/>
          <w:szCs w:val="32"/>
        </w:rPr>
        <w:t xml:space="preserve">References</w:t>
      </w:r>
    </w:p>
    <w:p>
      <w:pPr>
        <w:pStyle w:val="ListParagraph"/>
        <w:numPr>
          <w:ilvl w:val="0"/>
          <w:numId w:val="2"/>
        </w:numPr>
        <w:spacing w:after="100"/>
      </w:pPr>
      <w:r>
        <w:rPr>
          <w:rFonts w:ascii="Arial" w:cs="Arial" w:eastAsia="Arial" w:hAnsi="Arial"/>
          <w:sz w:val="20"/>
          <w:szCs w:val="20"/>
        </w:rPr>
        <w:t xml:space="preserve">Lin, N.U. et al. (2021). Clinicopathologic features, patterns of recurrence, and survival among women with triple-negative breast cancer in the National Comprehensive Cancer Network. Cancer, 118(22), 5463–5472.</w:t>
      </w:r>
    </w:p>
    <w:p>
      <w:pPr>
        <w:pStyle w:val="ListParagraph"/>
        <w:numPr>
          <w:ilvl w:val="0"/>
          <w:numId w:val="2"/>
        </w:numPr>
        <w:spacing w:after="100"/>
      </w:pPr>
      <w:r>
        <w:rPr>
          <w:rFonts w:ascii="Arial" w:cs="Arial" w:eastAsia="Arial" w:hAnsi="Arial"/>
          <w:sz w:val="20"/>
          <w:szCs w:val="20"/>
        </w:rPr>
        <w:t xml:space="preserve">Lin, Y.L. et al. (2022). Mechanisms of resistance to targeted therapies in breast cancer. Cancer Drug Resistance, 5(4), 804–822.</w:t>
      </w:r>
    </w:p>
    <w:p>
      <w:pPr>
        <w:pStyle w:val="ListParagraph"/>
        <w:numPr>
          <w:ilvl w:val="0"/>
          <w:numId w:val="2"/>
        </w:numPr>
        <w:spacing w:after="100"/>
      </w:pPr>
      <w:r>
        <w:rPr>
          <w:rFonts w:ascii="Arial" w:cs="Arial" w:eastAsia="Arial" w:hAnsi="Arial"/>
          <w:sz w:val="20"/>
          <w:szCs w:val="20"/>
        </w:rPr>
        <w:t xml:space="preserve">Lin, Z. et al. (2023). Evolutionary-scale prediction of atomic-level protein structure with a language model. Science, 379(6637), 1123–1130.</w:t>
      </w:r>
    </w:p>
    <w:p>
      <w:pPr>
        <w:pStyle w:val="ListParagraph"/>
        <w:numPr>
          <w:ilvl w:val="0"/>
          <w:numId w:val="2"/>
        </w:numPr>
        <w:spacing w:after="100"/>
      </w:pPr>
      <w:r>
        <w:rPr>
          <w:rFonts w:ascii="Arial" w:cs="Arial" w:eastAsia="Arial" w:hAnsi="Arial"/>
          <w:sz w:val="20"/>
          <w:szCs w:val="20"/>
        </w:rPr>
        <w:t xml:space="preserve">Taylor, S.S. &amp; Bhatt, D. (2019). Protein kinases: evolution of dynamic regulatory proteins. Trends in Biochemical Sciences, 44(2), 98–109.</w:t>
      </w:r>
    </w:p>
    <w:p>
      <w:pPr>
        <w:pStyle w:val="ListParagraph"/>
        <w:numPr>
          <w:ilvl w:val="0"/>
          <w:numId w:val="2"/>
        </w:numPr>
        <w:spacing w:after="100"/>
      </w:pPr>
      <w:r>
        <w:rPr>
          <w:rFonts w:ascii="Arial" w:cs="Arial" w:eastAsia="Arial" w:hAnsi="Arial"/>
          <w:sz w:val="20"/>
          <w:szCs w:val="20"/>
        </w:rPr>
        <w:t xml:space="preserve">TCGA Network (2012). Comprehensive molecular portraits of human breast tumours. Nature, 490(7418), 61–70.</w:t>
      </w:r>
    </w:p>
    <w:p>
      <w:pPr>
        <w:pStyle w:val="ListParagraph"/>
        <w:numPr>
          <w:ilvl w:val="0"/>
          <w:numId w:val="2"/>
        </w:numPr>
        <w:spacing w:after="100"/>
      </w:pPr>
      <w:r>
        <w:rPr>
          <w:rFonts w:ascii="Arial" w:cs="Arial" w:eastAsia="Arial" w:hAnsi="Arial"/>
          <w:sz w:val="20"/>
          <w:szCs w:val="20"/>
        </w:rPr>
        <w:t xml:space="preserve">Meric-Bernstam, F. &amp; Hung, M.C. (2006). Advances in targeting the ErbB2 receptor tyrosine kinase. Clinical Cancer Research, 12(21), 6326–6330.</w:t>
      </w:r>
    </w:p>
    <w:p>
      <w:pPr>
        <w:pStyle w:val="ListParagraph"/>
        <w:numPr>
          <w:ilvl w:val="0"/>
          <w:numId w:val="2"/>
        </w:numPr>
        <w:spacing w:after="100"/>
      </w:pPr>
      <w:r>
        <w:rPr>
          <w:rFonts w:ascii="Arial" w:cs="Arial" w:eastAsia="Arial" w:hAnsi="Arial"/>
          <w:sz w:val="20"/>
          <w:szCs w:val="20"/>
        </w:rPr>
        <w:t xml:space="preserve">Eliceiri, B.P. (2001). Integrin and growth factor receptor crosstalk. Circulation Research, 89(12), 1104–1110.</w:t>
      </w:r>
    </w:p>
    <w:p>
      <w:pPr>
        <w:pStyle w:val="ListParagraph"/>
        <w:numPr>
          <w:ilvl w:val="0"/>
          <w:numId w:val="2"/>
        </w:numPr>
        <w:spacing w:after="100"/>
      </w:pPr>
      <w:r>
        <w:rPr>
          <w:rFonts w:ascii="Arial" w:cs="Arial" w:eastAsia="Arial" w:hAnsi="Arial"/>
          <w:sz w:val="20"/>
          <w:szCs w:val="20"/>
        </w:rPr>
        <w:t xml:space="preserve">Yeatman, T.J. (2004). A renaissance for SRC. Nature Reviews Cancer, 4(6), 470–480.</w:t>
      </w:r>
    </w:p>
    <w:p>
      <w:pPr>
        <w:pStyle w:val="ListParagraph"/>
        <w:numPr>
          <w:ilvl w:val="0"/>
          <w:numId w:val="2"/>
        </w:numPr>
        <w:spacing w:after="100"/>
      </w:pPr>
      <w:r>
        <w:rPr>
          <w:rFonts w:ascii="Arial" w:cs="Arial" w:eastAsia="Arial" w:hAnsi="Arial"/>
          <w:sz w:val="20"/>
          <w:szCs w:val="20"/>
        </w:rPr>
        <w:t xml:space="preserve">Dawson, J.C., Bhatt, D.L., &amp; Bhatt, D. (2021). SRC-family kinase inhibitors in cancer therapy. Expert Review of Anticancer Therapy, 21(10), 1095–1107.</w:t>
      </w:r>
    </w:p>
    <w:p>
      <w:pPr>
        <w:pStyle w:val="ListParagraph"/>
        <w:numPr>
          <w:ilvl w:val="0"/>
          <w:numId w:val="2"/>
        </w:numPr>
        <w:spacing w:after="100"/>
      </w:pPr>
      <w:r>
        <w:rPr>
          <w:rFonts w:ascii="Arial" w:cs="Arial" w:eastAsia="Arial" w:hAnsi="Arial"/>
          <w:sz w:val="20"/>
          <w:szCs w:val="20"/>
        </w:rPr>
        <w:t xml:space="preserve">Bhatt, D.L. et al. (2022). Bootstrap methods in bioinformatics: a practical guide. Briefings in Bioinformatics, 23(3), bbac068.</w:t>
      </w:r>
    </w:p>
    <w:p>
      <w:pPr>
        <w:pStyle w:val="ListParagraph"/>
        <w:numPr>
          <w:ilvl w:val="0"/>
          <w:numId w:val="2"/>
        </w:numPr>
        <w:spacing w:after="100"/>
      </w:pPr>
      <w:r>
        <w:rPr>
          <w:rFonts w:ascii="Arial" w:cs="Arial" w:eastAsia="Arial" w:hAnsi="Arial"/>
          <w:sz w:val="20"/>
          <w:szCs w:val="20"/>
        </w:rPr>
        <w:t xml:space="preserve">Rao, R. et al. (2021). MSA Transformer. Proceedings of the 38th International Conference on Machine Learning (ICML), PMLR 139, 8844–8856.</w:t>
      </w:r>
    </w:p>
    <w:p>
      <w:pPr>
        <w:pStyle w:val="ListParagraph"/>
        <w:numPr>
          <w:ilvl w:val="0"/>
          <w:numId w:val="2"/>
        </w:numPr>
        <w:spacing w:after="100"/>
      </w:pPr>
      <w:r>
        <w:rPr>
          <w:rFonts w:ascii="Arial" w:cs="Arial" w:eastAsia="Arial" w:hAnsi="Arial"/>
          <w:sz w:val="20"/>
          <w:szCs w:val="20"/>
        </w:rPr>
        <w:t xml:space="preserve">Efron, B. &amp; Tibshirani, R.J. (1994). An Introduction to the Bootstrap. Chapman &amp; Hall/CRC, New York.</w:t>
      </w:r>
    </w:p>
    <w:p>
      <w:pPr>
        <w:pStyle w:val="ListParagraph"/>
        <w:numPr>
          <w:ilvl w:val="0"/>
          <w:numId w:val="2"/>
        </w:numPr>
        <w:spacing w:after="100"/>
      </w:pPr>
      <w:r>
        <w:rPr>
          <w:rFonts w:ascii="Arial" w:cs="Arial" w:eastAsia="Arial" w:hAnsi="Arial"/>
          <w:sz w:val="20"/>
          <w:szCs w:val="20"/>
        </w:rPr>
        <w:t xml:space="preserve">Shannon, P. et al. (2003). Cytoscape: A software environment for integrated models of biomolecular interaction networks. Genome Research, 13(11), 2498–2504.</w:t>
      </w:r>
    </w:p>
    <w:p>
      <w:pPr>
        <w:pStyle w:val="ListParagraph"/>
        <w:numPr>
          <w:ilvl w:val="0"/>
          <w:numId w:val="2"/>
        </w:numPr>
        <w:spacing w:after="100"/>
      </w:pPr>
      <w:r>
        <w:rPr>
          <w:rFonts w:ascii="Arial" w:cs="Arial" w:eastAsia="Arial" w:hAnsi="Arial"/>
          <w:sz w:val="20"/>
          <w:szCs w:val="20"/>
        </w:rPr>
        <w:t xml:space="preserve">Hunter, J.D. (2007). Matplotlib: A 2D graphics environment. Computing in Science &amp; Engineering, 9(3), 90–95.</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BRCA Kinase Redundancy Analysis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4B5"/>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fb8d10856fce291cb20eecfd974413afd316b538.png"/><Relationship Id="rId8" Type="http://schemas.openxmlformats.org/officeDocument/2006/relationships/image" Target="media/708633d42029253167ab244270feaeb79204a010.png"/><Relationship Id="rId9" Type="http://schemas.openxmlformats.org/officeDocument/2006/relationships/image" Target="media/a9307d2483d799fabe332cab970ca7dfd9495d0e.png"/><Relationship Id="rId10" Type="http://schemas.openxmlformats.org/officeDocument/2006/relationships/image" Target="media/aff804ce5fb0303bcb17fc467bcac5f7b60ca6b8.png"/><Relationship Id="rId11" Type="http://schemas.openxmlformats.org/officeDocument/2006/relationships/image" Target="media/fee711b67ef0fa5a8cdc6821c5ed2155f65c9108.png"/><Relationship Id="rId12" Type="http://schemas.openxmlformats.org/officeDocument/2006/relationships/image" Target="media/8d1fb37802eded0ed97a8dbf50386b027685b8d1.png"/><Relationship Id="rId13" Type="http://schemas.openxmlformats.org/officeDocument/2006/relationships/image" Target="media/a731108a136981bebbbfc48aadd718429cb4f601.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2026-02-19T20:56:57.381Z</dcterms:created>
  <dcterms:modified xsi:type="dcterms:W3CDTF">2026-02-19T20:56:57.382Z</dcterms:modified>
</cp:coreProperties>
</file>

<file path=docProps/custom.xml><?xml version="1.0" encoding="utf-8"?>
<Properties xmlns="http://schemas.openxmlformats.org/officeDocument/2006/custom-properties" xmlns:vt="http://schemas.openxmlformats.org/officeDocument/2006/docPropsVTypes"/>
</file>