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777777"/>
          <w:spacing w:val="60"/>
          <w:sz w:val="24"/>
          <w:szCs w:val="24"/>
        </w:rPr>
        <w:t xml:space="preserve">PROJECT PROGRESS REPORT</w:t>
      </w:r>
    </w:p>
    <w:p>
      <w:pPr>
        <w:spacing w:after="240"/>
      </w:pPr>
      <w:r>
        <w:rPr>
          <w:b/>
          <w:bCs/>
          <w:color w:val="1F5C8B"/>
          <w:sz w:val="44"/>
          <w:szCs w:val="44"/>
        </w:rPr>
        <w:t xml:space="preserve">Systematic Single-Cell Analysis of WLS (GPR177/Wntless) Expression in Human Dental Pulp Stem Cells</w:t>
      </w:r>
    </w:p>
    <w:p>
      <w:pPr>
        <w:pBdr>
          <w:bottom w:val="single" w:color="1F5C8B" w:sz="12" w:space="1"/>
        </w:pBdr>
        <w:spacing w:after="400"/>
      </w:pPr>
    </w:p>
    <w:p>
      <w:pPr>
        <w:spacing w:after="100"/>
      </w:pPr>
      <w:r>
        <w:rPr>
          <w:b/>
          <w:bCs/>
        </w:rPr>
        <w:t xml:space="preserve">Investigator: </w:t>
      </w:r>
      <w:r>
        <w:t xml:space="preserve">Md Tariqul Islam</w:t>
      </w:r>
    </w:p>
    <w:p>
      <w:pPr>
        <w:spacing w:after="100"/>
      </w:pPr>
      <w:r>
        <w:rPr>
          <w:b/>
          <w:bCs/>
        </w:rPr>
        <w:t xml:space="preserve">Supervisor: </w:t>
      </w:r>
      <w:r>
        <w:t xml:space="preserve">Professor Wei Hsu</w:t>
      </w:r>
    </w:p>
    <w:p>
      <w:pPr>
        <w:spacing w:after="100"/>
      </w:pPr>
      <w:r>
        <w:rPr>
          <w:b/>
          <w:bCs/>
        </w:rPr>
        <w:t xml:space="preserve">Report date: </w:t>
      </w:r>
      <w:r>
        <w:t xml:space="preserve">October 1, 2026</w:t>
      </w:r>
    </w:p>
    <w:p>
      <w:pPr>
        <w:spacing w:after="100"/>
      </w:pPr>
      <w:r>
        <w:rPr>
          <w:b/>
          <w:bCs/>
        </w:rPr>
        <w:t xml:space="preserve">Project repository: </w:t>
      </w:r>
      <w:r>
        <w:t xml:space="preserve">dpsc-wls-human-scRNAseq</w:t>
      </w:r>
    </w:p>
    <w:p>
      <w:pPr>
        <w:spacing w:after="100"/>
      </w:pPr>
      <w:r>
        <w:rPr>
          <w:b/>
          <w:bCs/>
        </w:rPr>
        <w:t xml:space="preserve">Reporting period: </w:t>
      </w:r>
      <w:r>
        <w:t xml:space="preserve">Project initiation through clustering (Stages 1–5 of 9)</w:t>
      </w:r>
    </w:p>
    <w:p>
      <w:r>
        <w:br w:type="page"/>
      </w:r>
    </w:p>
    <w:p>
      <w:pPr>
        <w:spacing w:after="200"/>
      </w:pPr>
      <w:r>
        <w:rPr>
          <w:b/>
          <w:bCs/>
          <w:color w:val="1F5C8B"/>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288"/>
        <w:jc w:val="both"/>
      </w:pPr>
      <w:r>
        <w:t xml:space="preserve">This report documents the progress of a project investigating whether WLS (Wntless, also known as GPR177), the cargo receptor required for secretion of Wnt ligands, is expressed in and enriched within human dental pulp stem cells (DPSCs). The question was posed by Professor Wei Hsu, and the project follows his recommendation to work from the original public repositories behind published dental pulp single-cell studies and to look for additional datasets for validation.</w:t>
      </w:r>
    </w:p>
    <w:p>
      <w:pPr>
        <w:spacing w:after="140" w:line="288"/>
        <w:jc w:val="both"/>
      </w:pPr>
      <w:r>
        <w:t xml:space="preserve">In the first work session, the project moved from concept to a working, reproducible single-cell RNA-sequencing (scRNA-seq) analysis framework. A version-controlled repository with an renv-managed R environment was established, a ten-script analysis pipeline was laid out, and four candidate datasets were identified. The first dataset, GEO accession GSE164157, comprising five human dental pulp samples, was downloaded, loaded into Seurat, merged, quality controlled, reduced by PCA and UMAP, and clustered.</w:t>
      </w:r>
    </w:p>
    <w:p>
      <w:pPr>
        <w:spacing w:after="140" w:line="288"/>
        <w:jc w:val="both"/>
      </w:pPr>
      <w:r>
        <w:t xml:space="preserve">The processed dataset contains 25,030 cells that passed quality control (96.7% of 25,886 input cells) and resolves into 28 graph-based clusters with a maximum modularity of 0.956. The project has now reached the point where cell populations can be annotated, candidate DPSC clusters identified, and WLS expression measured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Key metric</w:t>
            </w:r>
          </w:p>
        </w:tc>
        <w:tc>
          <w:tcPr>
            <w:tcW w:type="dxa" w:w="576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Value</w:t>
            </w:r>
          </w:p>
        </w:tc>
      </w:tr>
      <w:tr>
        <w:trPr>
          <w:tblHeader w:val="false"/>
        </w:trPr>
        <w:tc>
          <w:tcPr>
            <w:tcW w:type="dxa" w:w="36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bCs/>
                <w:color w:val="222222"/>
                <w:sz w:val="19"/>
                <w:szCs w:val="19"/>
              </w:rPr>
              <w:t xml:space="preserve">Samples processed</w:t>
            </w:r>
          </w:p>
        </w:tc>
        <w:tc>
          <w:tcPr>
            <w:tcW w:type="dxa" w:w="57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val="false"/>
                <w:bCs w:val="false"/>
                <w:color w:val="222222"/>
                <w:sz w:val="19"/>
                <w:szCs w:val="19"/>
              </w:rPr>
              <w:t xml:space="preserve">5 human dental pulp samples (GSE164157)</w:t>
            </w:r>
          </w:p>
        </w:tc>
      </w:tr>
      <w:tr>
        <w:trPr>
          <w:tblHeader w:val="false"/>
        </w:trPr>
        <w:tc>
          <w:tcPr>
            <w:tcW w:type="dxa" w:w="36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bCs/>
                <w:color w:val="222222"/>
                <w:sz w:val="19"/>
                <w:szCs w:val="19"/>
              </w:rPr>
              <w:t xml:space="preserve">Cells before / after QC</w:t>
            </w:r>
          </w:p>
        </w:tc>
        <w:tc>
          <w:tcPr>
            <w:tcW w:type="dxa" w:w="57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val="false"/>
                <w:bCs w:val="false"/>
                <w:color w:val="222222"/>
                <w:sz w:val="19"/>
                <w:szCs w:val="19"/>
              </w:rPr>
              <w:t xml:space="preserve">25,886 / 25,030 (856 removed, 3.3%)</w:t>
            </w:r>
          </w:p>
        </w:tc>
      </w:tr>
      <w:tr>
        <w:trPr>
          <w:tblHeader w:val="false"/>
        </w:trPr>
        <w:tc>
          <w:tcPr>
            <w:tcW w:type="dxa" w:w="36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bCs/>
                <w:color w:val="222222"/>
                <w:sz w:val="19"/>
                <w:szCs w:val="19"/>
              </w:rPr>
              <w:t xml:space="preserve">Features in merged object</w:t>
            </w:r>
          </w:p>
        </w:tc>
        <w:tc>
          <w:tcPr>
            <w:tcW w:type="dxa" w:w="57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val="false"/>
                <w:bCs w:val="false"/>
                <w:color w:val="222222"/>
                <w:sz w:val="19"/>
                <w:szCs w:val="19"/>
              </w:rPr>
              <w:t xml:space="preserve">45,076</w:t>
            </w:r>
          </w:p>
        </w:tc>
      </w:tr>
      <w:tr>
        <w:trPr>
          <w:tblHeader w:val="false"/>
        </w:trPr>
        <w:tc>
          <w:tcPr>
            <w:tcW w:type="dxa" w:w="36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bCs/>
                <w:color w:val="222222"/>
                <w:sz w:val="19"/>
                <w:szCs w:val="19"/>
              </w:rPr>
              <w:t xml:space="preserve">SNN graph</w:t>
            </w:r>
          </w:p>
        </w:tc>
        <w:tc>
          <w:tcPr>
            <w:tcW w:type="dxa" w:w="57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val="false"/>
                <w:bCs w:val="false"/>
                <w:color w:val="222222"/>
                <w:sz w:val="19"/>
                <w:szCs w:val="19"/>
              </w:rPr>
              <w:t xml:space="preserve">25,030 nodes, 977,919 edges</w:t>
            </w:r>
          </w:p>
        </w:tc>
      </w:tr>
      <w:tr>
        <w:trPr>
          <w:tblHeader w:val="false"/>
        </w:trPr>
        <w:tc>
          <w:tcPr>
            <w:tcW w:type="dxa" w:w="36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bCs/>
                <w:color w:val="222222"/>
                <w:sz w:val="19"/>
                <w:szCs w:val="19"/>
              </w:rPr>
              <w:t xml:space="preserve">Clusters identified</w:t>
            </w:r>
          </w:p>
        </w:tc>
        <w:tc>
          <w:tcPr>
            <w:tcW w:type="dxa" w:w="57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val="false"/>
                <w:bCs w:val="false"/>
                <w:color w:val="222222"/>
                <w:sz w:val="19"/>
                <w:szCs w:val="19"/>
              </w:rPr>
              <w:t xml:space="preserve">28 (Louvain; max. modularity 0.9558)</w:t>
            </w:r>
          </w:p>
        </w:tc>
      </w:tr>
      <w:tr>
        <w:trPr>
          <w:tblHeader w:val="false"/>
        </w:trPr>
        <w:tc>
          <w:tcPr>
            <w:tcW w:type="dxa" w:w="36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bCs/>
                <w:color w:val="222222"/>
                <w:sz w:val="19"/>
                <w:szCs w:val="19"/>
              </w:rPr>
              <w:t xml:space="preserve">Pipeline stages complete</w:t>
            </w:r>
          </w:p>
        </w:tc>
        <w:tc>
          <w:tcPr>
            <w:tcW w:type="dxa" w:w="57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val="false"/>
                <w:bCs w:val="false"/>
                <w:color w:val="222222"/>
                <w:sz w:val="19"/>
                <w:szCs w:val="19"/>
              </w:rPr>
              <w:t xml:space="preserve">5 of 9 (discovery through clustering)</w:t>
            </w:r>
          </w:p>
        </w:tc>
      </w:tr>
      <w:tr>
        <w:trPr>
          <w:tblHeader w:val="false"/>
        </w:trPr>
        <w:tc>
          <w:tcPr>
            <w:tcW w:type="dxa" w:w="36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bCs/>
                <w:color w:val="222222"/>
                <w:sz w:val="19"/>
                <w:szCs w:val="19"/>
              </w:rPr>
              <w:t xml:space="preserve">Hypotheses tested so far</w:t>
            </w:r>
          </w:p>
        </w:tc>
        <w:tc>
          <w:tcPr>
            <w:tcW w:type="dxa" w:w="57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val="false"/>
                <w:bCs w:val="false"/>
                <w:color w:val="222222"/>
                <w:sz w:val="19"/>
                <w:szCs w:val="19"/>
              </w:rPr>
              <w:t xml:space="preserve">None yet; testing begins with Stage 6 (annotation)</w:t>
            </w:r>
          </w:p>
        </w:tc>
      </w:tr>
    </w:tbl>
    <w:p>
      <w:pPr>
        <w:spacing w:after="60"/>
      </w:pPr>
    </w:p>
    <w:p>
      <w:pPr>
        <w:spacing w:after="140" w:line="288"/>
        <w:jc w:val="both"/>
      </w:pPr>
      <w:r>
        <w:t xml:space="preserve">Section 9 of this report sets out several methodological points that should be addressed before biological conclusions are drawn, most importantly batch correction across the five samples, doublet removal, a careful operational definition of “DPSC” in tissue-derived data, and a donor-level statistical design for testing WLS enrichment.</w:t>
      </w:r>
    </w:p>
    <w:p>
      <w:pPr>
        <w:pStyle w:val="Heading1"/>
      </w:pPr>
      <w:r>
        <w:t xml:space="preserve">1. Background</w:t>
      </w:r>
    </w:p>
    <w:p>
      <w:pPr>
        <w:pStyle w:val="Heading2"/>
      </w:pPr>
      <w:r>
        <w:t xml:space="preserve">1.1 Dental pulp stem cells</w:t>
      </w:r>
    </w:p>
    <w:p>
      <w:pPr>
        <w:spacing w:after="140" w:line="288"/>
        <w:jc w:val="both"/>
      </w:pPr>
      <w:r>
        <w:t xml:space="preserve">Dental pulp stem cells are multipotent mesenchymal stem/stromal cells that reside within the soft connective tissue of the tooth. They contribute to dentin repair, wound healing, tissue regeneration, and the maintenance of pulp homeostasis, and they have attracted considerable interest as a source of cells for regenerative dentistry and broader tissue engineering applications.</w:t>
      </w:r>
    </w:p>
    <w:p>
      <w:pPr>
        <w:pStyle w:val="Heading2"/>
      </w:pPr>
      <w:r>
        <w:t xml:space="preserve">1.2 Wnt signaling and WLS</w:t>
      </w:r>
    </w:p>
    <w:p>
      <w:pPr>
        <w:spacing w:after="140" w:line="288"/>
        <w:jc w:val="both"/>
      </w:pPr>
      <w:r>
        <w:t xml:space="preserve">The Wnt signaling pathway regulates stem cell maintenance, proliferation, self-renewal, differentiation, and tissue regeneration across many organ systems, including tooth development and repair. Wnt ligands are lipid-modified proteins that cannot leave the cell unaided. WLS (Wntless/GPR177) is a multipass transmembrane protein that binds palmitoylated Wnt ligands and escorts them from the endoplasmic reticulum and Golgi to the cell surface. Loss of WLS blocks the secretion of essentially all Wnt ligands from the producing cell, which makes WLS a useful marker of Wnt-producing capacity.</w:t>
      </w:r>
    </w:p>
    <w:p>
      <w:pPr>
        <w:pStyle w:val="Heading2"/>
      </w:pPr>
      <w:r>
        <w:t xml:space="preserve">1.3 Opportunity</w:t>
      </w:r>
    </w:p>
    <w:p>
      <w:pPr>
        <w:spacing w:after="140" w:line="288"/>
        <w:jc w:val="both"/>
      </w:pPr>
      <w:r>
        <w:t xml:space="preserve">Although WLS has been studied extensively in developmental biology and in several stem cell systems, its expression pattern within human dental pulp has not been characterized at single-cell resolution. A growing number of public human dental pulp scRNA-seq datasets now make it possible to ask, at low cost and with independent replication, which pulp cell populations express WLS and whether stem/progenitor populations are among them.</w:t>
      </w:r>
    </w:p>
    <w:p>
      <w:pPr>
        <w:pStyle w:val="Heading1"/>
      </w:pPr>
      <w:r>
        <w:t xml:space="preserve">2. Research Problem</w:t>
      </w:r>
    </w:p>
    <w:p>
      <w:pPr>
        <w:spacing w:after="140" w:line="288"/>
        <w:jc w:val="both"/>
      </w:pPr>
      <w:r>
        <w:t xml:space="preserve">Despite the availability of several human dental pulp single-cell transcriptomic datasets, no study has systematically evaluated three linked questions: whether WLS is expressed in human DPSCs; whether WLS expression is enriched in DPSC populations relative to other pulp cell types; and whether WLS-positive DPSCs carry transcriptional signatures associated with stemness and Wnt pathway activity. As a result, there is currently insufficient evidence to judge the potential biological relevance of WLS to dental pulp stem cell maintenance and regeneration.</w:t>
      </w:r>
    </w:p>
    <w:p>
      <w:pPr>
        <w:pStyle w:val="Heading1"/>
      </w:pPr>
      <w:r>
        <w:t xml:space="preserve">3. Research Gap</w:t>
      </w:r>
    </w:p>
    <w:p>
      <w:pPr>
        <w:spacing w:after="140" w:line="288"/>
        <w:jc w:val="both"/>
      </w:pPr>
      <w:r>
        <w:t xml:space="preserve">Table 1 summarizes what is established and what remains unresolved.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Established</w:t>
            </w:r>
          </w:p>
        </w:tc>
        <w:tc>
          <w:tcPr>
            <w:tcW w:type="dxa" w:w="468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Unresolved</w:t>
            </w:r>
          </w:p>
        </w:tc>
      </w:tr>
      <w:tr>
        <w:trPr>
          <w:tblHeader w:val="false"/>
        </w:trPr>
        <w:tc>
          <w:tcPr>
            <w:tcW w:type="dxa" w:w="468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Human dental pulp scRNA-seq datasets are publicly available.</w:t>
            </w:r>
          </w:p>
        </w:tc>
        <w:tc>
          <w:tcPr>
            <w:tcW w:type="dxa" w:w="468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Is WLS expressed in human DPSCs?</w:t>
            </w:r>
          </w:p>
        </w:tc>
      </w:tr>
      <w:tr>
        <w:trPr>
          <w:tblHeader w:val="false"/>
        </w:trPr>
        <w:tc>
          <w:tcPr>
            <w:tcW w:type="dxa" w:w="468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Multiple dental pulp cell populations have been characterized.</w:t>
            </w:r>
          </w:p>
        </w:tc>
        <w:tc>
          <w:tcPr>
            <w:tcW w:type="dxa" w:w="468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Which pulp cell types express WLS?</w:t>
            </w:r>
          </w:p>
        </w:tc>
      </w:tr>
      <w:tr>
        <w:trPr>
          <w:tblHeader w:val="false"/>
        </w:trPr>
        <w:tc>
          <w:tcPr>
            <w:tcW w:type="dxa" w:w="468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Wnt signaling is important in dental development and regeneration.</w:t>
            </w:r>
          </w:p>
        </w:tc>
        <w:tc>
          <w:tcPr>
            <w:tcW w:type="dxa" w:w="468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Is WLS enriched in DPSCs relative to other pulp cells?</w:t>
            </w:r>
          </w:p>
        </w:tc>
      </w:tr>
      <w:tr>
        <w:trPr>
          <w:tblHeader w:val="false"/>
        </w:trPr>
        <w:tc>
          <w:tcPr>
            <w:tcW w:type="dxa" w:w="468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WLS is required for Wnt ligand secretion.</w:t>
            </w:r>
          </w:p>
        </w:tc>
        <w:tc>
          <w:tcPr>
            <w:tcW w:type="dxa" w:w="468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Is WLS expression consistent across independent datasets?</w:t>
            </w:r>
          </w:p>
        </w:tc>
      </w:tr>
      <w:tr>
        <w:trPr>
          <w:tblHeader w:val="false"/>
        </w:trPr>
        <w:tc>
          <w:tcPr>
            <w:tcW w:type="dxa" w:w="468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
            </w:r>
          </w:p>
        </w:tc>
        <w:tc>
          <w:tcPr>
            <w:tcW w:type="dxa" w:w="468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Are WLS-positive DPSCs associated with stem cell transcriptional programs?</w:t>
            </w:r>
          </w:p>
        </w:tc>
      </w:tr>
    </w:tbl>
    <w:p>
      <w:pPr>
        <w:spacing w:after="220" w:before="60"/>
        <w:jc w:val="left"/>
      </w:pPr>
      <w:r>
        <w:rPr>
          <w:i/>
          <w:iCs/>
          <w:color w:val="555555"/>
          <w:sz w:val="18"/>
          <w:szCs w:val="18"/>
        </w:rPr>
        <w:t xml:space="preserve">Table 1. Summary of the research gap.</w:t>
      </w:r>
    </w:p>
    <w:p>
      <w:pPr>
        <w:pStyle w:val="Heading1"/>
      </w:pPr>
      <w:r>
        <w:t xml:space="preserve">4. Aims and Hypotheses</w:t>
      </w:r>
    </w:p>
    <w:p>
      <w:pPr>
        <w:pStyle w:val="Heading2"/>
      </w:pPr>
      <w:r>
        <w:t xml:space="preserve">4.1 Specific aims</w:t>
      </w:r>
    </w:p>
    <w:p>
      <w:pPr>
        <w:spacing w:after="140" w:line="288"/>
        <w:jc w:val="both"/>
      </w:pPr>
      <w:r>
        <w:rPr>
          <w:b/>
          <w:bCs/>
        </w:rPr>
        <w:t xml:space="preserve">Aim 1. </w:t>
      </w:r>
      <w:r>
        <w:t xml:space="preserve">Map WLS expression across all cell populations in human dental pulp scRNA-seq data and determine whether candidate DPSC populations express it.</w:t>
      </w:r>
    </w:p>
    <w:p>
      <w:pPr>
        <w:spacing w:after="140" w:line="288"/>
        <w:jc w:val="both"/>
      </w:pPr>
      <w:r>
        <w:rPr>
          <w:b/>
          <w:bCs/>
        </w:rPr>
        <w:t xml:space="preserve">Aim 2. </w:t>
      </w:r>
      <w:r>
        <w:t xml:space="preserve">Quantify whether WLS expression is enriched in candidate DPSC populations relative to non-DPSC pulp cells, using donor-aware statistics.</w:t>
      </w:r>
    </w:p>
    <w:p>
      <w:pPr>
        <w:spacing w:after="140" w:line="288"/>
        <w:jc w:val="both"/>
      </w:pPr>
      <w:r>
        <w:rPr>
          <w:b/>
          <w:bCs/>
        </w:rPr>
        <w:t xml:space="preserve">Aim 3. </w:t>
      </w:r>
      <w:r>
        <w:t xml:space="preserve">Characterize the transcriptional programs of WLS-positive versus WLS-negative DPSCs, with emphasis on stemness and Wnt pathway genes.</w:t>
      </w:r>
    </w:p>
    <w:p>
      <w:pPr>
        <w:spacing w:after="140" w:line="288"/>
        <w:jc w:val="both"/>
      </w:pPr>
      <w:r>
        <w:rPr>
          <w:b/>
          <w:bCs/>
        </w:rPr>
        <w:t xml:space="preserve">Aim 4. </w:t>
      </w:r>
      <w:r>
        <w:t xml:space="preserve">Validate the findings in at least one independent human dental pulp dataset.</w:t>
      </w:r>
    </w:p>
    <w:p>
      <w:pPr>
        <w:pStyle w:val="Heading2"/>
      </w:pPr>
      <w:r>
        <w:t xml:space="preserve">4.2 Hypotheses</w:t>
      </w:r>
    </w:p>
    <w:p>
      <w:pPr>
        <w:spacing w:after="140" w:line="288"/>
        <w:jc w:val="both"/>
      </w:pPr>
      <w:r>
        <w:rPr>
          <w:b/>
          <w:bCs/>
        </w:rPr>
        <w:t xml:space="preserve">H1. </w:t>
      </w:r>
      <w:r>
        <w:t xml:space="preserve">WLS is expressed in human dental pulp stem cells.</w:t>
      </w:r>
    </w:p>
    <w:p>
      <w:pPr>
        <w:spacing w:after="140" w:line="288"/>
        <w:jc w:val="both"/>
      </w:pPr>
      <w:r>
        <w:rPr>
          <w:b/>
          <w:bCs/>
        </w:rPr>
        <w:t xml:space="preserve">H2. </w:t>
      </w:r>
      <w:r>
        <w:t xml:space="preserve">WLS expression is significantly enriched in DPSCs compared with non-DPSC pulp populations.</w:t>
      </w:r>
    </w:p>
    <w:p>
      <w:pPr>
        <w:spacing w:after="140" w:line="288"/>
        <w:jc w:val="both"/>
      </w:pPr>
      <w:r>
        <w:rPr>
          <w:b/>
          <w:bCs/>
        </w:rPr>
        <w:t xml:space="preserve">H3. </w:t>
      </w:r>
      <w:r>
        <w:t xml:space="preserve">WLS-positive DPSCs show enhanced activation of Wnt-associated molecular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5C8B" w:sz="24"/>
              <w:bottom w:val="none" w:color="FFFFFF" w:sz="0"/>
              <w:right w:val="none" w:color="FFFFFF" w:sz="0"/>
            </w:tcBorders>
            <w:shd w:fill="E8F0F7" w:color="auto" w:val="clear"/>
            <w:tcMar>
              <w:top w:type="dxa" w:w="120"/>
              <w:left w:type="dxa" w:w="200"/>
              <w:bottom w:type="dxa" w:w="120"/>
              <w:right w:type="dxa" w:w="200"/>
            </w:tcMar>
          </w:tcPr>
          <w:p>
            <w:pPr>
              <w:spacing w:after="60"/>
            </w:pPr>
            <w:r>
              <w:rPr>
                <w:b/>
                <w:bCs/>
                <w:color w:val="1F5C8B"/>
              </w:rPr>
              <w:t xml:space="preserve">Note on H3</w:t>
            </w:r>
          </w:p>
          <w:p>
            <w:pPr>
              <w:spacing w:line="276"/>
            </w:pPr>
            <w:r>
              <w:rPr>
                <w:sz w:val="20"/>
                <w:szCs w:val="20"/>
              </w:rPr>
              <w:t xml:space="preserve">Because WLS governs Wnt secretion, WLS-positive cells are best interpreted as Wnt-producing cells. They are not necessarily Wnt-responding cells, since secreted ligands often act on neighboring cells. H3 will therefore be tested on two separate axes: Wnt ligand-production programs (WNT ligand genes, PORCN) and canonical Wnt-response programs (AXIN2, LEF1, TCF7, NKD1, NOTUM, LGR5). Ligand–receptor inference (Section 10) will examine which cells may receive WLS-dependent signals.</w:t>
            </w:r>
          </w:p>
        </w:tc>
      </w:tr>
    </w:tbl>
    <w:p>
      <w:pPr>
        <w:spacing w:after="60"/>
      </w:pPr>
    </w:p>
    <w:p>
      <w:pPr>
        <w:pStyle w:val="Heading1"/>
      </w:pPr>
      <w:r>
        <w:t xml:space="preserve">5. Research Strategy</w:t>
      </w:r>
    </w:p>
    <w:p>
      <w:pPr>
        <w:spacing w:after="140" w:line="288"/>
        <w:jc w:val="both"/>
      </w:pPr>
      <w:r>
        <w:t xml:space="preserve">Professor Hsu recommended identifying the original repositories used by published studies, downloading the publicly available data, and searching for additional dental pulp and DPSC datasets. That guidance was translated into the nine-stage strategy shown in Table 2 and Figure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460"/>
        <w:gridCol w:w="1800"/>
      </w:tblGrid>
      <w:tr>
        <w:trPr>
          <w:tblHeader/>
        </w:trPr>
        <w:tc>
          <w:tcPr>
            <w:tcW w:type="dxa" w:w="9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Stage</w:t>
            </w:r>
          </w:p>
        </w:tc>
        <w:tc>
          <w:tcPr>
            <w:tcW w:type="dxa" w:w="32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Activity</w:t>
            </w:r>
          </w:p>
        </w:tc>
        <w:tc>
          <w:tcPr>
            <w:tcW w:type="dxa" w:w="346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Main output</w:t>
            </w:r>
          </w:p>
        </w:tc>
        <w:tc>
          <w:tcPr>
            <w:tcW w:type="dxa" w:w="18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Status</w:t>
            </w:r>
          </w:p>
        </w:tc>
      </w:tr>
      <w:tr>
        <w:trPr>
          <w:tblHeader w:val="false"/>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1</w:t>
            </w:r>
          </w:p>
        </w:tc>
        <w:tc>
          <w:tcPr>
            <w:tcW w:type="dxa" w:w="32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Systematic dataset discovery</w:t>
            </w:r>
          </w:p>
        </w:tc>
        <w:tc>
          <w:tcPr>
            <w:tcW w:type="dxa" w:w="34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Candidate dataset inventory</w:t>
            </w:r>
          </w:p>
        </w:tc>
        <w:tc>
          <w:tcPr>
            <w:tcW w:type="dxa" w:w="18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Complete</w:t>
            </w:r>
          </w:p>
        </w:tc>
      </w:tr>
      <w:tr>
        <w:trPr>
          <w:tblHeader w:val="false"/>
        </w:trPr>
        <w:tc>
          <w:tcPr>
            <w:tcW w:type="dxa" w:w="9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2</w:t>
            </w:r>
          </w:p>
        </w:tc>
        <w:tc>
          <w:tcPr>
            <w:tcW w:type="dxa" w:w="32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Repository identification</w:t>
            </w:r>
          </w:p>
        </w:tc>
        <w:tc>
          <w:tcPr>
            <w:tcW w:type="dxa" w:w="34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GEO / SRA accessions</w:t>
            </w:r>
          </w:p>
        </w:tc>
        <w:tc>
          <w:tcPr>
            <w:tcW w:type="dxa" w:w="18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Complete</w:t>
            </w:r>
          </w:p>
        </w:tc>
      </w:tr>
      <w:tr>
        <w:trPr>
          <w:tblHeader w:val="false"/>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3</w:t>
            </w:r>
          </w:p>
        </w:tc>
        <w:tc>
          <w:tcPr>
            <w:tcW w:type="dxa" w:w="32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Data acquisition</w:t>
            </w:r>
          </w:p>
        </w:tc>
        <w:tc>
          <w:tcPr>
            <w:tcW w:type="dxa" w:w="34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Raw count matrices</w:t>
            </w:r>
          </w:p>
        </w:tc>
        <w:tc>
          <w:tcPr>
            <w:tcW w:type="dxa" w:w="18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Complete (1 of 4)</w:t>
            </w:r>
          </w:p>
        </w:tc>
      </w:tr>
      <w:tr>
        <w:trPr>
          <w:tblHeader w:val="false"/>
        </w:trPr>
        <w:tc>
          <w:tcPr>
            <w:tcW w:type="dxa" w:w="9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4</w:t>
            </w:r>
          </w:p>
        </w:tc>
        <w:tc>
          <w:tcPr>
            <w:tcW w:type="dxa" w:w="32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Single-cell preprocessing</w:t>
            </w:r>
          </w:p>
        </w:tc>
        <w:tc>
          <w:tcPr>
            <w:tcW w:type="dxa" w:w="34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QC-filtered Seurat object</w:t>
            </w:r>
          </w:p>
        </w:tc>
        <w:tc>
          <w:tcPr>
            <w:tcW w:type="dxa" w:w="18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Complete</w:t>
            </w:r>
          </w:p>
        </w:tc>
      </w:tr>
      <w:tr>
        <w:trPr>
          <w:tblHeader w:val="false"/>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5</w:t>
            </w:r>
          </w:p>
        </w:tc>
        <w:tc>
          <w:tcPr>
            <w:tcW w:type="dxa" w:w="32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Cell clustering</w:t>
            </w:r>
          </w:p>
        </w:tc>
        <w:tc>
          <w:tcPr>
            <w:tcW w:type="dxa" w:w="34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PCA, UMAP, 28 clusters</w:t>
            </w:r>
          </w:p>
        </w:tc>
        <w:tc>
          <w:tcPr>
            <w:tcW w:type="dxa" w:w="18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Complete</w:t>
            </w:r>
          </w:p>
        </w:tc>
      </w:tr>
      <w:tr>
        <w:trPr>
          <w:tblHeader w:val="false"/>
        </w:trPr>
        <w:tc>
          <w:tcPr>
            <w:tcW w:type="dxa" w:w="9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6</w:t>
            </w:r>
          </w:p>
        </w:tc>
        <w:tc>
          <w:tcPr>
            <w:tcW w:type="dxa" w:w="32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DPSC annotation</w:t>
            </w:r>
          </w:p>
        </w:tc>
        <w:tc>
          <w:tcPr>
            <w:tcW w:type="dxa" w:w="34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Labeled cell populations</w:t>
            </w:r>
          </w:p>
        </w:tc>
        <w:tc>
          <w:tcPr>
            <w:tcW w:type="dxa" w:w="18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Next</w:t>
            </w:r>
          </w:p>
        </w:tc>
      </w:tr>
      <w:tr>
        <w:trPr>
          <w:tblHeader w:val="false"/>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7</w:t>
            </w:r>
          </w:p>
        </w:tc>
        <w:tc>
          <w:tcPr>
            <w:tcW w:type="dxa" w:w="32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WLS expression analysis</w:t>
            </w:r>
          </w:p>
        </w:tc>
        <w:tc>
          <w:tcPr>
            <w:tcW w:type="dxa" w:w="34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Expression maps and statistics</w:t>
            </w:r>
          </w:p>
        </w:tc>
        <w:tc>
          <w:tcPr>
            <w:tcW w:type="dxa" w:w="18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Pending</w:t>
            </w:r>
          </w:p>
        </w:tc>
      </w:tr>
      <w:tr>
        <w:trPr>
          <w:tblHeader w:val="false"/>
        </w:trPr>
        <w:tc>
          <w:tcPr>
            <w:tcW w:type="dxa" w:w="9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8</w:t>
            </w:r>
          </w:p>
        </w:tc>
        <w:tc>
          <w:tcPr>
            <w:tcW w:type="dxa" w:w="32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Cross-dataset validation</w:t>
            </w:r>
          </w:p>
        </w:tc>
        <w:tc>
          <w:tcPr>
            <w:tcW w:type="dxa" w:w="34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Replication in independent data</w:t>
            </w:r>
          </w:p>
        </w:tc>
        <w:tc>
          <w:tcPr>
            <w:tcW w:type="dxa" w:w="18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Pending</w:t>
            </w:r>
          </w:p>
        </w:tc>
      </w:tr>
      <w:tr>
        <w:trPr>
          <w:tblHeader w:val="false"/>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9</w:t>
            </w:r>
          </w:p>
        </w:tc>
        <w:tc>
          <w:tcPr>
            <w:tcW w:type="dxa" w:w="32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Functional / pathway interpretation</w:t>
            </w:r>
          </w:p>
        </w:tc>
        <w:tc>
          <w:tcPr>
            <w:tcW w:type="dxa" w:w="34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DEG, GSEA, GO/KEGG/Reactome</w:t>
            </w:r>
          </w:p>
        </w:tc>
        <w:tc>
          <w:tcPr>
            <w:tcW w:type="dxa" w:w="18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Pending</w:t>
            </w:r>
          </w:p>
        </w:tc>
      </w:tr>
    </w:tbl>
    <w:p>
      <w:pPr>
        <w:spacing w:after="220" w:before="60"/>
        <w:jc w:val="left"/>
      </w:pPr>
      <w:r>
        <w:rPr>
          <w:i/>
          <w:iCs/>
          <w:color w:val="555555"/>
          <w:sz w:val="18"/>
          <w:szCs w:val="18"/>
        </w:rPr>
        <w:t xml:space="preserve">Table 2. Project stages and current status.</w:t>
      </w:r>
    </w:p>
    <w:p>
      <w:pPr>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71800"/>
                    </a:xfrm>
                    <a:prstGeom prst="rect">
                      <a:avLst/>
                    </a:prstGeom>
                  </pic:spPr>
                </pic:pic>
              </a:graphicData>
            </a:graphic>
          </wp:inline>
        </w:drawing>
      </w:r>
    </w:p>
    <w:p>
      <w:pPr>
        <w:spacing w:after="220" w:before="60"/>
        <w:jc w:val="left"/>
      </w:pPr>
      <w:r>
        <w:rPr>
          <w:i/>
          <w:iCs/>
          <w:color w:val="555555"/>
          <w:sz w:val="18"/>
          <w:szCs w:val="18"/>
        </w:rPr>
        <w:t xml:space="preserve">Figure 1. Analysis workflow. Filled boxes indicate completed steps; open boxes indicate remaining steps.</w:t>
      </w:r>
    </w:p>
    <w:p>
      <w:pPr>
        <w:pStyle w:val="Heading1"/>
      </w:pPr>
      <w:r>
        <w:t xml:space="preserve">6. Methods</w:t>
      </w:r>
    </w:p>
    <w:p>
      <w:pPr>
        <w:pStyle w:val="Heading2"/>
      </w:pPr>
      <w:r>
        <w:t xml:space="preserve">6.1 Computational infrastructure</w:t>
      </w:r>
    </w:p>
    <w:p>
      <w:pPr>
        <w:spacing w:after="140" w:line="288"/>
        <w:jc w:val="both"/>
      </w:pPr>
      <w:r>
        <w:t xml:space="preserve">All work is held in a Git repository, dpsc-wls-human-scRNAseq. The R package environment is managed with renv, and an renv.lock file records exact package versions so that the analysis can be reproduced on another machine. The repository follows a conventional layout: data/ for raw and processed data, scripts/ for analysis code, results/ for figures and tables, logs/ for run logs, docs/ for documentation, references/ for literature, and environment/ for environment files.</w:t>
      </w:r>
    </w:p>
    <w:p>
      <w:pPr>
        <w:pStyle w:val="Heading2"/>
      </w:pPr>
      <w:r>
        <w:t xml:space="preserve">6.2 Analysis pipeline</w:t>
      </w:r>
    </w:p>
    <w:p>
      <w:pPr>
        <w:spacing w:after="140" w:line="288"/>
        <w:jc w:val="both"/>
      </w:pPr>
      <w:r>
        <w:t xml:space="preserve">The pipeline is divided into ten numbered scripts, each responsible for one stage, so that every step can be rerun independently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660"/>
        <w:gridCol w:w="1800"/>
      </w:tblGrid>
      <w:tr>
        <w:trPr>
          <w:tblHeader/>
        </w:trPr>
        <w:tc>
          <w:tcPr>
            <w:tcW w:type="dxa" w:w="29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Script</w:t>
            </w:r>
          </w:p>
        </w:tc>
        <w:tc>
          <w:tcPr>
            <w:tcW w:type="dxa" w:w="466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Purpose</w:t>
            </w:r>
          </w:p>
        </w:tc>
        <w:tc>
          <w:tcPr>
            <w:tcW w:type="dxa" w:w="18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Status</w:t>
            </w:r>
          </w:p>
        </w:tc>
      </w:tr>
      <w:tr>
        <w:trPr>
          <w:tblHeader w:val="false"/>
        </w:trPr>
        <w:tc>
          <w:tcPr>
            <w:tcW w:type="dxa" w:w="29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00_install_packages.R</w:t>
            </w:r>
          </w:p>
        </w:tc>
        <w:tc>
          <w:tcPr>
            <w:tcW w:type="dxa" w:w="46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Install and record R/Bioconductor dependencies</w:t>
            </w:r>
          </w:p>
        </w:tc>
        <w:tc>
          <w:tcPr>
            <w:tcW w:type="dxa" w:w="18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Done</w:t>
            </w:r>
          </w:p>
        </w:tc>
      </w:tr>
      <w:tr>
        <w:trPr>
          <w:tblHeader w:val="false"/>
        </w:trPr>
        <w:tc>
          <w:tcPr>
            <w:tcW w:type="dxa" w:w="29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01_dataset_discovery.R</w:t>
            </w:r>
          </w:p>
        </w:tc>
        <w:tc>
          <w:tcPr>
            <w:tcW w:type="dxa" w:w="46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Search and catalogue candidate datasets</w:t>
            </w:r>
          </w:p>
        </w:tc>
        <w:tc>
          <w:tcPr>
            <w:tcW w:type="dxa" w:w="18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Done</w:t>
            </w:r>
          </w:p>
        </w:tc>
      </w:tr>
      <w:tr>
        <w:trPr>
          <w:tblHeader w:val="false"/>
        </w:trPr>
        <w:tc>
          <w:tcPr>
            <w:tcW w:type="dxa" w:w="29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02_download_GEO.R</w:t>
            </w:r>
          </w:p>
        </w:tc>
        <w:tc>
          <w:tcPr>
            <w:tcW w:type="dxa" w:w="46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Retrieve GEO supplementary files</w:t>
            </w:r>
          </w:p>
        </w:tc>
        <w:tc>
          <w:tcPr>
            <w:tcW w:type="dxa" w:w="18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Done</w:t>
            </w:r>
          </w:p>
        </w:tc>
      </w:tr>
      <w:tr>
        <w:trPr>
          <w:tblHeader w:val="false"/>
        </w:trPr>
        <w:tc>
          <w:tcPr>
            <w:tcW w:type="dxa" w:w="29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03_download_SRA.sh</w:t>
            </w:r>
          </w:p>
        </w:tc>
        <w:tc>
          <w:tcPr>
            <w:tcW w:type="dxa" w:w="46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Retrieve raw reads from SRA where needed</w:t>
            </w:r>
          </w:p>
        </w:tc>
        <w:tc>
          <w:tcPr>
            <w:tcW w:type="dxa" w:w="18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Written</w:t>
            </w:r>
          </w:p>
        </w:tc>
      </w:tr>
      <w:tr>
        <w:trPr>
          <w:tblHeader w:val="false"/>
        </w:trPr>
        <w:tc>
          <w:tcPr>
            <w:tcW w:type="dxa" w:w="29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04_QC.R</w:t>
            </w:r>
          </w:p>
        </w:tc>
        <w:tc>
          <w:tcPr>
            <w:tcW w:type="dxa" w:w="46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Load, merge and quality-filter cells</w:t>
            </w:r>
          </w:p>
        </w:tc>
        <w:tc>
          <w:tcPr>
            <w:tcW w:type="dxa" w:w="18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Done</w:t>
            </w:r>
          </w:p>
        </w:tc>
      </w:tr>
      <w:tr>
        <w:trPr>
          <w:tblHeader w:val="false"/>
        </w:trPr>
        <w:tc>
          <w:tcPr>
            <w:tcW w:type="dxa" w:w="29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05_clustering.R</w:t>
            </w:r>
          </w:p>
        </w:tc>
        <w:tc>
          <w:tcPr>
            <w:tcW w:type="dxa" w:w="46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Normalization, PCA, UMAP, clustering</w:t>
            </w:r>
          </w:p>
        </w:tc>
        <w:tc>
          <w:tcPr>
            <w:tcW w:type="dxa" w:w="18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Done</w:t>
            </w:r>
          </w:p>
        </w:tc>
      </w:tr>
      <w:tr>
        <w:trPr>
          <w:tblHeader w:val="false"/>
        </w:trPr>
        <w:tc>
          <w:tcPr>
            <w:tcW w:type="dxa" w:w="29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06_annotation.R</w:t>
            </w:r>
          </w:p>
        </w:tc>
        <w:tc>
          <w:tcPr>
            <w:tcW w:type="dxa" w:w="46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Marker-based cell type annotation</w:t>
            </w:r>
          </w:p>
        </w:tc>
        <w:tc>
          <w:tcPr>
            <w:tcW w:type="dxa" w:w="18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Pending</w:t>
            </w:r>
          </w:p>
        </w:tc>
      </w:tr>
      <w:tr>
        <w:trPr>
          <w:tblHeader w:val="false"/>
        </w:trPr>
        <w:tc>
          <w:tcPr>
            <w:tcW w:type="dxa" w:w="29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07_WLS_expression.R</w:t>
            </w:r>
          </w:p>
        </w:tc>
        <w:tc>
          <w:tcPr>
            <w:tcW w:type="dxa" w:w="46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WLS visualization and enrichment testing</w:t>
            </w:r>
          </w:p>
        </w:tc>
        <w:tc>
          <w:tcPr>
            <w:tcW w:type="dxa" w:w="18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Pending</w:t>
            </w:r>
          </w:p>
        </w:tc>
      </w:tr>
      <w:tr>
        <w:trPr>
          <w:tblHeader w:val="false"/>
        </w:trPr>
        <w:tc>
          <w:tcPr>
            <w:tcW w:type="dxa" w:w="29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08_DEG.R</w:t>
            </w:r>
          </w:p>
        </w:tc>
        <w:tc>
          <w:tcPr>
            <w:tcW w:type="dxa" w:w="46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Differential expression (WLS+ vs WLS−)</w:t>
            </w:r>
          </w:p>
        </w:tc>
        <w:tc>
          <w:tcPr>
            <w:tcW w:type="dxa" w:w="18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Pending</w:t>
            </w:r>
          </w:p>
        </w:tc>
      </w:tr>
      <w:tr>
        <w:trPr>
          <w:tblHeader w:val="false"/>
        </w:trPr>
        <w:tc>
          <w:tcPr>
            <w:tcW w:type="dxa" w:w="29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09_GSEA.R</w:t>
            </w:r>
          </w:p>
        </w:tc>
        <w:tc>
          <w:tcPr>
            <w:tcW w:type="dxa" w:w="46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Gene set enrichment and pathway analysis</w:t>
            </w:r>
          </w:p>
        </w:tc>
        <w:tc>
          <w:tcPr>
            <w:tcW w:type="dxa" w:w="18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Pending</w:t>
            </w:r>
          </w:p>
        </w:tc>
      </w:tr>
    </w:tbl>
    <w:p>
      <w:pPr>
        <w:spacing w:after="220" w:before="60"/>
        <w:jc w:val="left"/>
      </w:pPr>
      <w:r>
        <w:rPr>
          <w:i/>
          <w:iCs/>
          <w:color w:val="555555"/>
          <w:sz w:val="18"/>
          <w:szCs w:val="18"/>
        </w:rPr>
        <w:t xml:space="preserve">Table 3. Analysis scripts.</w:t>
      </w:r>
    </w:p>
    <w:p>
      <w:pPr>
        <w:pStyle w:val="Heading2"/>
      </w:pPr>
      <w:r>
        <w:t xml:space="preserve">6.3 Dataset discovery</w:t>
      </w:r>
    </w:p>
    <w:p>
      <w:pPr>
        <w:spacing w:after="140" w:line="288"/>
        <w:jc w:val="both"/>
      </w:pPr>
      <w:r>
        <w:t xml:space="preserve">Four candidate datasets have been identified for discovery, validation, and cross-dataset confirmation (Table 4). The species, tissue source, sequencing platform, and sample composition of each dataset other than GSE164157 should be confirmed from the GEO/SRA records and the associated publications before they are assigned a final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Accession</w:t>
            </w:r>
          </w:p>
        </w:tc>
        <w:tc>
          <w:tcPr>
            <w:tcW w:type="dxa" w:w="348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Intended role</w:t>
            </w:r>
          </w:p>
        </w:tc>
        <w:tc>
          <w:tcPr>
            <w:tcW w:type="dxa" w:w="348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Status</w:t>
            </w:r>
          </w:p>
        </w:tc>
      </w:tr>
      <w:tr>
        <w:trPr>
          <w:tblHeader w:val="false"/>
        </w:trPr>
        <w:tc>
          <w:tcPr>
            <w:tcW w:type="dxa" w:w="24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GSE164157</w:t>
            </w:r>
          </w:p>
        </w:tc>
        <w:tc>
          <w:tcPr>
            <w:tcW w:type="dxa" w:w="348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Discovery dataset</w:t>
            </w:r>
          </w:p>
        </w:tc>
        <w:tc>
          <w:tcPr>
            <w:tcW w:type="dxa" w:w="348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Downloaded and processed</w:t>
            </w:r>
          </w:p>
        </w:tc>
      </w:tr>
      <w:tr>
        <w:trPr>
          <w:tblHeader w:val="false"/>
        </w:trPr>
        <w:tc>
          <w:tcPr>
            <w:tcW w:type="dxa" w:w="24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GSE202476</w:t>
            </w:r>
          </w:p>
        </w:tc>
        <w:tc>
          <w:tcPr>
            <w:tcW w:type="dxa" w:w="348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Validation candidate</w:t>
            </w:r>
          </w:p>
        </w:tc>
        <w:tc>
          <w:tcPr>
            <w:tcW w:type="dxa" w:w="348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Metadata review pending</w:t>
            </w:r>
          </w:p>
        </w:tc>
      </w:tr>
      <w:tr>
        <w:trPr>
          <w:tblHeader w:val="false"/>
        </w:trPr>
        <w:tc>
          <w:tcPr>
            <w:tcW w:type="dxa" w:w="24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GSE185222</w:t>
            </w:r>
          </w:p>
        </w:tc>
        <w:tc>
          <w:tcPr>
            <w:tcW w:type="dxa" w:w="348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Validation candidate</w:t>
            </w:r>
          </w:p>
        </w:tc>
        <w:tc>
          <w:tcPr>
            <w:tcW w:type="dxa" w:w="348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Metadata review pending</w:t>
            </w:r>
          </w:p>
        </w:tc>
      </w:tr>
      <w:tr>
        <w:trPr>
          <w:tblHeader w:val="false"/>
        </w:trPr>
        <w:tc>
          <w:tcPr>
            <w:tcW w:type="dxa" w:w="24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PRJNA946721</w:t>
            </w:r>
          </w:p>
        </w:tc>
        <w:tc>
          <w:tcPr>
            <w:tcW w:type="dxa" w:w="348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Cross-dataset confirmation (SRA BioProject)</w:t>
            </w:r>
          </w:p>
        </w:tc>
        <w:tc>
          <w:tcPr>
            <w:tcW w:type="dxa" w:w="348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Metadata review pending</w:t>
            </w:r>
          </w:p>
        </w:tc>
      </w:tr>
    </w:tbl>
    <w:p>
      <w:pPr>
        <w:spacing w:after="220" w:before="60"/>
        <w:jc w:val="left"/>
      </w:pPr>
      <w:r>
        <w:rPr>
          <w:i/>
          <w:iCs/>
          <w:color w:val="555555"/>
          <w:sz w:val="18"/>
          <w:szCs w:val="18"/>
        </w:rPr>
        <w:t xml:space="preserve">Table 4. Candidate dataset inventory.</w:t>
      </w:r>
    </w:p>
    <w:p>
      <w:pPr>
        <w:pStyle w:val="Heading2"/>
      </w:pPr>
      <w:r>
        <w:t xml:space="preserve">6.4 Data acquisition</w:t>
      </w:r>
    </w:p>
    <w:p>
      <w:pPr>
        <w:spacing w:after="140" w:line="288"/>
        <w:jc w:val="both"/>
      </w:pPr>
      <w:r>
        <w:t xml:space="preserve">GSE164157 was retrieved with </w:t>
      </w:r>
      <w:r>
        <w:rPr>
          <w:i/>
          <w:iCs/>
        </w:rPr>
        <w:t xml:space="preserve">getGEOSuppFiles()</w:t>
      </w:r>
      <w:r>
        <w:t xml:space="preserve"> from the GEOquery package (version 2.80.0). The dataset contains five samples, each provided in the standard 10x Genomics Cell Ranger output format (barcodes.tsv.gz, genes.tsv.gz, matrix.mtx.gz), which can be read directly by Seurat.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GEO sample</w:t>
            </w:r>
          </w:p>
        </w:tc>
        <w:tc>
          <w:tcPr>
            <w:tcW w:type="dxa" w:w="576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Sample label</w:t>
            </w:r>
          </w:p>
        </w:tc>
      </w:tr>
      <w:tr>
        <w:trPr>
          <w:tblHeader w:val="false"/>
        </w:trPr>
        <w:tc>
          <w:tcPr>
            <w:tcW w:type="dxa" w:w="36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GSM4998457</w:t>
            </w:r>
          </w:p>
        </w:tc>
        <w:tc>
          <w:tcPr>
            <w:tcW w:type="dxa" w:w="57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Pulp1</w:t>
            </w:r>
          </w:p>
        </w:tc>
      </w:tr>
      <w:tr>
        <w:trPr>
          <w:tblHeader w:val="false"/>
        </w:trPr>
        <w:tc>
          <w:tcPr>
            <w:tcW w:type="dxa" w:w="36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GSM4998458</w:t>
            </w:r>
          </w:p>
        </w:tc>
        <w:tc>
          <w:tcPr>
            <w:tcW w:type="dxa" w:w="57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Pulp2</w:t>
            </w:r>
          </w:p>
        </w:tc>
      </w:tr>
      <w:tr>
        <w:trPr>
          <w:tblHeader w:val="false"/>
        </w:trPr>
        <w:tc>
          <w:tcPr>
            <w:tcW w:type="dxa" w:w="36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GSM4998459</w:t>
            </w:r>
          </w:p>
        </w:tc>
        <w:tc>
          <w:tcPr>
            <w:tcW w:type="dxa" w:w="57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Pulp3</w:t>
            </w:r>
          </w:p>
        </w:tc>
      </w:tr>
      <w:tr>
        <w:trPr>
          <w:tblHeader w:val="false"/>
        </w:trPr>
        <w:tc>
          <w:tcPr>
            <w:tcW w:type="dxa" w:w="36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GSM4998460</w:t>
            </w:r>
          </w:p>
        </w:tc>
        <w:tc>
          <w:tcPr>
            <w:tcW w:type="dxa" w:w="57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Pulp4</w:t>
            </w:r>
          </w:p>
        </w:tc>
      </w:tr>
      <w:tr>
        <w:trPr>
          <w:tblHeader w:val="false"/>
        </w:trPr>
        <w:tc>
          <w:tcPr>
            <w:tcW w:type="dxa" w:w="36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GSM4998461</w:t>
            </w:r>
          </w:p>
        </w:tc>
        <w:tc>
          <w:tcPr>
            <w:tcW w:type="dxa" w:w="57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Pulp5</w:t>
            </w:r>
          </w:p>
        </w:tc>
      </w:tr>
    </w:tbl>
    <w:p>
      <w:pPr>
        <w:spacing w:after="220" w:before="60"/>
        <w:jc w:val="left"/>
      </w:pPr>
      <w:r>
        <w:rPr>
          <w:i/>
          <w:iCs/>
          <w:color w:val="555555"/>
          <w:sz w:val="18"/>
          <w:szCs w:val="18"/>
        </w:rPr>
        <w:t xml:space="preserve">Table 5. Samples in GSE164157.</w:t>
      </w:r>
    </w:p>
    <w:p>
      <w:pPr>
        <w:pStyle w:val="Heading2"/>
      </w:pPr>
      <w:r>
        <w:t xml:space="preserve">6.5 Preprocessing and quality control</w:t>
      </w:r>
    </w:p>
    <w:p>
      <w:pPr>
        <w:spacing w:after="140" w:line="288"/>
        <w:jc w:val="both"/>
      </w:pPr>
      <w:r>
        <w:t xml:space="preserve">Each sample was loaded as a Seurat object and the five objects were merged into a single object. Cells were retained if they had more than 200 detected genes (nFeature_RNA &gt; 200), more than 500 total UMI counts (nCount_RNA &gt; 500), and less than 20% of counts from mitochondrial genes. These thresholds are commonly used starting points for 10x data from solid tissue.</w:t>
      </w:r>
    </w:p>
    <w:p>
      <w:pPr>
        <w:pStyle w:val="Heading2"/>
      </w:pPr>
      <w:r>
        <w:t xml:space="preserve">6.6 Dimensionality reduction and clustering</w:t>
      </w:r>
    </w:p>
    <w:p>
      <w:pPr>
        <w:spacing w:after="140" w:line="288"/>
        <w:jc w:val="both"/>
      </w:pPr>
      <w:r>
        <w:t xml:space="preserve">After normalization and selection of variable features, principal component analysis (PCA) was performed and the number of informative components was assessed with an elbow plot. A UMAP embedding was computed for visualization. A shared nearest-neighbor (SNN) graph was constructed and partitioned with the Louvain community detection algorithm. The number of principal components and the clustering resolution used should be recorded in the script logs for reproducibility.</w:t>
      </w:r>
    </w:p>
    <w:p>
      <w:pPr>
        <w:pStyle w:val="Heading1"/>
      </w:pPr>
      <w:r>
        <w:t xml:space="preserve">7. Results to Date</w:t>
      </w:r>
    </w:p>
    <w:p>
      <w:pPr>
        <w:pStyle w:val="Heading2"/>
      </w:pPr>
      <w:r>
        <w:t xml:space="preserve">7.1 Quality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Metric</w:t>
            </w:r>
          </w:p>
        </w:tc>
        <w:tc>
          <w:tcPr>
            <w:tcW w:type="dxa" w:w="192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Before QC</w:t>
            </w:r>
          </w:p>
        </w:tc>
        <w:tc>
          <w:tcPr>
            <w:tcW w:type="dxa" w:w="192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After QC</w:t>
            </w:r>
          </w:p>
        </w:tc>
        <w:tc>
          <w:tcPr>
            <w:tcW w:type="dxa" w:w="192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Change</w:t>
            </w:r>
          </w:p>
        </w:tc>
      </w:tr>
      <w:tr>
        <w:trPr>
          <w:tblHeader w:val="false"/>
        </w:trPr>
        <w:tc>
          <w:tcPr>
            <w:tcW w:type="dxa" w:w="36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bCs/>
                <w:color w:val="222222"/>
                <w:sz w:val="19"/>
                <w:szCs w:val="19"/>
              </w:rPr>
              <w:t xml:space="preserve">Cells</w:t>
            </w:r>
          </w:p>
        </w:tc>
        <w:tc>
          <w:tcPr>
            <w:tcW w:type="dxa" w:w="192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val="false"/>
                <w:bCs w:val="false"/>
                <w:color w:val="222222"/>
                <w:sz w:val="19"/>
                <w:szCs w:val="19"/>
              </w:rPr>
              <w:t xml:space="preserve">25,886</w:t>
            </w:r>
          </w:p>
        </w:tc>
        <w:tc>
          <w:tcPr>
            <w:tcW w:type="dxa" w:w="192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val="false"/>
                <w:bCs w:val="false"/>
                <w:color w:val="222222"/>
                <w:sz w:val="19"/>
                <w:szCs w:val="19"/>
              </w:rPr>
              <w:t xml:space="preserve">25,030</w:t>
            </w:r>
          </w:p>
        </w:tc>
        <w:tc>
          <w:tcPr>
            <w:tcW w:type="dxa" w:w="192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val="false"/>
                <w:bCs w:val="false"/>
                <w:color w:val="222222"/>
                <w:sz w:val="19"/>
                <w:szCs w:val="19"/>
              </w:rPr>
              <w:t xml:space="preserve">−856 (3.3%)</w:t>
            </w:r>
          </w:p>
        </w:tc>
      </w:tr>
      <w:tr>
        <w:trPr>
          <w:tblHeader w:val="false"/>
        </w:trPr>
        <w:tc>
          <w:tcPr>
            <w:tcW w:type="dxa" w:w="36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bCs/>
                <w:color w:val="222222"/>
                <w:sz w:val="19"/>
                <w:szCs w:val="19"/>
              </w:rPr>
              <w:t xml:space="preserve">Features</w:t>
            </w:r>
          </w:p>
        </w:tc>
        <w:tc>
          <w:tcPr>
            <w:tcW w:type="dxa" w:w="192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val="false"/>
                <w:bCs w:val="false"/>
                <w:color w:val="222222"/>
                <w:sz w:val="19"/>
                <w:szCs w:val="19"/>
              </w:rPr>
              <w:t xml:space="preserve">45,076</w:t>
            </w:r>
          </w:p>
        </w:tc>
        <w:tc>
          <w:tcPr>
            <w:tcW w:type="dxa" w:w="192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val="false"/>
                <w:bCs w:val="false"/>
                <w:color w:val="222222"/>
                <w:sz w:val="19"/>
                <w:szCs w:val="19"/>
              </w:rPr>
              <w:t xml:space="preserve">45,076</w:t>
            </w:r>
          </w:p>
        </w:tc>
        <w:tc>
          <w:tcPr>
            <w:tcW w:type="dxa" w:w="192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val="false"/>
                <w:bCs w:val="false"/>
                <w:color w:val="222222"/>
                <w:sz w:val="19"/>
                <w:szCs w:val="19"/>
              </w:rPr>
              <w:t xml:space="preserve">No change</w:t>
            </w:r>
          </w:p>
        </w:tc>
      </w:tr>
    </w:tbl>
    <w:p>
      <w:pPr>
        <w:spacing w:after="220" w:before="60"/>
        <w:jc w:val="left"/>
      </w:pPr>
      <w:r>
        <w:rPr>
          <w:i/>
          <w:iCs/>
          <w:color w:val="555555"/>
          <w:sz w:val="18"/>
          <w:szCs w:val="18"/>
        </w:rPr>
        <w:t xml:space="preserve">Table 6. Quality control summary.</w:t>
      </w:r>
    </w:p>
    <w:p>
      <w:pPr>
        <w:spacing w:after="140" w:line="288"/>
        <w:jc w:val="both"/>
      </w:pPr>
      <w:r>
        <w:t xml:space="preserve">Only 856 cells (3.3%) were removed by the QC thresholds, indicating that the deposited count matrices are of generally high quality and require minimal filtering. The feature count is unchanged because these filters act on cells rather than genes. The low removal rate is partly expected: deposited matrices are often already filtered by Cell Ranger and sometimes by the original authors, so this figure reflects the quality of pre-processed data rather than raw sequencing output.</w:t>
      </w:r>
    </w:p>
    <w:p>
      <w:pPr>
        <w:pStyle w:val="Heading2"/>
      </w:pPr>
      <w:r>
        <w:t xml:space="preserve">7.2 Dimensionality reduction and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Parameter</w:t>
            </w:r>
          </w:p>
        </w:tc>
        <w:tc>
          <w:tcPr>
            <w:tcW w:type="dxa" w:w="576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Result</w:t>
            </w:r>
          </w:p>
        </w:tc>
      </w:tr>
      <w:tr>
        <w:trPr>
          <w:tblHeader w:val="false"/>
        </w:trPr>
        <w:tc>
          <w:tcPr>
            <w:tcW w:type="dxa" w:w="36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bCs/>
                <w:color w:val="222222"/>
                <w:sz w:val="19"/>
                <w:szCs w:val="19"/>
              </w:rPr>
              <w:t xml:space="preserve">Cells analyzed</w:t>
            </w:r>
          </w:p>
        </w:tc>
        <w:tc>
          <w:tcPr>
            <w:tcW w:type="dxa" w:w="57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val="false"/>
                <w:bCs w:val="false"/>
                <w:color w:val="222222"/>
                <w:sz w:val="19"/>
                <w:szCs w:val="19"/>
              </w:rPr>
              <w:t xml:space="preserve">25,030</w:t>
            </w:r>
          </w:p>
        </w:tc>
      </w:tr>
      <w:tr>
        <w:trPr>
          <w:tblHeader w:val="false"/>
        </w:trPr>
        <w:tc>
          <w:tcPr>
            <w:tcW w:type="dxa" w:w="36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bCs/>
                <w:color w:val="222222"/>
                <w:sz w:val="19"/>
                <w:szCs w:val="19"/>
              </w:rPr>
              <w:t xml:space="preserve">SNN graph edges</w:t>
            </w:r>
          </w:p>
        </w:tc>
        <w:tc>
          <w:tcPr>
            <w:tcW w:type="dxa" w:w="57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val="false"/>
                <w:bCs w:val="false"/>
                <w:color w:val="222222"/>
                <w:sz w:val="19"/>
                <w:szCs w:val="19"/>
              </w:rPr>
              <w:t xml:space="preserve">977,919 (about 39 per cell)</w:t>
            </w:r>
          </w:p>
        </w:tc>
      </w:tr>
      <w:tr>
        <w:trPr>
          <w:tblHeader w:val="false"/>
        </w:trPr>
        <w:tc>
          <w:tcPr>
            <w:tcW w:type="dxa" w:w="36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bCs/>
                <w:color w:val="222222"/>
                <w:sz w:val="19"/>
                <w:szCs w:val="19"/>
              </w:rPr>
              <w:t xml:space="preserve">Communities identified</w:t>
            </w:r>
          </w:p>
        </w:tc>
        <w:tc>
          <w:tcPr>
            <w:tcW w:type="dxa" w:w="57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b w:val="false"/>
                <w:bCs w:val="false"/>
                <w:color w:val="222222"/>
                <w:sz w:val="19"/>
                <w:szCs w:val="19"/>
              </w:rPr>
              <w:t xml:space="preserve">28</w:t>
            </w:r>
          </w:p>
        </w:tc>
      </w:tr>
      <w:tr>
        <w:trPr>
          <w:tblHeader w:val="false"/>
        </w:trPr>
        <w:tc>
          <w:tcPr>
            <w:tcW w:type="dxa" w:w="36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bCs/>
                <w:color w:val="222222"/>
                <w:sz w:val="19"/>
                <w:szCs w:val="19"/>
              </w:rPr>
              <w:t xml:space="preserve">Maximum modularity</w:t>
            </w:r>
          </w:p>
        </w:tc>
        <w:tc>
          <w:tcPr>
            <w:tcW w:type="dxa" w:w="57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b w:val="false"/>
                <w:bCs w:val="false"/>
                <w:color w:val="222222"/>
                <w:sz w:val="19"/>
                <w:szCs w:val="19"/>
              </w:rPr>
              <w:t xml:space="preserve">0.9558</w:t>
            </w:r>
          </w:p>
        </w:tc>
      </w:tr>
    </w:tbl>
    <w:p>
      <w:pPr>
        <w:spacing w:after="220" w:before="60"/>
        <w:jc w:val="left"/>
      </w:pPr>
      <w:r>
        <w:rPr>
          <w:i/>
          <w:iCs/>
          <w:color w:val="555555"/>
          <w:sz w:val="18"/>
          <w:szCs w:val="18"/>
        </w:rPr>
        <w:t xml:space="preserve">Table 7. Clustering summary.</w:t>
      </w:r>
    </w:p>
    <w:p>
      <w:pPr>
        <w:spacing w:after="140" w:line="288"/>
        <w:jc w:val="both"/>
      </w:pPr>
      <w:r>
        <w:t xml:space="preserve">PCA and UMAP completed successfully and the embedding is available for exploring cell populations. Louvain clustering partitioned the cells into 28 communities with a maximum modularity of 0.956. High modularity shows that the nearest-neighbor graph separates into well-defined communities at the chosen resolution, which is consistent with the presence of distinct cell populations. Modularity alone does not establish that each cluster is a distinct biological cell type, however; that will be determined by marker-based annotation in Stage 6, and some of the 28 clusters may be merged or may turn out to reflect sample or technical effects (Section 9).</w:t>
      </w:r>
    </w:p>
    <w:p>
      <w:pPr>
        <w:pStyle w:val="Heading1"/>
      </w:pPr>
      <w:r>
        <w:t xml:space="preserve">8. Technical Issues and Resolutions</w:t>
      </w:r>
    </w:p>
    <w:p>
      <w:pPr>
        <w:spacing w:after="140" w:line="288"/>
        <w:jc w:val="both"/>
      </w:pPr>
      <w:r>
        <w:t xml:space="preserve">The issues encountered during setup are recorded in Table 8 so that the environment can be rebuilt without repeating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Issue</w:t>
            </w:r>
          </w:p>
        </w:tc>
        <w:tc>
          <w:tcPr>
            <w:tcW w:type="dxa" w:w="27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Cause</w:t>
            </w:r>
          </w:p>
        </w:tc>
        <w:tc>
          <w:tcPr>
            <w:tcW w:type="dxa" w:w="436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Resolution</w:t>
            </w:r>
          </w:p>
        </w:tc>
      </w:tr>
      <w:tr>
        <w:trPr>
          <w:tblHeader w:val="false"/>
        </w:trPr>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touch scripts/00_install_packages.R failed</w:t>
            </w:r>
          </w:p>
        </w:tc>
        <w:tc>
          <w:tcPr>
            <w:tcW w:type="dxa" w:w="27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Shell command entered in the R console</w:t>
            </w:r>
          </w:p>
        </w:tc>
        <w:tc>
          <w:tcPr>
            <w:tcW w:type="dxa" w:w="43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Run shell commands in the terminal, not in R</w:t>
            </w:r>
          </w:p>
        </w:tc>
      </w:tr>
      <w:tr>
        <w:trPr>
          <w:tblHeader w:val="false"/>
        </w:trPr>
        <w:tc>
          <w:tcPr>
            <w:tcW w:type="dxa" w:w="23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“libuv was not found”</w:t>
            </w:r>
          </w:p>
        </w:tc>
        <w:tc>
          <w:tcPr>
            <w:tcW w:type="dxa" w:w="27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Missing system dependency during package compilation; blocked Seurat installation</w:t>
            </w:r>
          </w:p>
        </w:tc>
        <w:tc>
          <w:tcPr>
            <w:tcW w:type="dxa" w:w="43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Installed the fs package and continued package setup</w:t>
            </w:r>
          </w:p>
        </w:tc>
      </w:tr>
      <w:tr>
        <w:trPr>
          <w:tblHeader w:val="false"/>
        </w:trPr>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“there is no package called GEOquery”</w:t>
            </w:r>
          </w:p>
        </w:tc>
        <w:tc>
          <w:tcPr>
            <w:tcW w:type="dxa" w:w="27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GEOquery not installed</w:t>
            </w:r>
          </w:p>
        </w:tc>
        <w:tc>
          <w:tcPr>
            <w:tcW w:type="dxa" w:w="43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Installed BiocManager, then GEOquery 2.80.0</w:t>
            </w:r>
          </w:p>
        </w:tc>
      </w:tr>
      <w:tr>
        <w:trPr>
          <w:tblHeader w:val="false"/>
        </w:trPr>
        <w:tc>
          <w:tcPr>
            <w:tcW w:type="dxa" w:w="23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“unexpected end of input”</w:t>
            </w:r>
          </w:p>
        </w:tc>
        <w:tc>
          <w:tcPr>
            <w:tcW w:type="dxa" w:w="27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Incomplete function call</w:t>
            </w:r>
          </w:p>
        </w:tc>
        <w:tc>
          <w:tcPr>
            <w:tcW w:type="dxa" w:w="43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Corrected syntax and reran</w:t>
            </w:r>
          </w:p>
        </w:tc>
      </w:tr>
      <w:tr>
        <w:trPr>
          <w:tblHeader w:val="false"/>
        </w:trPr>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“Feature names cannot have underscores” (warning)</w:t>
            </w:r>
          </w:p>
        </w:tc>
        <w:tc>
          <w:tcPr>
            <w:tcW w:type="dxa" w:w="27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Seurat replaces underscores with dashes in feature names</w:t>
            </w:r>
          </w:p>
        </w:tc>
        <w:tc>
          <w:tcPr>
            <w:tcW w:type="dxa" w:w="43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No action needed; note when matching gene names</w:t>
            </w:r>
          </w:p>
        </w:tc>
      </w:tr>
      <w:tr>
        <w:trPr>
          <w:tblHeader w:val="false"/>
        </w:trPr>
        <w:tc>
          <w:tcPr>
            <w:tcW w:type="dxa" w:w="23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Duplicate cell names (warning)</w:t>
            </w:r>
          </w:p>
        </w:tc>
        <w:tc>
          <w:tcPr>
            <w:tcW w:type="dxa" w:w="27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Identical barcodes across samples</w:t>
            </w:r>
          </w:p>
        </w:tc>
        <w:tc>
          <w:tcPr>
            <w:tcW w:type="dxa" w:w="43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Seurat made names unique automatically; see Section 9</w:t>
            </w:r>
          </w:p>
        </w:tc>
      </w:tr>
    </w:tbl>
    <w:p>
      <w:pPr>
        <w:spacing w:after="220" w:before="60"/>
        <w:jc w:val="left"/>
      </w:pPr>
      <w:r>
        <w:rPr>
          <w:i/>
          <w:iCs/>
          <w:color w:val="555555"/>
          <w:sz w:val="18"/>
          <w:szCs w:val="18"/>
        </w:rPr>
        <w:t xml:space="preserve">Table 8. Troubleshooting log.</w:t>
      </w:r>
    </w:p>
    <w:p>
      <w:pPr>
        <w:pStyle w:val="Heading1"/>
      </w:pPr>
      <w:r>
        <w:t xml:space="preserve">9. Methodological Considerations</w:t>
      </w:r>
    </w:p>
    <w:p>
      <w:pPr>
        <w:spacing w:after="140" w:line="288"/>
        <w:jc w:val="both"/>
      </w:pPr>
      <w:r>
        <w:t xml:space="preserve">The pipeline is in a good position to proceed, but several points should be addressed before the WLS results are interpreted. None of them invalidates the work completed so far; they are refinements that will strengthen the conclusions and anticipate likely reviewer questions.</w:t>
      </w:r>
    </w:p>
    <w:p>
      <w:pPr>
        <w:pStyle w:val="Heading2"/>
      </w:pPr>
      <w:r>
        <w:t xml:space="preserve">9.1 Batch effects across samples</w:t>
      </w:r>
    </w:p>
    <w:p>
      <w:pPr>
        <w:spacing w:after="140" w:line="288"/>
        <w:jc w:val="both"/>
      </w:pPr>
      <w:r>
        <w:t xml:space="preserve">The five samples were merged, which concatenates them into one object but does not correct for differences between donors or sequencing runs. Some of the 28 clusters may therefore be driven by sample identity rather than cell type. The UMAP should be colored by sample, and the per-sample composition of each cluster tabulated. If clusters are sample-specific, an integration method such as Harmony, Seurat CCA/RPCA integration, or SCTransform-based integration should be applied before annotation.</w:t>
      </w:r>
    </w:p>
    <w:p>
      <w:pPr>
        <w:pStyle w:val="Heading2"/>
      </w:pPr>
      <w:r>
        <w:t xml:space="preserve">9.2 Sample tracking</w:t>
      </w:r>
    </w:p>
    <w:p>
      <w:pPr>
        <w:spacing w:after="140" w:line="288"/>
        <w:jc w:val="both"/>
      </w:pPr>
      <w:r>
        <w:t xml:space="preserve">The duplicate barcode warning was resolved automatically, but explicit sample prefixes make provenance clearer. Supplying </w:t>
      </w:r>
      <w:r>
        <w:rPr>
          <w:i/>
          <w:iCs/>
        </w:rPr>
        <w:t xml:space="preserve">add.cell.ids = c("Pulp1", ..., "Pulp5")</w:t>
      </w:r>
      <w:r>
        <w:t xml:space="preserve"> in merge(), and storing a sample column in the metadata, guarantees that every cell can be traced to its donor. This is essential for the donor-level statistics described in Section 10.</w:t>
      </w:r>
    </w:p>
    <w:p>
      <w:pPr>
        <w:pStyle w:val="Heading2"/>
      </w:pPr>
      <w:r>
        <w:t xml:space="preserve">9.3 Feature count</w:t>
      </w:r>
    </w:p>
    <w:p>
      <w:pPr>
        <w:spacing w:after="140" w:line="288"/>
        <w:jc w:val="both"/>
      </w:pPr>
      <w:r>
        <w:t xml:space="preserve">The merged object contains 45,076 features, which is higher than the roughly 33,500 genes typical of a standard 10x human reference. This could reflect a different or extended reference annotation, or the union of non-identical feature lists across samples. It is worth checking genes.tsv for each sample to confirm that all five share the same reference and that WLS is present under a single, consistent identifier (gene symbol WLS; Ensembl ENSG00000116729). Older annotations may list it as GPR177.</w:t>
      </w:r>
    </w:p>
    <w:p>
      <w:pPr>
        <w:pStyle w:val="Heading2"/>
      </w:pPr>
      <w:r>
        <w:t xml:space="preserve">9.4 Doublets and ambient RNA</w:t>
      </w:r>
    </w:p>
    <w:p>
      <w:pPr>
        <w:spacing w:after="140" w:line="288"/>
        <w:jc w:val="both"/>
      </w:pPr>
      <w:r>
        <w:t xml:space="preserve">The current QC does not remove doublets or correct for ambient RNA. Doublets can create artificial intermediate clusters, and ambient RNA can make a gene appear weakly expressed in cell types that do not truly express it, which matters directly for claims about WLS specificity. Running scDblFinder or DoubletFinder per sample, and considering SoupX or a similar tool, is recommended before annotation. Mitochondrial percentage distributions should also be inspected per sample, since a single 20% cut-off may be too lenient or too strict for individual donors.</w:t>
      </w:r>
    </w:p>
    <w:p>
      <w:pPr>
        <w:pStyle w:val="Heading2"/>
      </w:pPr>
      <w:r>
        <w:t xml:space="preserve">9.5 Defining “DPSC” in tissue data</w:t>
      </w:r>
    </w:p>
    <w:p>
      <w:pPr>
        <w:spacing w:after="140" w:line="288"/>
        <w:jc w:val="both"/>
      </w:pPr>
      <w:r>
        <w:t xml:space="preserve">DPSCs were originally defined as cells isolated and expanded in culture. In freshly dissociated pulp tissue there is no single marker that identifies them. The standard mesenchymal stromal markers THY1 (CD90), NT5E (CD73), and ENG (CD105) are broadly expressed by pulp fibroblasts, and COL1A1 is a general fibroblast and odontoblast marker. Perivascular markers such as MCAM (CD146) and PDGFRB, together with CXCL12, are more informative for the putative niche of pulp progenitors.</w:t>
      </w:r>
    </w:p>
    <w:p>
      <w:pPr>
        <w:spacing w:after="140" w:line="288"/>
        <w:jc w:val="both"/>
      </w:pPr>
      <w:r>
        <w:t xml:space="preserve">It is therefore recommended that the report and any eventual publication refer to the identified populations as candidate pulp stem/progenitor or perivascular mesenchymal populations, defined by a combination of markers, rather than as DPSCs in a strict sense. Annotation should first assign all major lineages (fibroblasts, odontoblasts, perivascular/mural cells, endothelial cells, immune cells, Schwann/glial cells, and others) using canonical markers, and then sub-cluster the mesenchymal compartment to resolve progenitor-like states. Comparing the labels with those reported in the original publication for GSE164157 provides a useful consistency check.</w:t>
      </w:r>
    </w:p>
    <w:p>
      <w:pPr>
        <w:pStyle w:val="Heading2"/>
      </w:pPr>
      <w:r>
        <w:t xml:space="preserve">9.6 Clustering resolution</w:t>
      </w:r>
    </w:p>
    <w:p>
      <w:pPr>
        <w:spacing w:after="140" w:line="288"/>
        <w:jc w:val="both"/>
      </w:pPr>
      <w:r>
        <w:t xml:space="preserve">Twenty-eight clusters is a fine partition for roughly 25,000 cells. Testing a range of resolutions and visualizing cluster stability with a tool such as clustree will show which divisions are robust. Clusters that do not differ by meaningful marker genes can be merged during annotation.</w:t>
      </w:r>
    </w:p>
    <w:p>
      <w:pPr>
        <w:pStyle w:val="Heading1"/>
      </w:pPr>
      <w:r>
        <w:t xml:space="preserve">10. Planned Analysis of WLS Expression</w:t>
      </w:r>
    </w:p>
    <w:p>
      <w:pPr>
        <w:pStyle w:val="Heading2"/>
      </w:pPr>
      <w:r>
        <w:t xml:space="preserve">10.1 Visualization</w:t>
      </w:r>
    </w:p>
    <w:p>
      <w:pPr>
        <w:spacing w:after="140" w:line="288"/>
        <w:jc w:val="both"/>
      </w:pPr>
      <w:r>
        <w:t xml:space="preserve">WLS expression will be displayed with a FeaturePlot on the UMAP, violin plots by cluster and by annotated cell type, a DotPlot combining average expression and percentage of expressing cells alongside the DPSC marker panel, and a heatmap of WLS with lineage and Wnt pathway genes. Because single-cell data are sparse, imputation-free visualization should be the primary display, with any smoothed views (for example, Nebulosa density plots) clearly labeled.</w:t>
      </w:r>
    </w:p>
    <w:p>
      <w:pPr>
        <w:pStyle w:val="Heading2"/>
      </w:pPr>
      <w:r>
        <w:t xml:space="preserve">10.2 Quantification</w:t>
      </w:r>
    </w:p>
    <w:p>
      <w:pPr>
        <w:spacing w:after="140" w:line="288"/>
        <w:jc w:val="both"/>
      </w:pPr>
      <w:r>
        <w:t xml:space="preserve">For each cell type the following will be reported: mean normalized WLS expression, the percentage of WLS-positive cells (at least one UMI), fold enrichment relative to all other pulp cells, and the same values computed per donor. Reporting per-donor values shows whether an enrichment is consistent across individuals or driven by one sample.</w:t>
      </w:r>
    </w:p>
    <w:p>
      <w:pPr>
        <w:pStyle w:val="Heading2"/>
      </w:pPr>
      <w:r>
        <w:t xml:space="preserve">10.3 Statistical testing</w:t>
      </w:r>
    </w:p>
    <w:p>
      <w:pPr>
        <w:spacing w:after="140" w:line="288"/>
        <w:jc w:val="both"/>
      </w:pPr>
      <w:r>
        <w:t xml:space="preserve">Cell-level Wilcoxon tests (the Seurat FindMarkers default) are useful for exploration but treat thousands of cells from five donors as independent observations, which inflates significance. The primary test of H2 should therefore treat the donor as the unit of replication. Two complementary approaches are planned: a pseudobulk comparison, in which counts are summed per donor and cell type and compared with edgeR or DESeq2 using a paired design; and a mixed-effects model of WLS detection (binomial) or expression with donor as a random effect. Effect sizes with confidence intervals will be reported alongside p-values, and multiple-testing correction (Benjamini–Hochberg) will be applied wherever many genes or clusters are tested.</w:t>
      </w:r>
    </w:p>
    <w:p>
      <w:pPr>
        <w:pStyle w:val="Heading2"/>
      </w:pPr>
      <w:r>
        <w:t xml:space="preserve">10.4 Functional characterization</w:t>
      </w:r>
    </w:p>
    <w:p>
      <w:pPr>
        <w:spacing w:after="140" w:line="288"/>
        <w:jc w:val="both"/>
      </w:pPr>
      <w:r>
        <w:t xml:space="preserve">For H3, candidate DPSC cells will be split into WLS-positive and WLS-negative groups and compared by differential expression (again with donor-aware pseudobulk where cell numbers allow). Gene set enrichment analysis will use GO, KEGG, Reactome, and MSigDB Hallmark gene sets, and module scores will be calculated for curated stemness, Wnt-ligand production, and canonical Wnt-response gene sets. Ligand–receptor analysis with CellChat or NicheNet will identify which pulp populations express Frizzled and LRP receptors for the Wnt ligands produced by WLS-positive cells.</w:t>
      </w:r>
    </w:p>
    <w:p>
      <w:pPr>
        <w:pStyle w:val="Heading2"/>
      </w:pPr>
      <w:r>
        <w:t xml:space="preserve">10.5 Cross-dataset validation</w:t>
      </w:r>
    </w:p>
    <w:p>
      <w:pPr>
        <w:spacing w:after="140" w:line="288"/>
        <w:jc w:val="both"/>
      </w:pPr>
      <w:r>
        <w:t xml:space="preserve">The same annotation and quantification steps will be repeated in at least one independent dataset from the candidate list. Validation will be judged on whether the same cell types show WLS enrichment in the same direction, and, where possible, labels can be transferred between datasets with Seurat reference mapping to ensure that equivalent populations are compared.</w:t>
      </w:r>
    </w:p>
    <w:p>
      <w:pPr>
        <w:pStyle w:val="Heading1"/>
      </w:pPr>
      <w:r>
        <w:t xml:space="preserve">11.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Priority</w:t>
            </w:r>
          </w:p>
        </w:tc>
        <w:tc>
          <w:tcPr>
            <w:tcW w:type="dxa" w:w="7360"/>
            <w:tcBorders>
              <w:top w:val="single" w:color="BFCBD6" w:sz="4"/>
              <w:left w:val="single" w:color="BFCBD6" w:sz="4"/>
              <w:bottom w:val="single" w:color="BFCBD6" w:sz="4"/>
              <w:right w:val="single" w:color="BFCBD6" w:sz="4"/>
            </w:tcBorders>
            <w:shd w:fill="1F5C8B" w:color="auto" w:val="clear"/>
            <w:tcMar>
              <w:top w:type="dxa" w:w="70"/>
              <w:left w:type="dxa" w:w="110"/>
              <w:bottom w:type="dxa" w:w="70"/>
              <w:right w:type="dxa" w:w="110"/>
            </w:tcMar>
          </w:tcPr>
          <w:p>
            <w:r>
              <w:rPr>
                <w:b/>
                <w:bCs/>
                <w:color w:val="FFFFFF"/>
                <w:sz w:val="19"/>
                <w:szCs w:val="19"/>
              </w:rPr>
              <w:t xml:space="preserve">Action</w:t>
            </w:r>
          </w:p>
        </w:tc>
      </w:tr>
      <w:tr>
        <w:trPr>
          <w:tblHeader w:val="false"/>
        </w:trPr>
        <w:tc>
          <w:tcPr>
            <w:tcW w:type="dxa" w:w="20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Immediate</w:t>
            </w:r>
          </w:p>
        </w:tc>
        <w:tc>
          <w:tcPr>
            <w:tcW w:type="dxa" w:w="73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Check batch structure by sample; add sample IDs; run doublet detection; apply integration if needed; verify WLS feature name and reference consistency.</w:t>
            </w:r>
          </w:p>
        </w:tc>
      </w:tr>
      <w:tr>
        <w:trPr>
          <w:tblHeader w:val="false"/>
        </w:trPr>
        <w:tc>
          <w:tcPr>
            <w:tcW w:type="dxa" w:w="20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Immediate</w:t>
            </w:r>
          </w:p>
        </w:tc>
        <w:tc>
          <w:tcPr>
            <w:tcW w:type="dxa" w:w="73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Annotate major pulp lineages, then sub-cluster mesenchymal cells using THY1, NT5E, ENG, MCAM, PDGFRB, CXCL12 and COL1A1 alongside lineage markers.</w:t>
            </w:r>
          </w:p>
        </w:tc>
      </w:tr>
      <w:tr>
        <w:trPr>
          <w:tblHeader w:val="false"/>
        </w:trPr>
        <w:tc>
          <w:tcPr>
            <w:tcW w:type="dxa" w:w="20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Short term</w:t>
            </w:r>
          </w:p>
        </w:tc>
        <w:tc>
          <w:tcPr>
            <w:tcW w:type="dxa" w:w="73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Produce WLS FeaturePlot, VlnPlot, DotPlot and heatmap; compute average expression, % positive and fold enrichment per cell type and per donor.</w:t>
            </w:r>
          </w:p>
        </w:tc>
      </w:tr>
      <w:tr>
        <w:trPr>
          <w:tblHeader w:val="false"/>
        </w:trPr>
        <w:tc>
          <w:tcPr>
            <w:tcW w:type="dxa" w:w="20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Short term</w:t>
            </w:r>
          </w:p>
        </w:tc>
        <w:tc>
          <w:tcPr>
            <w:tcW w:type="dxa" w:w="73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Run donor-level pseudobulk and mixed-model tests of WLS enrichment (H1, H2).</w:t>
            </w:r>
          </w:p>
        </w:tc>
      </w:tr>
      <w:tr>
        <w:trPr>
          <w:tblHeader w:val="false"/>
        </w:trPr>
        <w:tc>
          <w:tcPr>
            <w:tcW w:type="dxa" w:w="20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Medium term</w:t>
            </w:r>
          </w:p>
        </w:tc>
        <w:tc>
          <w:tcPr>
            <w:tcW w:type="dxa" w:w="73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Compare WLS+ and WLS− candidate DPSCs; run GSEA, module scoring and ligand–receptor analysis (H3).</w:t>
            </w:r>
          </w:p>
        </w:tc>
      </w:tr>
      <w:tr>
        <w:trPr>
          <w:tblHeader w:val="false"/>
        </w:trPr>
        <w:tc>
          <w:tcPr>
            <w:tcW w:type="dxa" w:w="200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Medium term</w:t>
            </w:r>
          </w:p>
        </w:tc>
        <w:tc>
          <w:tcPr>
            <w:tcW w:type="dxa" w:w="7360"/>
            <w:tcBorders>
              <w:top w:val="single" w:color="BFCBD6" w:sz="4"/>
              <w:left w:val="single" w:color="BFCBD6" w:sz="4"/>
              <w:bottom w:val="single" w:color="BFCBD6" w:sz="4"/>
              <w:right w:val="single" w:color="BFCBD6" w:sz="4"/>
            </w:tcBorders>
            <w:shd w:fill="F5F8FB" w:color="auto" w:val="clear"/>
            <w:tcMar>
              <w:top w:type="dxa" w:w="70"/>
              <w:left w:type="dxa" w:w="110"/>
              <w:bottom w:type="dxa" w:w="70"/>
              <w:right w:type="dxa" w:w="110"/>
            </w:tcMar>
          </w:tcPr>
          <w:p>
            <w:r>
              <w:rPr>
                <w:color w:val="222222"/>
                <w:sz w:val="19"/>
                <w:szCs w:val="19"/>
              </w:rPr>
              <w:t xml:space="preserve">Review metadata of GSE202476, GSE185222 and PRJNA946721; process at least one for independent validation.</w:t>
            </w:r>
          </w:p>
        </w:tc>
      </w:tr>
      <w:tr>
        <w:trPr>
          <w:tblHeader w:val="false"/>
        </w:trPr>
        <w:tc>
          <w:tcPr>
            <w:tcW w:type="dxa" w:w="200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Final</w:t>
            </w:r>
          </w:p>
        </w:tc>
        <w:tc>
          <w:tcPr>
            <w:tcW w:type="dxa" w:w="7360"/>
            <w:tcBorders>
              <w:top w:val="single" w:color="BFCBD6" w:sz="4"/>
              <w:left w:val="single" w:color="BFCBD6" w:sz="4"/>
              <w:bottom w:val="single" w:color="BFCBD6" w:sz="4"/>
              <w:right w:val="single" w:color="BFCBD6" w:sz="4"/>
            </w:tcBorders>
            <w:tcMar>
              <w:top w:type="dxa" w:w="70"/>
              <w:left w:type="dxa" w:w="110"/>
              <w:bottom w:type="dxa" w:w="70"/>
              <w:right w:type="dxa" w:w="110"/>
            </w:tcMar>
          </w:tcPr>
          <w:p>
            <w:r>
              <w:rPr>
                <w:color w:val="222222"/>
                <w:sz w:val="19"/>
                <w:szCs w:val="19"/>
              </w:rPr>
              <w:t xml:space="preserve">Assemble publication-quality figures, methods text and a summary of biological conclusions.</w:t>
            </w:r>
          </w:p>
        </w:tc>
      </w:tr>
    </w:tbl>
    <w:p>
      <w:pPr>
        <w:spacing w:after="220" w:before="60"/>
        <w:jc w:val="left"/>
      </w:pPr>
      <w:r>
        <w:rPr>
          <w:i/>
          <w:iCs/>
          <w:color w:val="555555"/>
          <w:sz w:val="18"/>
          <w:szCs w:val="18"/>
        </w:rPr>
        <w:t xml:space="preserve">Table 9. Planned next steps.</w:t>
      </w:r>
    </w:p>
    <w:p>
      <w:pPr>
        <w:pStyle w:val="Heading1"/>
      </w:pPr>
      <w:r>
        <w:t xml:space="preserve">12. Conclusion</w:t>
      </w:r>
    </w:p>
    <w:p>
      <w:pPr>
        <w:spacing w:after="140" w:line="288"/>
        <w:jc w:val="both"/>
      </w:pPr>
      <w:r>
        <w:t xml:space="preserve">The project has established a reproducible computational framework and completed the preprocessing and clustering of the first human dental pulp dataset. With 25,030 high-quality cells organized into 28 well-separated clusters, the data are ready for biological annotation. The next phase will identify candidate dental pulp stem/progenitor populations and directly address Professor Hsu’s central question: whether WLS is expressed, and enriched, in human dental pulp stem cells. Addressing the methodological points in Section 9 and adopting the donor-level statistical design in Section 10 will make the eventual answer to that question robust and defensible.</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WLS Expression in Human DPSCs –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5C8B"/>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72559f41f3f8230d90f1d7c599a69ed57a0f20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WLS in Human DPSCs – Progress Report</dc:title>
  <dc:creator>Md Tariqul Islam</dc:creator>
  <cp:lastModifiedBy>Un-named</cp:lastModifiedBy>
  <cp:revision>1</cp:revision>
  <dcterms:created xsi:type="dcterms:W3CDTF">2026-10-01T22:15:18.099Z</dcterms:created>
  <dcterms:modified xsi:type="dcterms:W3CDTF">2026-10-01T22:15:18.104Z</dcterms:modified>
</cp:coreProperties>
</file>

<file path=docProps/custom.xml><?xml version="1.0" encoding="utf-8"?>
<Properties xmlns="http://schemas.openxmlformats.org/officeDocument/2006/custom-properties" xmlns:vt="http://schemas.openxmlformats.org/officeDocument/2006/docPropsVTypes"/>
</file>