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mbria" w:cs="Cambria" w:eastAsia="Cambria" w:hAnsi="Cambria"/>
          <w:b/>
          <w:bCs/>
          <w:color w:val="6A1B3A"/>
          <w:sz w:val="34"/>
          <w:szCs w:val="34"/>
        </w:rPr>
        <w:t xml:space="preserve">WLS (Gpr177/Wntless) in human dental pulp stem cells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606B"/>
          <w:sz w:val="19"/>
          <w:szCs w:val="19"/>
        </w:rPr>
        <w:t xml:space="preserve">Cross-dataset validation  ·  Md Tariqul Islam, Laboratory of Professor Wei Hsu, ADA Forsyth Institute  ·  October 2026</w:t>
      </w:r>
    </w:p>
    <w:p>
      <w:pPr>
        <w:pBdr>
          <w:left w:val="none" w:color="auto" w:sz="0"/>
        </w:pBdr>
        <w:shd w:fill="F4F6F7" w:color="auto" w:val="clear"/>
        <w:spacing w:after="120"/>
        <w:ind w:left="120" w:right="120"/>
      </w:pPr>
      <w:r>
        <w:rPr>
          <w:rFonts w:ascii="Calibri" w:cs="Calibri" w:eastAsia="Calibri" w:hAnsi="Calibri"/>
          <w:b/>
          <w:bCs/>
          <w:color w:val="1F2A33"/>
          <w:sz w:val="21"/>
          <w:szCs w:val="21"/>
        </w:rPr>
        <w:t xml:space="preserve">Question: </w:t>
      </w:r>
      <w:r>
        <w:rPr>
          <w:rFonts w:ascii="Calibri" w:cs="Calibri" w:eastAsia="Calibri" w:hAnsi="Calibri"/>
          <w:color w:val="1F2A33"/>
          <w:sz w:val="21"/>
          <w:szCs w:val="21"/>
        </w:rPr>
        <w:t xml:space="preserve">is Gpr177/Wntless (WLS) expressed in, and enriched in, the DPSC population?</w:t>
      </w:r>
    </w:p>
    <w:p>
      <w:pPr>
        <w:shd w:fill="F4F6F7" w:color="auto" w:val="clear"/>
        <w:spacing w:after="240"/>
        <w:ind w:left="120" w:right="120"/>
      </w:pPr>
      <w:r>
        <w:rPr>
          <w:rFonts w:ascii="Calibri" w:cs="Calibri" w:eastAsia="Calibri" w:hAnsi="Calibri"/>
          <w:b/>
          <w:bCs/>
          <w:color w:val="6A1B3A"/>
          <w:sz w:val="21"/>
          <w:szCs w:val="21"/>
        </w:rPr>
        <w:t xml:space="preserve">Answer: </w:t>
      </w:r>
      <w:r>
        <w:rPr>
          <w:rFonts w:ascii="Calibri" w:cs="Calibri" w:eastAsia="Calibri" w:hAnsi="Calibri"/>
          <w:b/>
          <w:bCs/>
          <w:color w:val="1F2A33"/>
          <w:sz w:val="21"/>
          <w:szCs w:val="21"/>
        </w:rPr>
        <w:t xml:space="preserve">WLS is expressed in candidate DPSCs in all four datasets (11–70% of cells), but it is enriched in none of them. DPSCs sit at or below the level of surrounding cells, and in pulp tissue the main WLS⁺ mesenchymal cells are fibroblasts.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6A1B3A"/>
          <w:sz w:val="26"/>
          <w:szCs w:val="26"/>
        </w:rPr>
        <w:t xml:space="preserve">Results across four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50"/>
        <w:gridCol w:w="800"/>
        <w:gridCol w:w="950"/>
        <w:gridCol w:w="1250"/>
        <w:gridCol w:w="800"/>
        <w:gridCol w:w="2010"/>
      </w:tblGrid>
      <w:tr>
        <w:trPr>
          <w:tblHeader/>
        </w:trPr>
        <w:tc>
          <w:tcPr>
            <w:tcW w:type="dxa" w:w="120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6A1B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235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6A1B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Sample</w:t>
            </w:r>
          </w:p>
        </w:tc>
        <w:tc>
          <w:tcPr>
            <w:tcW w:type="dxa" w:w="80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6A1B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DPSCs</w:t>
            </w:r>
          </w:p>
        </w:tc>
        <w:tc>
          <w:tcPr>
            <w:tcW w:type="dxa" w:w="95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6A1B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WLS⁺ DPSC</w:t>
            </w:r>
          </w:p>
        </w:tc>
        <w:tc>
          <w:tcPr>
            <w:tcW w:type="dxa" w:w="125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6A1B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WLS⁺ comparison</w:t>
            </w:r>
          </w:p>
        </w:tc>
        <w:tc>
          <w:tcPr>
            <w:tcW w:type="dxa" w:w="80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6A1B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log2FC</w:t>
            </w:r>
          </w:p>
        </w:tc>
        <w:tc>
          <w:tcPr>
            <w:tcW w:type="dxa" w:w="201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6A1B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Statistics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8"/>
                <w:szCs w:val="18"/>
              </w:rPr>
              <w:t xml:space="preserve">GSE164157</w:t>
            </w:r>
          </w:p>
        </w:tc>
        <w:tc>
          <w:tcPr>
            <w:tcW w:type="dxa" w:w="235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8"/>
                <w:szCs w:val="18"/>
              </w:rPr>
              <w:t xml:space="preserve">Fresh pulp, 5 donors (discovery)</w:t>
            </w:r>
          </w:p>
        </w:tc>
        <w:tc>
          <w:tcPr>
            <w:tcW w:type="dxa" w:w="80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8"/>
                <w:szCs w:val="18"/>
              </w:rPr>
              <w:t xml:space="preserve">2,847</w:t>
            </w:r>
          </w:p>
        </w:tc>
        <w:tc>
          <w:tcPr>
            <w:tcW w:type="dxa" w:w="95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8"/>
                <w:szCs w:val="18"/>
              </w:rPr>
              <w:t xml:space="preserve">11.1</w:t>
            </w:r>
          </w:p>
        </w:tc>
        <w:tc>
          <w:tcPr>
            <w:tcW w:type="dxa" w:w="125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8"/>
                <w:szCs w:val="18"/>
              </w:rPr>
              <w:t xml:space="preserve">pulp average</w:t>
            </w:r>
          </w:p>
        </w:tc>
        <w:tc>
          <w:tcPr>
            <w:tcW w:type="dxa" w:w="80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18"/>
                <w:szCs w:val="18"/>
              </w:rPr>
              <w:t xml:space="preserve">−0.14</w:t>
            </w:r>
          </w:p>
        </w:tc>
        <w:tc>
          <w:tcPr>
            <w:tcW w:type="dxa" w:w="201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8"/>
                <w:szCs w:val="18"/>
              </w:rPr>
              <w:t xml:space="preserve">Pseudobulk edgeR, FDR 0.57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F4F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8"/>
                <w:szCs w:val="18"/>
              </w:rPr>
              <w:t xml:space="preserve">GSE202476</w:t>
            </w:r>
          </w:p>
        </w:tc>
        <w:tc>
          <w:tcPr>
            <w:tcW w:type="dxa" w:w="235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F4F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8"/>
                <w:szCs w:val="18"/>
              </w:rPr>
              <w:t xml:space="preserve">Fresh pulp, 13-year-old, immature third molar</w:t>
            </w:r>
          </w:p>
        </w:tc>
        <w:tc>
          <w:tcPr>
            <w:tcW w:type="dxa" w:w="80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F4F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8"/>
                <w:szCs w:val="18"/>
              </w:rPr>
              <w:t xml:space="preserve">1,011</w:t>
            </w:r>
          </w:p>
        </w:tc>
        <w:tc>
          <w:tcPr>
            <w:tcW w:type="dxa" w:w="95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F4F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8"/>
                <w:szCs w:val="18"/>
              </w:rPr>
              <w:t xml:space="preserve">33.8</w:t>
            </w:r>
          </w:p>
        </w:tc>
        <w:tc>
          <w:tcPr>
            <w:tcW w:type="dxa" w:w="125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F4F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8"/>
                <w:szCs w:val="18"/>
              </w:rPr>
              <w:t xml:space="preserve">36.7</w:t>
            </w:r>
          </w:p>
        </w:tc>
        <w:tc>
          <w:tcPr>
            <w:tcW w:type="dxa" w:w="80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F4F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18"/>
                <w:szCs w:val="18"/>
              </w:rPr>
              <w:t xml:space="preserve">−0.16</w:t>
            </w:r>
          </w:p>
        </w:tc>
        <w:tc>
          <w:tcPr>
            <w:tcW w:type="dxa" w:w="201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F4F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8"/>
                <w:szCs w:val="18"/>
              </w:rPr>
              <w:t xml:space="preserve">Descriptive, 1 donor (p 0.14)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8"/>
                <w:szCs w:val="18"/>
              </w:rPr>
              <w:t xml:space="preserve">GSE185222</w:t>
            </w:r>
          </w:p>
        </w:tc>
        <w:tc>
          <w:tcPr>
            <w:tcW w:type="dxa" w:w="235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8"/>
                <w:szCs w:val="18"/>
              </w:rPr>
              <w:t xml:space="preserve">Fresh pulp, sound tooth (DTP_01)</w:t>
            </w:r>
          </w:p>
        </w:tc>
        <w:tc>
          <w:tcPr>
            <w:tcW w:type="dxa" w:w="80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8"/>
                <w:szCs w:val="18"/>
              </w:rPr>
              <w:t xml:space="preserve">122</w:t>
            </w:r>
          </w:p>
        </w:tc>
        <w:tc>
          <w:tcPr>
            <w:tcW w:type="dxa" w:w="95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8"/>
                <w:szCs w:val="18"/>
              </w:rPr>
              <w:t xml:space="preserve">14.8</w:t>
            </w:r>
          </w:p>
        </w:tc>
        <w:tc>
          <w:tcPr>
            <w:tcW w:type="dxa" w:w="125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8"/>
                <w:szCs w:val="18"/>
              </w:rPr>
              <w:t xml:space="preserve">16.9</w:t>
            </w:r>
          </w:p>
        </w:tc>
        <w:tc>
          <w:tcPr>
            <w:tcW w:type="dxa" w:w="80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18"/>
                <w:szCs w:val="18"/>
              </w:rPr>
              <w:t xml:space="preserve">+0.21</w:t>
            </w:r>
          </w:p>
        </w:tc>
        <w:tc>
          <w:tcPr>
            <w:tcW w:type="dxa" w:w="201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8"/>
                <w:szCs w:val="18"/>
              </w:rPr>
              <w:t xml:space="preserve">Descriptive, 1 donor (p 0.71)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F4F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8"/>
                <w:szCs w:val="18"/>
              </w:rPr>
              <w:t xml:space="preserve">GSE227731</w:t>
            </w:r>
          </w:p>
        </w:tc>
        <w:tc>
          <w:tcPr>
            <w:tcW w:type="dxa" w:w="235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F4F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8"/>
                <w:szCs w:val="18"/>
              </w:rPr>
              <w:t xml:space="preserve">Stem cells: DPSCs vs PDLSCs</w:t>
            </w:r>
          </w:p>
        </w:tc>
        <w:tc>
          <w:tcPr>
            <w:tcW w:type="dxa" w:w="80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F4F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8"/>
                <w:szCs w:val="18"/>
              </w:rPr>
              <w:t xml:space="preserve">2,150</w:t>
            </w:r>
          </w:p>
        </w:tc>
        <w:tc>
          <w:tcPr>
            <w:tcW w:type="dxa" w:w="95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F4F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8"/>
                <w:szCs w:val="18"/>
              </w:rPr>
              <w:t xml:space="preserve">69.5</w:t>
            </w:r>
          </w:p>
        </w:tc>
        <w:tc>
          <w:tcPr>
            <w:tcW w:type="dxa" w:w="125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F4F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8"/>
                <w:szCs w:val="18"/>
              </w:rPr>
              <w:t xml:space="preserve">83.7 (PDLSC)</w:t>
            </w:r>
          </w:p>
        </w:tc>
        <w:tc>
          <w:tcPr>
            <w:tcW w:type="dxa" w:w="80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F4F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18"/>
                <w:szCs w:val="18"/>
              </w:rPr>
              <w:t xml:space="preserve">−0.72</w:t>
            </w:r>
          </w:p>
        </w:tc>
        <w:tc>
          <w:tcPr>
            <w:tcW w:type="dxa" w:w="2010"/>
            <w:tcBorders>
              <w:top w:val="single" w:color="D5DBDF" w:sz="4"/>
              <w:left w:val="single" w:color="D5DBDF" w:sz="4"/>
              <w:bottom w:val="single" w:color="D5DBDF" w:sz="4"/>
              <w:right w:val="single" w:color="D5DBDF" w:sz="4"/>
            </w:tcBorders>
            <w:shd w:fill="F4F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8"/>
                <w:szCs w:val="18"/>
              </w:rPr>
              <w:t xml:space="preserve">Descriptive, 1 library each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color w:val="55606B"/>
          <w:sz w:val="18"/>
          <w:szCs w:val="18"/>
        </w:rPr>
        <w:t xml:space="preserve">log2FC compares candidate DPSCs with all other cells in the same sample (with PDLSCs for GSE227731); positive means higher in DPSCs. Compare DPSCs with other cells within a row only: the share of WLS⁺ cells differs between datasets because of sequencing depth, chemistry and culture.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6A1B3A"/>
          <w:sz w:val="26"/>
          <w:szCs w:val="26"/>
        </w:rPr>
        <w:t xml:space="preserve">What the validation shows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33"/>
          <w:sz w:val="21"/>
          <w:szCs w:val="21"/>
        </w:rPr>
        <w:t xml:space="preserve">Expressed: </w:t>
      </w:r>
      <w:r>
        <w:rPr>
          <w:rFonts w:ascii="Calibri" w:cs="Calibri" w:eastAsia="Calibri" w:hAnsi="Calibri"/>
          <w:color w:val="1F2A33"/>
          <w:sz w:val="21"/>
          <w:szCs w:val="21"/>
        </w:rPr>
        <w:t xml:space="preserve">WLS is detected in candidate DPSCs in every dataset.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33"/>
          <w:sz w:val="21"/>
          <w:szCs w:val="21"/>
        </w:rPr>
        <w:t xml:space="preserve">Not enriched: </w:t>
      </w:r>
      <w:r>
        <w:rPr>
          <w:rFonts w:ascii="Calibri" w:cs="Calibri" w:eastAsia="Calibri" w:hAnsi="Calibri"/>
          <w:color w:val="1F2A33"/>
          <w:sz w:val="21"/>
          <w:szCs w:val="21"/>
        </w:rPr>
        <w:t xml:space="preserve">no dataset shows higher WLS in DPSCs; fold changes range from −0.72 to +0.21, all near zero or negative.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33"/>
          <w:sz w:val="21"/>
          <w:szCs w:val="21"/>
        </w:rPr>
        <w:t xml:space="preserve">Fibroblasts lead: </w:t>
      </w:r>
      <w:r>
        <w:rPr>
          <w:rFonts w:ascii="Calibri" w:cs="Calibri" w:eastAsia="Calibri" w:hAnsi="Calibri"/>
          <w:color w:val="1F2A33"/>
          <w:sz w:val="21"/>
          <w:szCs w:val="21"/>
        </w:rPr>
        <w:t xml:space="preserve">in all three pulp tissues, pulp fibroblasts are the top WLS⁺ mesenchymal population (Figure 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33"/>
          <w:sz w:val="21"/>
          <w:szCs w:val="21"/>
        </w:rPr>
        <w:t xml:space="preserve">Carious teeth agree: </w:t>
      </w:r>
      <w:r>
        <w:rPr>
          <w:rFonts w:ascii="Calibri" w:cs="Calibri" w:eastAsia="Calibri" w:hAnsi="Calibri"/>
          <w:color w:val="1F2A33"/>
          <w:sz w:val="21"/>
          <w:szCs w:val="21"/>
        </w:rPr>
        <w:t xml:space="preserve">in the three carious teeth of GSE185222, DPSCs are never above other cells (6.4–15.4% vs 15.8–24.1%).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33"/>
          <w:sz w:val="21"/>
          <w:szCs w:val="21"/>
        </w:rPr>
        <w:t xml:space="preserve">Stem cells: </w:t>
      </w:r>
      <w:r>
        <w:rPr>
          <w:rFonts w:ascii="Calibri" w:cs="Calibri" w:eastAsia="Calibri" w:hAnsi="Calibri"/>
          <w:color w:val="1F2A33"/>
          <w:sz w:val="21"/>
          <w:szCs w:val="21"/>
        </w:rPr>
        <w:t xml:space="preserve">DPSCs have less WLS than PDLSCs, and no DPSC sub-cluster is WLS-high (main sub-clusters 64–80%; one 187-cell sub-cluster is WLS-low at 14%).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914525"/>
            <wp:effectExtent t="0" r="0" b="0" l="0"/>
            <wp:docPr id="1" name="fig1_bars.png" descr="fig1_bars.png" title="fig1_ba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2A33"/>
          <w:sz w:val="18"/>
          <w:szCs w:val="18"/>
        </w:rPr>
        <w:t xml:space="preserve">Figure 1. </w:t>
      </w:r>
      <w:r>
        <w:rPr>
          <w:rFonts w:ascii="Calibri" w:cs="Calibri" w:eastAsia="Calibri" w:hAnsi="Calibri"/>
          <w:color w:val="55606B"/>
          <w:sz w:val="18"/>
          <w:szCs w:val="18"/>
        </w:rPr>
        <w:t xml:space="preserve">Percentage of WLS⁺ cells by cell type in each validation dataset; candidate DPSCs in burgundy. GSE185222 shows the sound tooth only.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647825"/>
            <wp:effectExtent t="0" r="0" b="0" l="0"/>
            <wp:docPr id="1" name="fig2_umaps.png" descr="fig2_umaps.png" title="fig2_uma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2A33"/>
          <w:sz w:val="18"/>
          <w:szCs w:val="18"/>
        </w:rPr>
        <w:t xml:space="preserve">Figure 2. </w:t>
      </w:r>
      <w:r>
        <w:rPr>
          <w:rFonts w:ascii="Calibri" w:cs="Calibri" w:eastAsia="Calibri" w:hAnsi="Calibri"/>
          <w:color w:val="55606B"/>
          <w:sz w:val="18"/>
          <w:szCs w:val="18"/>
        </w:rPr>
        <w:t xml:space="preserve">WLS expression on each validation dataset's UMAP (grey = not detected). Left: the dense signal on the right is the fibroblast population.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6A1B3A"/>
          <w:sz w:val="26"/>
          <w:szCs w:val="26"/>
        </w:rPr>
        <w:t xml:space="preserve">Methods in brief</w:t>
      </w:r>
    </w:p>
    <w:p>
      <w:pPr>
        <w:spacing w:after="120" w:line="276"/>
      </w:pPr>
      <w:r>
        <w:rPr>
          <w:rFonts w:ascii="Calibri" w:cs="Calibri" w:eastAsia="Calibri" w:hAnsi="Calibri"/>
          <w:color w:val="1F2A33"/>
          <w:sz w:val="21"/>
          <w:szCs w:val="21"/>
        </w:rPr>
        <w:t xml:space="preserve">Each dataset was processed with the same pipeline as the GSE164157 discovery analysis: QC (more than 200 genes, more than 500 UMIs, less than 20% mitochondrial reads), scDblFinder doublet removal, Harmony integration by sample, and score-based annotation with the same marker panels. Candidate DPSCs (definition A) are mesenchymal sub-clusters, re-clustered with Harmony dims 1–15 at resolution 0.4, whose mean stem/progenitor score (THY1, NT5E, ENG, NGFR, FRZB, LEPR, PRRX1, CXCL12) is above background. Three alternative definitions (top 20% stem score, three or more stem markers, MCAM⁺) gave the same conclusion. Datasets with three or more donors were tested by donor-paired pseudobulk edgeR; datasets with fewer donors are reported descriptively.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6A1B3A"/>
          <w:sz w:val="26"/>
          <w:szCs w:val="26"/>
        </w:rPr>
        <w:t xml:space="preserve">Caveats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33"/>
          <w:sz w:val="21"/>
          <w:szCs w:val="21"/>
        </w:rPr>
        <w:t xml:space="preserve">The three validation datasets have one donor or library per group, so their p-values are descriptive; only GSE164157 has donor-level statistics.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33"/>
          <w:sz w:val="21"/>
          <w:szCs w:val="21"/>
        </w:rPr>
        <w:t xml:space="preserve">DPSCs are defined computationally, by the same rule in every dataset, not by function.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33"/>
          <w:sz w:val="21"/>
          <w:szCs w:val="21"/>
        </w:rPr>
        <w:t xml:space="preserve">GSE227731 culture conditions and donor numbers should be confirmed with the authors (Kantarci lab, ADA Forsyth).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33"/>
          <w:sz w:val="21"/>
          <w:szCs w:val="21"/>
        </w:rPr>
        <w:t xml:space="preserve">RNA only: no WLS protein or secretion data.</w:t>
      </w:r>
    </w:p>
    <w:p>
      <w:pPr>
        <w:spacing w:before="200"/>
      </w:pPr>
      <w:r>
        <w:rPr>
          <w:rFonts w:ascii="Calibri" w:cs="Calibri" w:eastAsia="Calibri" w:hAnsi="Calibri"/>
          <w:b/>
          <w:bCs/>
          <w:color w:val="1F2A33"/>
          <w:sz w:val="18"/>
          <w:szCs w:val="18"/>
        </w:rPr>
        <w:t xml:space="preserve">Code and full tables: </w:t>
      </w:r>
      <w:r>
        <w:rPr>
          <w:rFonts w:ascii="Calibri" w:cs="Calibri" w:eastAsia="Calibri" w:hAnsi="Calibri"/>
          <w:color w:val="55606B"/>
          <w:sz w:val="18"/>
          <w:szCs w:val="18"/>
        </w:rPr>
        <w:t xml:space="preserve">github.com/mtariqi/dpsc-wls-validation (validation) and github.com/mtariqi/dpsc-wls-human-scRNAseq (discovery).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5606B"/>
        <w:sz w:val="16"/>
        <w:szCs w:val="16"/>
      </w:rPr>
      <w:t xml:space="preserve">WLS in DPSCs: cross-dataset validation · page </w:t>
    </w:r>
    <w:r>
      <w:rPr>
        <w:rFonts w:ascii="Calibri" w:cs="Calibri" w:eastAsia="Calibri" w:hAnsi="Calibri"/>
        <w:color w:val="5560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9b42b7af358a6b2010c46cb8b6e71875fc68a30.png"/><Relationship Id="rId9" Type="http://schemas.openxmlformats.org/officeDocument/2006/relationships/image" Target="media/3d1116ad2adc2a0bb4b8a67d5ead5841377e210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2026-10-03T21:15:44.656Z</dcterms:created>
  <dcterms:modified xsi:type="dcterms:W3CDTF">2026-10-03T21:15:44.662Z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