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0"/>
        <w:jc w:val="center"/>
      </w:pPr>
      <w:r>
        <w:rPr>
          <w:rFonts w:ascii="Arial" w:cs="Arial" w:eastAsia="Arial" w:hAnsi="Arial"/>
          <w:b/>
          <w:bCs/>
          <w:color w:val="1B3A6B"/>
          <w:sz w:val="64"/>
          <w:szCs w:val="64"/>
        </w:rPr>
        <w:t xml:space="preserve">PDO TEMPORAL DRIFT</w:t>
      </w:r>
    </w:p>
    <w:p>
      <w:pPr>
        <w:spacing w:before="60" w:after="0"/>
        <w:jc w:val="center"/>
      </w:pPr>
      <w:r>
        <w:rPr>
          <w:rFonts w:ascii="Arial" w:cs="Arial" w:eastAsia="Arial" w:hAnsi="Arial"/>
          <w:b/>
          <w:bCs/>
          <w:color w:val="1B3A6B"/>
          <w:sz w:val="64"/>
          <w:szCs w:val="64"/>
        </w:rPr>
        <w:t xml:space="preserve">CHARACTERIZATION PROJECT</w:t>
      </w:r>
    </w:p>
    <w:p>
      <w:pPr>
        <w:spacing w:before="80" w:after="0"/>
      </w:pPr>
      <w:r>
        <w:t xml:space="preserve"/>
      </w:r>
    </w:p>
    <w:p>
      <w:pPr>
        <w:spacing w:before="0" w:after="0"/>
        <w:jc w:val="center"/>
      </w:pPr>
      <w:r>
        <w:rPr>
          <w:rFonts w:ascii="Arial" w:cs="Arial" w:eastAsia="Arial" w:hAnsi="Arial"/>
          <w:i/>
          <w:iCs/>
          <w:color w:val="2E6DB4"/>
          <w:sz w:val="28"/>
          <w:szCs w:val="28"/>
        </w:rPr>
        <w:t xml:space="preserve">Genomic, Transcriptomic &amp; Functional Drift of Patient-Derived Organoids Over Time</w:t>
      </w:r>
    </w:p>
    <w:p>
      <w:pPr>
        <w:spacing w:before="80" w:after="0"/>
      </w:pPr>
      <w:r>
        <w:t xml:space="preserve"/>
      </w:r>
    </w:p>
    <w:p>
      <w:pPr>
        <w:pBdr>
          <w:bottom w:val="single" w:color="2E6DB4" w:sz="6"/>
        </w:pBdr>
        <w:spacing w:before="0" w:after="0"/>
        <w:jc w:val="center"/>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F4FC" w:val="clear"/>
            <w:tcMar>
              <w:top w:type="dxa" w:w="100"/>
              <w:left w:type="dxa" w:w="180"/>
              <w:bottom w:type="dxa" w:w="100"/>
              <w:right w:type="dxa" w:w="180"/>
            </w:tcMar>
          </w:tcPr>
          <w:p>
            <w:r>
              <w:rPr>
                <w:rFonts w:ascii="Arial" w:cs="Arial" w:eastAsia="Arial" w:hAnsi="Arial"/>
                <w:b/>
                <w:bCs/>
                <w:color w:val="1B3A6B"/>
                <w:sz w:val="20"/>
                <w:szCs w:val="20"/>
              </w:rPr>
              <w:t xml:space="preserve">Project Title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r>
              <w:rPr>
                <w:rFonts w:ascii="Arial" w:cs="Arial" w:eastAsia="Arial" w:hAnsi="Arial"/>
                <w:color w:val="4A4A4A"/>
                <w:sz w:val="20"/>
                <w:szCs w:val="20"/>
              </w:rPr>
              <w:t xml:space="preserve">PDO Temporal Drift Characterization Study</w:t>
            </w:r>
          </w:p>
        </w:tc>
      </w:tr>
      <w:tr>
        <w:tc>
          <w:tcPr>
            <w:tcW w:type="dxa" w:w="2200"/>
            <w:tcBorders>
              <w:top w:val="single" w:color="DDDDDD" w:sz="1"/>
              <w:left w:val="single" w:color="DDDDDD" w:sz="1"/>
              <w:bottom w:val="single" w:color="DDDDDD" w:sz="1"/>
              <w:right w:val="single" w:color="DDDDDD" w:sz="1"/>
            </w:tcBorders>
            <w:shd w:fill="F8FAFF" w:val="clear"/>
            <w:tcMar>
              <w:top w:type="dxa" w:w="100"/>
              <w:left w:type="dxa" w:w="180"/>
              <w:bottom w:type="dxa" w:w="100"/>
              <w:right w:type="dxa" w:w="180"/>
            </w:tcMar>
          </w:tcPr>
          <w:p>
            <w:r>
              <w:rPr>
                <w:rFonts w:ascii="Arial" w:cs="Arial" w:eastAsia="Arial" w:hAnsi="Arial"/>
                <w:b/>
                <w:bCs/>
                <w:color w:val="1B3A6B"/>
                <w:sz w:val="20"/>
                <w:szCs w:val="20"/>
              </w:rPr>
              <w:t xml:space="preserve">Project Code</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color w:val="4A4A4A"/>
                <w:sz w:val="20"/>
                <w:szCs w:val="20"/>
              </w:rPr>
              <w:t xml:space="preserve">PDO-DRIFT-001</w:t>
            </w:r>
          </w:p>
        </w:tc>
      </w:tr>
      <w:tr>
        <w:tc>
          <w:tcPr>
            <w:tcW w:type="dxa" w:w="2200"/>
            <w:tcBorders>
              <w:top w:val="single" w:color="DDDDDD" w:sz="1"/>
              <w:left w:val="single" w:color="DDDDDD" w:sz="1"/>
              <w:bottom w:val="single" w:color="DDDDDD" w:sz="1"/>
              <w:right w:val="single" w:color="DDDDDD" w:sz="1"/>
            </w:tcBorders>
            <w:shd w:fill="EEF4FC" w:val="clear"/>
            <w:tcMar>
              <w:top w:type="dxa" w:w="100"/>
              <w:left w:type="dxa" w:w="180"/>
              <w:bottom w:type="dxa" w:w="100"/>
              <w:right w:type="dxa" w:w="180"/>
            </w:tcMar>
          </w:tcPr>
          <w:p>
            <w:r>
              <w:rPr>
                <w:rFonts w:ascii="Arial" w:cs="Arial" w:eastAsia="Arial" w:hAnsi="Arial"/>
                <w:b/>
                <w:bCs/>
                <w:color w:val="1B3A6B"/>
                <w:sz w:val="20"/>
                <w:szCs w:val="20"/>
              </w:rPr>
              <w:t xml:space="preserve">Version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r>
              <w:rPr>
                <w:rFonts w:ascii="Arial" w:cs="Arial" w:eastAsia="Arial" w:hAnsi="Arial"/>
                <w:color w:val="4A4A4A"/>
                <w:sz w:val="20"/>
                <w:szCs w:val="20"/>
              </w:rPr>
              <w:t xml:space="preserve">1.0 — Initial Research Protocol</w:t>
            </w:r>
          </w:p>
        </w:tc>
      </w:tr>
      <w:tr>
        <w:tc>
          <w:tcPr>
            <w:tcW w:type="dxa" w:w="2200"/>
            <w:tcBorders>
              <w:top w:val="single" w:color="DDDDDD" w:sz="1"/>
              <w:left w:val="single" w:color="DDDDDD" w:sz="1"/>
              <w:bottom w:val="single" w:color="DDDDDD" w:sz="1"/>
              <w:right w:val="single" w:color="DDDDDD" w:sz="1"/>
            </w:tcBorders>
            <w:shd w:fill="F8FAFF" w:val="clear"/>
            <w:tcMar>
              <w:top w:type="dxa" w:w="100"/>
              <w:left w:type="dxa" w:w="180"/>
              <w:bottom w:type="dxa" w:w="100"/>
              <w:right w:type="dxa" w:w="180"/>
            </w:tcMar>
          </w:tcPr>
          <w:p>
            <w:r>
              <w:rPr>
                <w:rFonts w:ascii="Arial" w:cs="Arial" w:eastAsia="Arial" w:hAnsi="Arial"/>
                <w:b/>
                <w:bCs/>
                <w:color w:val="1B3A6B"/>
                <w:sz w:val="20"/>
                <w:szCs w:val="20"/>
              </w:rPr>
              <w:t xml:space="preserve">Classification</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color w:val="4A4A4A"/>
                <w:sz w:val="20"/>
                <w:szCs w:val="20"/>
              </w:rPr>
              <w:t xml:space="preserve">Multi-Omic Longitudinal Study</w:t>
            </w:r>
          </w:p>
        </w:tc>
      </w:tr>
      <w:tr>
        <w:tc>
          <w:tcPr>
            <w:tcW w:type="dxa" w:w="2200"/>
            <w:tcBorders>
              <w:top w:val="single" w:color="DDDDDD" w:sz="1"/>
              <w:left w:val="single" w:color="DDDDDD" w:sz="1"/>
              <w:bottom w:val="single" w:color="DDDDDD" w:sz="1"/>
              <w:right w:val="single" w:color="DDDDDD" w:sz="1"/>
            </w:tcBorders>
            <w:shd w:fill="EEF4FC" w:val="clear"/>
            <w:tcMar>
              <w:top w:type="dxa" w:w="100"/>
              <w:left w:type="dxa" w:w="180"/>
              <w:bottom w:type="dxa" w:w="100"/>
              <w:right w:type="dxa" w:w="180"/>
            </w:tcMar>
          </w:tcPr>
          <w:p>
            <w:r>
              <w:rPr>
                <w:rFonts w:ascii="Arial" w:cs="Arial" w:eastAsia="Arial" w:hAnsi="Arial"/>
                <w:b/>
                <w:bCs/>
                <w:color w:val="1B3A6B"/>
                <w:sz w:val="20"/>
                <w:szCs w:val="20"/>
              </w:rPr>
              <w:t xml:space="preserve">Primary Aims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r>
              <w:rPr>
                <w:rFonts w:ascii="Arial" w:cs="Arial" w:eastAsia="Arial" w:hAnsi="Arial"/>
                <w:color w:val="4A4A4A"/>
                <w:sz w:val="20"/>
                <w:szCs w:val="20"/>
              </w:rPr>
              <w:t xml:space="preserve">Passage Evolution · Growth Kinetics · Freeze-Thaw Impact</w:t>
            </w:r>
          </w:p>
        </w:tc>
      </w:tr>
      <w:tr>
        <w:tc>
          <w:tcPr>
            <w:tcW w:type="dxa" w:w="2200"/>
            <w:tcBorders>
              <w:top w:val="single" w:color="DDDDDD" w:sz="1"/>
              <w:left w:val="single" w:color="DDDDDD" w:sz="1"/>
              <w:bottom w:val="single" w:color="DDDDDD" w:sz="1"/>
              <w:right w:val="single" w:color="DDDDDD" w:sz="1"/>
            </w:tcBorders>
            <w:shd w:fill="F8FAFF" w:val="clear"/>
            <w:tcMar>
              <w:top w:type="dxa" w:w="100"/>
              <w:left w:type="dxa" w:w="180"/>
              <w:bottom w:type="dxa" w:w="100"/>
              <w:right w:type="dxa" w:w="180"/>
            </w:tcMar>
          </w:tcPr>
          <w:p>
            <w:r>
              <w:rPr>
                <w:rFonts w:ascii="Arial" w:cs="Arial" w:eastAsia="Arial" w:hAnsi="Arial"/>
                <w:b/>
                <w:bCs/>
                <w:color w:val="1B3A6B"/>
                <w:sz w:val="20"/>
                <w:szCs w:val="20"/>
              </w:rPr>
              <w:t xml:space="preserve">Study Duration</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color w:val="4A4A4A"/>
                <w:sz w:val="20"/>
                <w:szCs w:val="20"/>
              </w:rPr>
              <w:t xml:space="preserve">18 months (Phases I–IV)</w:t>
            </w:r>
          </w:p>
        </w:tc>
      </w:tr>
      <w:tr>
        <w:tc>
          <w:tcPr>
            <w:tcW w:type="dxa" w:w="2200"/>
            <w:tcBorders>
              <w:top w:val="single" w:color="DDDDDD" w:sz="1"/>
              <w:left w:val="single" w:color="DDDDDD" w:sz="1"/>
              <w:bottom w:val="single" w:color="DDDDDD" w:sz="1"/>
              <w:right w:val="single" w:color="DDDDDD" w:sz="1"/>
            </w:tcBorders>
            <w:shd w:fill="EEF4FC" w:val="clear"/>
            <w:tcMar>
              <w:top w:type="dxa" w:w="100"/>
              <w:left w:type="dxa" w:w="180"/>
              <w:bottom w:type="dxa" w:w="100"/>
              <w:right w:type="dxa" w:w="180"/>
            </w:tcMar>
          </w:tcPr>
          <w:p>
            <w:r>
              <w:rPr>
                <w:rFonts w:ascii="Arial" w:cs="Arial" w:eastAsia="Arial" w:hAnsi="Arial"/>
                <w:b/>
                <w:bCs/>
                <w:color w:val="1B3A6B"/>
                <w:sz w:val="20"/>
                <w:szCs w:val="20"/>
              </w:rPr>
              <w:t xml:space="preserve">Target PDO Lines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r>
              <w:rPr>
                <w:rFonts w:ascii="Arial" w:cs="Arial" w:eastAsia="Arial" w:hAnsi="Arial"/>
                <w:color w:val="4A4A4A"/>
                <w:sz w:val="20"/>
                <w:szCs w:val="20"/>
              </w:rPr>
              <w:t xml:space="preserve">10–15 patient-derived organoid lines (mixed tumor types)</w:t>
            </w:r>
          </w:p>
        </w:tc>
      </w:tr>
      <w:tr>
        <w:tc>
          <w:tcPr>
            <w:tcW w:type="dxa" w:w="2200"/>
            <w:tcBorders>
              <w:top w:val="single" w:color="DDDDDD" w:sz="1"/>
              <w:left w:val="single" w:color="DDDDDD" w:sz="1"/>
              <w:bottom w:val="single" w:color="DDDDDD" w:sz="1"/>
              <w:right w:val="single" w:color="DDDDDD" w:sz="1"/>
            </w:tcBorders>
            <w:shd w:fill="F8FAFF" w:val="clear"/>
            <w:tcMar>
              <w:top w:type="dxa" w:w="100"/>
              <w:left w:type="dxa" w:w="180"/>
              <w:bottom w:type="dxa" w:w="100"/>
              <w:right w:type="dxa" w:w="180"/>
            </w:tcMar>
          </w:tcPr>
          <w:p>
            <w:r>
              <w:rPr>
                <w:rFonts w:ascii="Arial" w:cs="Arial" w:eastAsia="Arial" w:hAnsi="Arial"/>
                <w:b/>
                <w:bCs/>
                <w:color w:val="1B3A6B"/>
                <w:sz w:val="20"/>
                <w:szCs w:val="20"/>
              </w:rPr>
              <w:t xml:space="preserve">Document Date</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color w:val="4A4A4A"/>
                <w:sz w:val="20"/>
                <w:szCs w:val="20"/>
              </w:rPr>
              <w:t xml:space="preserve">March 5, 2026</w:t>
            </w:r>
          </w:p>
        </w:tc>
      </w:tr>
    </w:tbl>
    <w:p>
      <w:pPr>
        <w:spacing w:before="400" w:after="0"/>
      </w:pPr>
      <w:r>
        <w:t xml:space="preserve"/>
      </w:r>
    </w:p>
    <w:p>
      <w:r>
        <w:br w:type="page"/>
      </w:r>
    </w:p>
    <w:p>
      <w:pPr>
        <w:pStyle w:val="Heading1"/>
        <w:spacing w:before="360" w:after="120"/>
      </w:pPr>
      <w:r>
        <w:rPr>
          <w:rFonts w:ascii="Arial" w:cs="Arial" w:eastAsia="Arial" w:hAnsi="Arial"/>
          <w:b/>
          <w:bCs/>
          <w:color w:val="1B3A6B"/>
          <w:sz w:val="36"/>
          <w:szCs w:val="36"/>
        </w:rPr>
        <w:t xml:space="preserve">Executive Summary</w:t>
      </w:r>
    </w:p>
    <w:p>
      <w:pPr>
        <w:pBdr>
          <w:bottom w:val="single" w:color="2E6DB4" w:sz="4"/>
        </w:pBdr>
        <w:spacing w:before="160" w:after="160"/>
      </w:pPr>
      <w:r>
        <w:t xml:space="preserve"/>
      </w:r>
    </w:p>
    <w:p>
      <w:pPr>
        <w:spacing w:before="80" w:after="120"/>
      </w:pPr>
      <w:r>
        <w:rPr>
          <w:rFonts w:ascii="Arial" w:cs="Arial" w:eastAsia="Arial" w:hAnsi="Arial"/>
          <w:color w:val="4A4A4A"/>
          <w:sz w:val="22"/>
          <w:szCs w:val="22"/>
        </w:rPr>
        <w:t xml:space="preserve">Patient-derived organoids (PDOs) are three-dimensional, self-organizing tissue cultures that closely recapitulate the architecture, molecular identity, and drug-response profiles of their tumor or tissue-of-origin. They have emerged as powerful pre-clinical models for oncology drug discovery, biomarker validation, and personalized medicine. However, like all cell-based models, PDOs are susceptible to culture-induced changes — collectively termed "temporal drift" — that may silently erode their fidelity to the source tissue over time.</w:t>
      </w:r>
    </w:p>
    <w:p>
      <w:pPr>
        <w:spacing w:before="60" w:after="0"/>
      </w:pPr>
      <w:r>
        <w:t xml:space="preserve"/>
      </w:r>
    </w:p>
    <w:p>
      <w:pPr>
        <w:spacing w:before="80" w:after="120"/>
      </w:pPr>
      <w:r>
        <w:rPr>
          <w:rFonts w:ascii="Arial" w:cs="Arial" w:eastAsia="Arial" w:hAnsi="Arial"/>
          <w:color w:val="4A4A4A"/>
          <w:sz w:val="22"/>
          <w:szCs w:val="22"/>
        </w:rPr>
        <w:t xml:space="preserve">This project addresses a critical, undercharacterized threat to PDO-based research: systematic, time-dependent divergence at the genomic, transcriptomic, and functional levels. Drift may arise from clonal selection pressure, culture adaptation, epigenetic remodeling, stochastic mutation accumulation, or batch effects introduced by cryopreservation cycles. If left undetected, drift can generate irreproducible results, invalidate biomarker discovery efforts, and undermine the translational relevance of PDO-based drug screening.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EEF4FC" w:val="clear"/>
            <w:tcMar>
              <w:top w:type="dxa" w:w="160"/>
              <w:left w:type="dxa" w:w="240"/>
              <w:bottom w:type="dxa" w:w="160"/>
              <w:right w:type="dxa" w:w="240"/>
            </w:tcMar>
          </w:tcPr>
          <w:p>
            <w:pPr>
              <w:spacing w:before="0" w:after="100"/>
            </w:pPr>
            <w:r>
              <w:rPr>
                <w:rFonts w:ascii="Arial" w:cs="Arial" w:eastAsia="Arial" w:hAnsi="Arial"/>
                <w:b/>
                <w:bCs/>
                <w:color w:val="1B3A6B"/>
                <w:sz w:val="22"/>
                <w:szCs w:val="22"/>
              </w:rPr>
              <w:t xml:space="preserve">Three Core Research Questions This Project Will Answer:</w:t>
            </w:r>
          </w:p>
          <w:p>
            <w:pPr>
              <w:pStyle w:val="ListParagraph"/>
              <w:numPr>
                <w:ilvl w:val="0"/>
                <w:numId w:val="2"/>
              </w:numPr>
              <w:spacing w:before="50" w:after="50"/>
            </w:pPr>
            <w:r>
              <w:rPr>
                <w:rFonts w:ascii="Arial" w:cs="Arial" w:eastAsia="Arial" w:hAnsi="Arial"/>
                <w:color w:val="333333"/>
                <w:sz w:val="20"/>
                <w:szCs w:val="20"/>
              </w:rPr>
              <w:t xml:space="preserve">How do PDO lines evolve genetically and transcriptionally across serial passages (P2–P20+)?</w:t>
            </w:r>
          </w:p>
          <w:p>
            <w:pPr>
              <w:pStyle w:val="ListParagraph"/>
              <w:numPr>
                <w:ilvl w:val="0"/>
                <w:numId w:val="2"/>
              </w:numPr>
              <w:spacing w:before="50" w:after="50"/>
            </w:pPr>
            <w:r>
              <w:rPr>
                <w:rFonts w:ascii="Arial" w:cs="Arial" w:eastAsia="Arial" w:hAnsi="Arial"/>
                <w:color w:val="333333"/>
                <w:sz w:val="20"/>
                <w:szCs w:val="20"/>
              </w:rPr>
              <w:t xml:space="preserve">Why do certain PDO lines proliferate faster, and what molecular programs underpin differential growth kinetics?</w:t>
            </w:r>
          </w:p>
          <w:p>
            <w:pPr>
              <w:pStyle w:val="ListParagraph"/>
              <w:numPr>
                <w:ilvl w:val="0"/>
                <w:numId w:val="2"/>
              </w:numPr>
              <w:spacing w:before="50" w:after="50"/>
            </w:pPr>
            <w:r>
              <w:rPr>
                <w:rFonts w:ascii="Arial" w:cs="Arial" w:eastAsia="Arial" w:hAnsi="Arial"/>
                <w:color w:val="333333"/>
                <w:sz w:val="20"/>
                <w:szCs w:val="20"/>
              </w:rPr>
              <w:t xml:space="preserve">Does freeze-thaw cycling introduce quantifiable molecular or functional perturbations that persist beyond initial recovery?</w:t>
            </w:r>
          </w:p>
        </w:tc>
      </w:tr>
    </w:tbl>
    <w:p>
      <w:pPr>
        <w:spacing w:before="160" w:after="0"/>
      </w:pPr>
      <w:r>
        <w:t xml:space="preserve"/>
      </w:r>
    </w:p>
    <w:p>
      <w:pPr>
        <w:spacing w:before="80" w:after="120"/>
      </w:pPr>
      <w:r>
        <w:rPr>
          <w:rFonts w:ascii="Arial" w:cs="Arial" w:eastAsia="Arial" w:hAnsi="Arial"/>
          <w:color w:val="4A4A4A"/>
          <w:sz w:val="22"/>
          <w:szCs w:val="22"/>
        </w:rPr>
        <w:t xml:space="preserve">The project integrates whole-exome sequencing (WES), RNA-sequencing (RNA-seq), reduced-representation bisulfite sequencing (RRBS), high-content imaging, viability assays, and multi-drug pharmacological profiling into a unified, time-resolved analytical framework. All data will be deposited into a curated PDO biobank registry with passage-resolved molecular fingerprints, enabling retroactive QC and cross-study comparisons.</w:t>
      </w:r>
    </w:p>
    <w:p>
      <w:pPr>
        <w:spacing w:before="80" w:after="0"/>
      </w:pPr>
      <w:r>
        <w:t xml:space="preserve"/>
      </w:r>
    </w:p>
    <w:p>
      <w:r>
        <w:br w:type="page"/>
      </w:r>
    </w:p>
    <w:p>
      <w:pPr>
        <w:pStyle w:val="Heading1"/>
        <w:spacing w:before="360" w:after="120"/>
      </w:pPr>
      <w:r>
        <w:rPr>
          <w:rFonts w:ascii="Arial" w:cs="Arial" w:eastAsia="Arial" w:hAnsi="Arial"/>
          <w:b/>
          <w:bCs/>
          <w:color w:val="1B3A6B"/>
          <w:sz w:val="36"/>
          <w:szCs w:val="36"/>
        </w:rPr>
        <w:t xml:space="preserve">1. Scientific Background &amp; Rationale</w:t>
      </w:r>
    </w:p>
    <w:p>
      <w:pPr>
        <w:pBdr>
          <w:bottom w:val="single" w:color="2E6DB4" w:sz="4"/>
        </w:pBdr>
        <w:spacing w:before="160" w:after="160"/>
      </w:pPr>
      <w:r>
        <w:t xml:space="preserve"/>
      </w:r>
    </w:p>
    <w:p>
      <w:pPr>
        <w:pStyle w:val="Heading2"/>
        <w:spacing w:before="360" w:after="120"/>
      </w:pPr>
      <w:r>
        <w:rPr>
          <w:rFonts w:ascii="Arial" w:cs="Arial" w:eastAsia="Arial" w:hAnsi="Arial"/>
          <w:b/>
          <w:bCs/>
          <w:color w:val="2E6DB4"/>
          <w:sz w:val="30"/>
          <w:szCs w:val="30"/>
        </w:rPr>
        <w:t xml:space="preserve">1.1  PDOs as Pre-clinical Models</w:t>
      </w:r>
    </w:p>
    <w:p>
      <w:pPr>
        <w:spacing w:before="80" w:after="120"/>
      </w:pPr>
      <w:r>
        <w:rPr>
          <w:rFonts w:ascii="Arial" w:cs="Arial" w:eastAsia="Arial" w:hAnsi="Arial"/>
          <w:color w:val="4A4A4A"/>
          <w:sz w:val="22"/>
          <w:szCs w:val="22"/>
        </w:rPr>
        <w:t xml:space="preserve">PDOs are derived from primary patient biopsies, surgical resections, or circulating tumor cells. When embedded in extracellular matrix (e.g., Matrigel or BME) and cultured in defined growth factor media, they self-organize into three-dimensional structures that preserve histological architecture, molecular heterogeneity, and importantly, drug sensitivity profiles that correlate with in vivo patient outcomes.</w:t>
      </w:r>
    </w:p>
    <w:p>
      <w:pPr>
        <w:spacing w:before="80" w:after="120"/>
      </w:pPr>
      <w:r>
        <w:rPr>
          <w:rFonts w:ascii="Arial" w:cs="Arial" w:eastAsia="Arial" w:hAnsi="Arial"/>
          <w:color w:val="4A4A4A"/>
          <w:sz w:val="22"/>
          <w:szCs w:val="22"/>
        </w:rPr>
        <w:t xml:space="preserve">Published studies across colorectal, pancreatic, breast, lung, and prostate cancers have demonstrated that PDO pharmacological responses mirror patient responses with positive predictive values of 70–90%. This has catalyzed widespread adoption of PDOs in co-clinical trials, precision oncology pipelines, and large-scale compound screening platforms.</w:t>
      </w:r>
    </w:p>
    <w:p>
      <w:pPr>
        <w:spacing w:before="80" w:after="0"/>
      </w:pPr>
      <w:r>
        <w:t xml:space="preserve"/>
      </w:r>
    </w:p>
    <w:p>
      <w:pPr>
        <w:pStyle w:val="Heading2"/>
        <w:spacing w:before="360" w:after="120"/>
      </w:pPr>
      <w:r>
        <w:rPr>
          <w:rFonts w:ascii="Arial" w:cs="Arial" w:eastAsia="Arial" w:hAnsi="Arial"/>
          <w:b/>
          <w:bCs/>
          <w:color w:val="2E6DB4"/>
          <w:sz w:val="30"/>
          <w:szCs w:val="30"/>
        </w:rPr>
        <w:t xml:space="preserve">1.2  The Problem of Temporal Drift</w:t>
      </w:r>
    </w:p>
    <w:p>
      <w:pPr>
        <w:spacing w:before="80" w:after="120"/>
      </w:pPr>
      <w:r>
        <w:rPr>
          <w:rFonts w:ascii="Arial" w:cs="Arial" w:eastAsia="Arial" w:hAnsi="Arial"/>
          <w:color w:val="4A4A4A"/>
          <w:sz w:val="22"/>
          <w:szCs w:val="22"/>
        </w:rPr>
        <w:t xml:space="preserve">Despite their promise, PDOs are living cultures subject to the evolutionary pressures inherent in any proliferating cell population. Unlike isogenic cell lines, PDOs begin as complex, heterogeneous mixtures of cells. Over time, subclones with proliferative advantages selectively dominate the culture — a process entirely analogous to Darwinian selection operating at the culture level.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2E6DB4" w:sz="1"/>
              <w:left w:val="single" w:color="2E6DB4" w:sz="1"/>
              <w:bottom w:val="single" w:color="2E6DB4" w:sz="1"/>
              <w:right w:val="single" w:color="2E6DB4" w:sz="1"/>
            </w:tcBorders>
            <w:shd w:fill="EEF4FC" w:val="clear"/>
            <w:tcMar>
              <w:top w:type="dxa" w:w="160"/>
              <w:left w:type="dxa" w:w="220"/>
              <w:bottom w:type="dxa" w:w="160"/>
              <w:right w:type="dxa" w:w="220"/>
            </w:tcMar>
          </w:tcPr>
          <w:p>
            <w:pPr>
              <w:spacing w:before="0" w:after="100"/>
            </w:pPr>
            <w:r>
              <w:rPr>
                <w:rFonts w:ascii="Arial" w:cs="Arial" w:eastAsia="Arial" w:hAnsi="Arial"/>
                <w:b/>
                <w:bCs/>
                <w:color w:val="1B3A6B"/>
                <w:sz w:val="22"/>
                <w:szCs w:val="22"/>
              </w:rPr>
              <w:t xml:space="preserve">Known Sources of Genomic Drift</w:t>
            </w:r>
          </w:p>
          <w:p>
            <w:pPr>
              <w:pStyle w:val="ListParagraph"/>
              <w:numPr>
                <w:ilvl w:val="0"/>
                <w:numId w:val="2"/>
              </w:numPr>
              <w:spacing w:before="60" w:after="60"/>
            </w:pPr>
            <w:r>
              <w:rPr>
                <w:rFonts w:ascii="Arial" w:cs="Arial" w:eastAsia="Arial" w:hAnsi="Arial"/>
                <w:color w:val="4A4A4A"/>
                <w:sz w:val="22"/>
                <w:szCs w:val="22"/>
              </w:rPr>
              <w:t xml:space="preserve">Clonal selection of fast-growing subpopulations</w:t>
            </w:r>
          </w:p>
          <w:p>
            <w:pPr>
              <w:pStyle w:val="ListParagraph"/>
              <w:numPr>
                <w:ilvl w:val="0"/>
                <w:numId w:val="2"/>
              </w:numPr>
              <w:spacing w:before="60" w:after="60"/>
            </w:pPr>
            <w:r>
              <w:rPr>
                <w:rFonts w:ascii="Arial" w:cs="Arial" w:eastAsia="Arial" w:hAnsi="Arial"/>
                <w:color w:val="4A4A4A"/>
                <w:sz w:val="22"/>
                <w:szCs w:val="22"/>
              </w:rPr>
              <w:t xml:space="preserve">De novo somatic mutations from replication errors</w:t>
            </w:r>
          </w:p>
          <w:p>
            <w:pPr>
              <w:pStyle w:val="ListParagraph"/>
              <w:numPr>
                <w:ilvl w:val="0"/>
                <w:numId w:val="2"/>
              </w:numPr>
              <w:spacing w:before="60" w:after="60"/>
            </w:pPr>
            <w:r>
              <w:rPr>
                <w:rFonts w:ascii="Arial" w:cs="Arial" w:eastAsia="Arial" w:hAnsi="Arial"/>
                <w:color w:val="4A4A4A"/>
                <w:sz w:val="22"/>
                <w:szCs w:val="22"/>
              </w:rPr>
              <w:t xml:space="preserve">Copy number alterations under in vitro pressure</w:t>
            </w:r>
          </w:p>
          <w:p>
            <w:pPr>
              <w:pStyle w:val="ListParagraph"/>
              <w:numPr>
                <w:ilvl w:val="0"/>
                <w:numId w:val="2"/>
              </w:numPr>
              <w:spacing w:before="60" w:after="60"/>
            </w:pPr>
            <w:r>
              <w:rPr>
                <w:rFonts w:ascii="Arial" w:cs="Arial" w:eastAsia="Arial" w:hAnsi="Arial"/>
                <w:color w:val="4A4A4A"/>
                <w:sz w:val="22"/>
                <w:szCs w:val="22"/>
              </w:rPr>
              <w:t xml:space="preserve">Loss of heterozygosity at tumor suppressor loci</w:t>
            </w:r>
          </w:p>
          <w:p>
            <w:pPr>
              <w:pStyle w:val="ListParagraph"/>
              <w:numPr>
                <w:ilvl w:val="0"/>
                <w:numId w:val="2"/>
              </w:numPr>
              <w:spacing w:before="60" w:after="60"/>
            </w:pPr>
            <w:r>
              <w:rPr>
                <w:rFonts w:ascii="Arial" w:cs="Arial" w:eastAsia="Arial" w:hAnsi="Arial"/>
                <w:color w:val="4A4A4A"/>
                <w:sz w:val="22"/>
                <w:szCs w:val="22"/>
              </w:rPr>
              <w:t xml:space="preserve">Chromosomal instability events (CIN)</w:t>
            </w:r>
          </w:p>
          <w:p>
            <w:pPr>
              <w:pStyle w:val="ListParagraph"/>
              <w:numPr>
                <w:ilvl w:val="0"/>
                <w:numId w:val="2"/>
              </w:numPr>
              <w:spacing w:before="60" w:after="60"/>
            </w:pPr>
            <w:r>
              <w:rPr>
                <w:rFonts w:ascii="Arial" w:cs="Arial" w:eastAsia="Arial" w:hAnsi="Arial"/>
                <w:color w:val="4A4A4A"/>
                <w:sz w:val="22"/>
                <w:szCs w:val="22"/>
              </w:rPr>
              <w:t xml:space="preserve">Culture medium adaptation driving selection</w:t>
            </w:r>
          </w:p>
        </w:tc>
        <w:tc>
          <w:tcPr>
            <w:tcW w:type="dxa" w:w="4580"/>
            <w:tcBorders>
              <w:top w:val="single" w:color="1A7A6E" w:sz="1"/>
              <w:left w:val="single" w:color="1A7A6E" w:sz="1"/>
              <w:bottom w:val="single" w:color="1A7A6E" w:sz="1"/>
              <w:right w:val="single" w:color="1A7A6E" w:sz="1"/>
            </w:tcBorders>
            <w:shd w:fill="D0EFEC" w:val="clear"/>
            <w:tcMar>
              <w:top w:type="dxa" w:w="160"/>
              <w:left w:type="dxa" w:w="220"/>
              <w:bottom w:type="dxa" w:w="160"/>
              <w:right w:type="dxa" w:w="220"/>
            </w:tcMar>
          </w:tcPr>
          <w:p>
            <w:pPr>
              <w:spacing w:before="0" w:after="100"/>
            </w:pPr>
            <w:r>
              <w:rPr>
                <w:rFonts w:ascii="Arial" w:cs="Arial" w:eastAsia="Arial" w:hAnsi="Arial"/>
                <w:b/>
                <w:bCs/>
                <w:color w:val="1A7A6E"/>
                <w:sz w:val="22"/>
                <w:szCs w:val="22"/>
              </w:rPr>
              <w:t xml:space="preserve">Known Sources of Transcriptomic Drift</w:t>
            </w:r>
          </w:p>
          <w:p>
            <w:pPr>
              <w:pStyle w:val="ListParagraph"/>
              <w:numPr>
                <w:ilvl w:val="0"/>
                <w:numId w:val="2"/>
              </w:numPr>
              <w:spacing w:before="60" w:after="60"/>
            </w:pPr>
            <w:r>
              <w:rPr>
                <w:rFonts w:ascii="Arial" w:cs="Arial" w:eastAsia="Arial" w:hAnsi="Arial"/>
                <w:color w:val="4A4A4A"/>
                <w:sz w:val="22"/>
                <w:szCs w:val="22"/>
              </w:rPr>
              <w:t xml:space="preserve">Epigenetic remodeling (promoter methylation shifts)</w:t>
            </w:r>
          </w:p>
          <w:p>
            <w:pPr>
              <w:pStyle w:val="ListParagraph"/>
              <w:numPr>
                <w:ilvl w:val="0"/>
                <w:numId w:val="2"/>
              </w:numPr>
              <w:spacing w:before="60" w:after="60"/>
            </w:pPr>
            <w:r>
              <w:rPr>
                <w:rFonts w:ascii="Arial" w:cs="Arial" w:eastAsia="Arial" w:hAnsi="Arial"/>
                <w:color w:val="4A4A4A"/>
                <w:sz w:val="22"/>
                <w:szCs w:val="22"/>
              </w:rPr>
              <w:t xml:space="preserve">Loss of stromal/immune signaling inputs in vitro</w:t>
            </w:r>
          </w:p>
          <w:p>
            <w:pPr>
              <w:pStyle w:val="ListParagraph"/>
              <w:numPr>
                <w:ilvl w:val="0"/>
                <w:numId w:val="2"/>
              </w:numPr>
              <w:spacing w:before="60" w:after="60"/>
            </w:pPr>
            <w:r>
              <w:rPr>
                <w:rFonts w:ascii="Arial" w:cs="Arial" w:eastAsia="Arial" w:hAnsi="Arial"/>
                <w:color w:val="4A4A4A"/>
                <w:sz w:val="22"/>
                <w:szCs w:val="22"/>
              </w:rPr>
              <w:t xml:space="preserve">Culture medium composition driving transcriptional state</w:t>
            </w:r>
          </w:p>
          <w:p>
            <w:pPr>
              <w:pStyle w:val="ListParagraph"/>
              <w:numPr>
                <w:ilvl w:val="0"/>
                <w:numId w:val="2"/>
              </w:numPr>
              <w:spacing w:before="60" w:after="60"/>
            </w:pPr>
            <w:r>
              <w:rPr>
                <w:rFonts w:ascii="Arial" w:cs="Arial" w:eastAsia="Arial" w:hAnsi="Arial"/>
                <w:color w:val="4A4A4A"/>
                <w:sz w:val="22"/>
                <w:szCs w:val="22"/>
              </w:rPr>
              <w:t xml:space="preserve">Hypoxia-induced transcriptional reprogramming</w:t>
            </w:r>
          </w:p>
          <w:p>
            <w:pPr>
              <w:pStyle w:val="ListParagraph"/>
              <w:numPr>
                <w:ilvl w:val="0"/>
                <w:numId w:val="2"/>
              </w:numPr>
              <w:spacing w:before="60" w:after="60"/>
            </w:pPr>
            <w:r>
              <w:rPr>
                <w:rFonts w:ascii="Arial" w:cs="Arial" w:eastAsia="Arial" w:hAnsi="Arial"/>
                <w:color w:val="4A4A4A"/>
                <w:sz w:val="22"/>
                <w:szCs w:val="22"/>
              </w:rPr>
              <w:t xml:space="preserve">EMT-like transitions under prolonged culture</w:t>
            </w:r>
          </w:p>
          <w:p>
            <w:pPr>
              <w:pStyle w:val="ListParagraph"/>
              <w:numPr>
                <w:ilvl w:val="0"/>
                <w:numId w:val="2"/>
              </w:numPr>
              <w:spacing w:before="60" w:after="60"/>
            </w:pPr>
            <w:r>
              <w:rPr>
                <w:rFonts w:ascii="Arial" w:cs="Arial" w:eastAsia="Arial" w:hAnsi="Arial"/>
                <w:color w:val="4A4A4A"/>
                <w:sz w:val="22"/>
                <w:szCs w:val="22"/>
              </w:rPr>
              <w:t xml:space="preserve">Non-cell-autonomous signaling disruption</w:t>
            </w:r>
          </w:p>
        </w:tc>
      </w:tr>
    </w:tbl>
    <w:p>
      <w:pPr>
        <w:spacing w:before="160" w:after="0"/>
      </w:pPr>
      <w:r>
        <w:t xml:space="preserve"/>
      </w:r>
    </w:p>
    <w:p>
      <w:pPr>
        <w:pStyle w:val="Heading2"/>
        <w:spacing w:before="360" w:after="120"/>
      </w:pPr>
      <w:r>
        <w:rPr>
          <w:rFonts w:ascii="Arial" w:cs="Arial" w:eastAsia="Arial" w:hAnsi="Arial"/>
          <w:b/>
          <w:bCs/>
          <w:color w:val="2E6DB4"/>
          <w:sz w:val="30"/>
          <w:szCs w:val="30"/>
        </w:rPr>
        <w:t xml:space="preserve">1.3  Gap in Current Knowledge</w:t>
      </w:r>
    </w:p>
    <w:p>
      <w:pPr>
        <w:spacing w:before="80" w:after="120"/>
      </w:pPr>
      <w:r>
        <w:rPr>
          <w:rFonts w:ascii="Arial" w:cs="Arial" w:eastAsia="Arial" w:hAnsi="Arial"/>
          <w:color w:val="4A4A4A"/>
          <w:sz w:val="22"/>
          <w:szCs w:val="22"/>
        </w:rPr>
        <w:t xml:space="preserve">While temporal drift is widely acknowledged as a concern among practitioners, the field lacks: (1) systematic, multi-omic characterization across a broad panel of PDO lines with matched clinical metadata; (2) defined passage thresholds beyond which drift becomes functionally significant; (3) standardized assay panels that can detect drift early; and (4) an understanding of how cryopreservation, a near-universal practice, contributes to molecular variation independent of passage number.</w:t>
      </w:r>
    </w:p>
    <w:p>
      <w:pPr>
        <w:spacing w:before="80" w:after="120"/>
      </w:pPr>
      <w:r>
        <w:rPr>
          <w:rFonts w:ascii="Arial" w:cs="Arial" w:eastAsia="Arial" w:hAnsi="Arial"/>
          <w:color w:val="4A4A4A"/>
          <w:sz w:val="22"/>
          <w:szCs w:val="22"/>
        </w:rPr>
        <w:t xml:space="preserve">This project fills these gaps by implementing a comprehensive, longitudinal monitoring framework grounded in rigorous multi-omic profiling.</w:t>
      </w:r>
    </w:p>
    <w:p>
      <w:pPr>
        <w:spacing w:before="80" w:after="0"/>
      </w:pPr>
      <w:r>
        <w:t xml:space="preserve"/>
      </w:r>
    </w:p>
    <w:p>
      <w:r>
        <w:br w:type="page"/>
      </w:r>
    </w:p>
    <w:p>
      <w:pPr>
        <w:pStyle w:val="Heading1"/>
        <w:spacing w:before="360" w:after="120"/>
      </w:pPr>
      <w:r>
        <w:rPr>
          <w:rFonts w:ascii="Arial" w:cs="Arial" w:eastAsia="Arial" w:hAnsi="Arial"/>
          <w:b/>
          <w:bCs/>
          <w:color w:val="1B3A6B"/>
          <w:sz w:val="36"/>
          <w:szCs w:val="36"/>
        </w:rPr>
        <w:t xml:space="preserve">2. Specific Aims</w:t>
      </w:r>
    </w:p>
    <w:p>
      <w:pPr>
        <w:pBdr>
          <w:bottom w:val="single" w:color="2E6DB4" w:sz="4"/>
        </w:pBdr>
        <w:spacing w:before="160" w:after="16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EEF4FC" w:val="clear"/>
            <w:tcMar>
              <w:top w:type="dxa" w:w="160"/>
              <w:left w:type="dxa" w:w="240"/>
              <w:bottom w:type="dxa" w:w="160"/>
              <w:right w:type="dxa" w:w="240"/>
            </w:tcMar>
          </w:tcPr>
          <w:p>
            <w:pPr>
              <w:spacing w:before="0" w:after="100"/>
            </w:pPr>
            <w:r>
              <w:rPr>
                <w:rFonts w:ascii="Arial" w:cs="Arial" w:eastAsia="Arial" w:hAnsi="Arial"/>
                <w:b/>
                <w:bCs/>
                <w:color w:val="1B3A6B"/>
                <w:sz w:val="22"/>
                <w:szCs w:val="22"/>
              </w:rPr>
              <w:t xml:space="preserve">Aim 1 — Genomic &amp; Epigenomic Drift Across Serial Passages</w:t>
            </w:r>
          </w:p>
          <w:p>
            <w:pPr>
              <w:pStyle w:val="ListParagraph"/>
              <w:numPr>
                <w:ilvl w:val="0"/>
                <w:numId w:val="2"/>
              </w:numPr>
              <w:spacing w:before="50" w:after="50"/>
            </w:pPr>
            <w:r>
              <w:rPr>
                <w:rFonts w:ascii="Arial" w:cs="Arial" w:eastAsia="Arial" w:hAnsi="Arial"/>
                <w:color w:val="333333"/>
                <w:sz w:val="20"/>
                <w:szCs w:val="20"/>
              </w:rPr>
              <w:t xml:space="preserve">Characterize somatic mutation trajectories, CNV evolution, and allele frequency shifts via WES at P2, P5, P10, P15, and P20</w:t>
            </w:r>
          </w:p>
          <w:p>
            <w:pPr>
              <w:pStyle w:val="ListParagraph"/>
              <w:numPr>
                <w:ilvl w:val="0"/>
                <w:numId w:val="2"/>
              </w:numPr>
              <w:spacing w:before="50" w:after="50"/>
            </w:pPr>
            <w:r>
              <w:rPr>
                <w:rFonts w:ascii="Arial" w:cs="Arial" w:eastAsia="Arial" w:hAnsi="Arial"/>
                <w:color w:val="333333"/>
                <w:sz w:val="20"/>
                <w:szCs w:val="20"/>
              </w:rPr>
              <w:t xml:space="preserve">Profile DNA methylation dynamics at key regulatory loci using RRBS at matched passage timepoints</w:t>
            </w:r>
          </w:p>
          <w:p>
            <w:pPr>
              <w:pStyle w:val="ListParagraph"/>
              <w:numPr>
                <w:ilvl w:val="0"/>
                <w:numId w:val="2"/>
              </w:numPr>
              <w:spacing w:before="50" w:after="50"/>
            </w:pPr>
            <w:r>
              <w:rPr>
                <w:rFonts w:ascii="Arial" w:cs="Arial" w:eastAsia="Arial" w:hAnsi="Arial"/>
                <w:color w:val="333333"/>
                <w:sz w:val="20"/>
                <w:szCs w:val="20"/>
              </w:rPr>
              <w:t xml:space="preserve">Identify genomic events that correlate with functional phenotype change (growth, drug sensitivity)</w:t>
            </w:r>
          </w:p>
          <w:p>
            <w:pPr>
              <w:pStyle w:val="ListParagraph"/>
              <w:numPr>
                <w:ilvl w:val="0"/>
                <w:numId w:val="2"/>
              </w:numPr>
              <w:spacing w:before="50" w:after="50"/>
            </w:pPr>
            <w:r>
              <w:rPr>
                <w:rFonts w:ascii="Arial" w:cs="Arial" w:eastAsia="Arial" w:hAnsi="Arial"/>
                <w:color w:val="333333"/>
                <w:sz w:val="20"/>
                <w:szCs w:val="20"/>
              </w:rPr>
              <w:t xml:space="preserve">Define passage thresholds at which genomic divergence exceeds 10% variant allele frequency shift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1"/>
              <w:left w:val="single" w:color="1A7A6E" w:sz="1"/>
              <w:bottom w:val="single" w:color="1A7A6E" w:sz="1"/>
              <w:right w:val="single" w:color="1A7A6E" w:sz="1"/>
            </w:tcBorders>
            <w:shd w:fill="D0EFEC" w:val="clear"/>
            <w:tcMar>
              <w:top w:type="dxa" w:w="160"/>
              <w:left w:type="dxa" w:w="240"/>
              <w:bottom w:type="dxa" w:w="160"/>
              <w:right w:type="dxa" w:w="240"/>
            </w:tcMar>
          </w:tcPr>
          <w:p>
            <w:pPr>
              <w:spacing w:before="0" w:after="100"/>
            </w:pPr>
            <w:r>
              <w:rPr>
                <w:rFonts w:ascii="Arial" w:cs="Arial" w:eastAsia="Arial" w:hAnsi="Arial"/>
                <w:b/>
                <w:bCs/>
                <w:color w:val="1A7A6E"/>
                <w:sz w:val="22"/>
                <w:szCs w:val="22"/>
              </w:rPr>
              <w:t xml:space="preserve">Aim 2 — Transcriptomic Drift &amp; Differential Growth Kinetics</w:t>
            </w:r>
          </w:p>
          <w:p>
            <w:pPr>
              <w:pStyle w:val="ListParagraph"/>
              <w:numPr>
                <w:ilvl w:val="0"/>
                <w:numId w:val="2"/>
              </w:numPr>
              <w:spacing w:before="50" w:after="50"/>
            </w:pPr>
            <w:r>
              <w:rPr>
                <w:rFonts w:ascii="Arial" w:cs="Arial" w:eastAsia="Arial" w:hAnsi="Arial"/>
                <w:color w:val="333333"/>
                <w:sz w:val="20"/>
                <w:szCs w:val="20"/>
              </w:rPr>
              <w:t xml:space="preserve">Perform bulk RNA-seq at P2, P5, P10, P15, and P20 for all PDO lines; apply single-cell RNA-seq at P5 and P15 for a subset of 5 lines</w:t>
            </w:r>
          </w:p>
          <w:p>
            <w:pPr>
              <w:pStyle w:val="ListParagraph"/>
              <w:numPr>
                <w:ilvl w:val="0"/>
                <w:numId w:val="2"/>
              </w:numPr>
              <w:spacing w:before="50" w:after="50"/>
            </w:pPr>
            <w:r>
              <w:rPr>
                <w:rFonts w:ascii="Arial" w:cs="Arial" w:eastAsia="Arial" w:hAnsi="Arial"/>
                <w:color w:val="333333"/>
                <w:sz w:val="20"/>
                <w:szCs w:val="20"/>
              </w:rPr>
              <w:t xml:space="preserve">Identify transcriptional programs associated with fast vs. slow growth phenotypes using differential expression and GSEA</w:t>
            </w:r>
          </w:p>
          <w:p>
            <w:pPr>
              <w:pStyle w:val="ListParagraph"/>
              <w:numPr>
                <w:ilvl w:val="0"/>
                <w:numId w:val="2"/>
              </w:numPr>
              <w:spacing w:before="50" w:after="50"/>
            </w:pPr>
            <w:r>
              <w:rPr>
                <w:rFonts w:ascii="Arial" w:cs="Arial" w:eastAsia="Arial" w:hAnsi="Arial"/>
                <w:color w:val="333333"/>
                <w:sz w:val="20"/>
                <w:szCs w:val="20"/>
              </w:rPr>
              <w:t xml:space="preserve">Map longitudinal changes in pathway activity (Wnt, MAPK, PI3K, EMT, cell cycle) across passages</w:t>
            </w:r>
          </w:p>
          <w:p>
            <w:pPr>
              <w:pStyle w:val="ListParagraph"/>
              <w:numPr>
                <w:ilvl w:val="0"/>
                <w:numId w:val="2"/>
              </w:numPr>
              <w:spacing w:before="50" w:after="50"/>
            </w:pPr>
            <w:r>
              <w:rPr>
                <w:rFonts w:ascii="Arial" w:cs="Arial" w:eastAsia="Arial" w:hAnsi="Arial"/>
                <w:color w:val="333333"/>
                <w:sz w:val="20"/>
                <w:szCs w:val="20"/>
              </w:rPr>
              <w:t xml:space="preserve">Correlate transcriptomic drift magnitude with tumor-of-origin, genomic complexity, and culture conditions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5C00" w:sz="1"/>
              <w:left w:val="single" w:color="C95C00" w:sz="1"/>
              <w:bottom w:val="single" w:color="C95C00" w:sz="1"/>
              <w:right w:val="single" w:color="C95C00" w:sz="1"/>
            </w:tcBorders>
            <w:shd w:fill="FAE6D5" w:val="clear"/>
            <w:tcMar>
              <w:top w:type="dxa" w:w="160"/>
              <w:left w:type="dxa" w:w="240"/>
              <w:bottom w:type="dxa" w:w="160"/>
              <w:right w:type="dxa" w:w="240"/>
            </w:tcMar>
          </w:tcPr>
          <w:p>
            <w:pPr>
              <w:spacing w:before="0" w:after="100"/>
            </w:pPr>
            <w:r>
              <w:rPr>
                <w:rFonts w:ascii="Arial" w:cs="Arial" w:eastAsia="Arial" w:hAnsi="Arial"/>
                <w:b/>
                <w:bCs/>
                <w:color w:val="C95C00"/>
                <w:sz w:val="22"/>
                <w:szCs w:val="22"/>
              </w:rPr>
              <w:t xml:space="preserve">Aim 3 — Molecular &amp; Functional Impact of Freeze-Thaw Cycling</w:t>
            </w:r>
          </w:p>
          <w:p>
            <w:pPr>
              <w:pStyle w:val="ListParagraph"/>
              <w:numPr>
                <w:ilvl w:val="0"/>
                <w:numId w:val="2"/>
              </w:numPr>
              <w:spacing w:before="50" w:after="50"/>
            </w:pPr>
            <w:r>
              <w:rPr>
                <w:rFonts w:ascii="Arial" w:cs="Arial" w:eastAsia="Arial" w:hAnsi="Arial"/>
                <w:color w:val="333333"/>
                <w:sz w:val="20"/>
                <w:szCs w:val="20"/>
              </w:rPr>
              <w:t xml:space="preserve">Systematically compare freshly passaged PDOs vs. post-thaw counterparts at matched passage using WES, RNA-seq, and functional assays</w:t>
            </w:r>
          </w:p>
          <w:p>
            <w:pPr>
              <w:pStyle w:val="ListParagraph"/>
              <w:numPr>
                <w:ilvl w:val="0"/>
                <w:numId w:val="2"/>
              </w:numPr>
              <w:spacing w:before="50" w:after="50"/>
            </w:pPr>
            <w:r>
              <w:rPr>
                <w:rFonts w:ascii="Arial" w:cs="Arial" w:eastAsia="Arial" w:hAnsi="Arial"/>
                <w:color w:val="333333"/>
                <w:sz w:val="20"/>
                <w:szCs w:val="20"/>
              </w:rPr>
              <w:t xml:space="preserve">Quantify viability, proliferation kinetics, morphological parameters, and drug sensitivity pre- vs. post-cryopreservation</w:t>
            </w:r>
          </w:p>
          <w:p>
            <w:pPr>
              <w:pStyle w:val="ListParagraph"/>
              <w:numPr>
                <w:ilvl w:val="0"/>
                <w:numId w:val="2"/>
              </w:numPr>
              <w:spacing w:before="50" w:after="50"/>
            </w:pPr>
            <w:r>
              <w:rPr>
                <w:rFonts w:ascii="Arial" w:cs="Arial" w:eastAsia="Arial" w:hAnsi="Arial"/>
                <w:color w:val="333333"/>
                <w:sz w:val="20"/>
                <w:szCs w:val="20"/>
              </w:rPr>
              <w:t xml:space="preserve">Identify transcriptional stress responses induced by freeze-thaw and determine their resolution kinetics</w:t>
            </w:r>
          </w:p>
          <w:p>
            <w:pPr>
              <w:pStyle w:val="ListParagraph"/>
              <w:numPr>
                <w:ilvl w:val="0"/>
                <w:numId w:val="2"/>
              </w:numPr>
              <w:spacing w:before="50" w:after="50"/>
            </w:pPr>
            <w:r>
              <w:rPr>
                <w:rFonts w:ascii="Arial" w:cs="Arial" w:eastAsia="Arial" w:hAnsi="Arial"/>
                <w:color w:val="333333"/>
                <w:sz w:val="20"/>
                <w:szCs w:val="20"/>
              </w:rPr>
              <w:t xml:space="preserve">Develop standardized recovery windows (24h, 48h, 72h, 7d) after thaw before functional assays may be conducted</w:t>
            </w:r>
          </w:p>
        </w:tc>
      </w:tr>
    </w:tbl>
    <w:p>
      <w:pPr>
        <w:spacing w:before="80" w:after="0"/>
      </w:pPr>
      <w:r>
        <w:t xml:space="preserve"/>
      </w:r>
    </w:p>
    <w:p>
      <w:r>
        <w:br w:type="page"/>
      </w:r>
    </w:p>
    <w:p>
      <w:pPr>
        <w:pStyle w:val="Heading1"/>
        <w:spacing w:before="360" w:after="120"/>
      </w:pPr>
      <w:r>
        <w:rPr>
          <w:rFonts w:ascii="Arial" w:cs="Arial" w:eastAsia="Arial" w:hAnsi="Arial"/>
          <w:b/>
          <w:bCs/>
          <w:color w:val="1B3A6B"/>
          <w:sz w:val="36"/>
          <w:szCs w:val="36"/>
        </w:rPr>
        <w:t xml:space="preserve">3. Experimental Design &amp; Methods</w:t>
      </w:r>
    </w:p>
    <w:p>
      <w:pPr>
        <w:pBdr>
          <w:bottom w:val="single" w:color="2E6DB4" w:sz="4"/>
        </w:pBdr>
        <w:spacing w:before="160" w:after="160"/>
      </w:pPr>
      <w:r>
        <w:t xml:space="preserve"/>
      </w:r>
    </w:p>
    <w:p>
      <w:pPr>
        <w:pStyle w:val="Heading2"/>
        <w:spacing w:before="360" w:after="120"/>
      </w:pPr>
      <w:r>
        <w:rPr>
          <w:rFonts w:ascii="Arial" w:cs="Arial" w:eastAsia="Arial" w:hAnsi="Arial"/>
          <w:b/>
          <w:bCs/>
          <w:color w:val="2E6DB4"/>
          <w:sz w:val="30"/>
          <w:szCs w:val="30"/>
        </w:rPr>
        <w:t xml:space="preserve">3.1  PDO Line Selection &amp; Establishment</w:t>
      </w:r>
    </w:p>
    <w:p>
      <w:pPr>
        <w:spacing w:before="80" w:after="120"/>
      </w:pPr>
      <w:r>
        <w:rPr>
          <w:rFonts w:ascii="Arial" w:cs="Arial" w:eastAsia="Arial" w:hAnsi="Arial"/>
          <w:color w:val="4A4A4A"/>
          <w:sz w:val="22"/>
          <w:szCs w:val="22"/>
        </w:rPr>
        <w:t xml:space="preserve">A panel of 10–15 PDO lines will be selected to maximize diversity across tumor type, genomic complexity, and growth rate. Target enrollment includes at least 3 lines per cancer type from colorectal, pancreatic, and non-small-cell lung carcinoma, plus additional lines from breast and gastric cancer.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Tumor Type</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Target Lines</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Growth Phenotype Mix</w:t>
            </w:r>
          </w:p>
        </w:tc>
        <w:tc>
          <w:tcPr>
            <w:tcW w:type="dxa" w:w="2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Tissue Source</w:t>
            </w:r>
          </w:p>
        </w:tc>
      </w:tr>
      <w:tr>
        <w:tc>
          <w:tcPr>
            <w:tcW w:type="dxa" w:w="28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Colorectal Carcinoma (CRC)</w:t>
            </w:r>
          </w:p>
        </w:tc>
        <w:tc>
          <w:tcPr>
            <w:tcW w:type="dxa" w:w="2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3–4 lines</w:t>
            </w:r>
          </w:p>
        </w:tc>
        <w:tc>
          <w:tcPr>
            <w:tcW w:type="dxa" w:w="2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Fast + Slow</w:t>
            </w:r>
          </w:p>
        </w:tc>
        <w:tc>
          <w:tcPr>
            <w:tcW w:type="dxa" w:w="25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Surgical resection / biopsy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Pancreatic Ductal Adenocarcinoma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3 lines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Slow + Moderate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EUS-FNA / surgical</w:t>
            </w:r>
          </w:p>
        </w:tc>
      </w:tr>
      <w:tr>
        <w:tc>
          <w:tcPr>
            <w:tcW w:type="dxa" w:w="28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Non-Small Cell Lung Cancer</w:t>
            </w:r>
          </w:p>
        </w:tc>
        <w:tc>
          <w:tcPr>
            <w:tcW w:type="dxa" w:w="2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3 lines</w:t>
            </w:r>
          </w:p>
        </w:tc>
        <w:tc>
          <w:tcPr>
            <w:tcW w:type="dxa" w:w="2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Mixed</w:t>
            </w:r>
          </w:p>
        </w:tc>
        <w:tc>
          <w:tcPr>
            <w:tcW w:type="dxa" w:w="25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Bronchoscopy / resection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Breast Carcinoma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2 lines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Fast + Slow</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Core needle biopsy</w:t>
            </w:r>
          </w:p>
        </w:tc>
      </w:tr>
      <w:tr>
        <w:tc>
          <w:tcPr>
            <w:tcW w:type="dxa" w:w="28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Gastric Carcinoma</w:t>
            </w:r>
          </w:p>
        </w:tc>
        <w:tc>
          <w:tcPr>
            <w:tcW w:type="dxa" w:w="2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2 lines</w:t>
            </w:r>
          </w:p>
        </w:tc>
        <w:tc>
          <w:tcPr>
            <w:tcW w:type="dxa" w:w="2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Mixed</w:t>
            </w:r>
          </w:p>
        </w:tc>
        <w:tc>
          <w:tcPr>
            <w:tcW w:type="dxa" w:w="25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Endoscopic biopsy</w:t>
            </w:r>
          </w:p>
        </w:tc>
      </w:tr>
    </w:tbl>
    <w:p>
      <w:pPr>
        <w:spacing w:before="160" w:after="0"/>
      </w:pPr>
      <w:r>
        <w:t xml:space="preserve"/>
      </w:r>
    </w:p>
    <w:p>
      <w:pPr>
        <w:pStyle w:val="Heading2"/>
        <w:spacing w:before="360" w:after="120"/>
      </w:pPr>
      <w:r>
        <w:rPr>
          <w:rFonts w:ascii="Arial" w:cs="Arial" w:eastAsia="Arial" w:hAnsi="Arial"/>
          <w:b/>
          <w:bCs/>
          <w:color w:val="2E6DB4"/>
          <w:sz w:val="30"/>
          <w:szCs w:val="30"/>
        </w:rPr>
        <w:t xml:space="preserve">3.2  Passage Regimen &amp; Sample Collection</w:t>
      </w:r>
    </w:p>
    <w:p>
      <w:pPr>
        <w:spacing w:before="80" w:after="120"/>
      </w:pPr>
      <w:r>
        <w:rPr>
          <w:rFonts w:ascii="Arial" w:cs="Arial" w:eastAsia="Arial" w:hAnsi="Arial"/>
          <w:color w:val="4A4A4A"/>
          <w:sz w:val="22"/>
          <w:szCs w:val="22"/>
        </w:rPr>
        <w:t xml:space="preserve">All PDO lines will be maintained under standardized, media-defined conditions specific to tumor type (e.g., IntestiCult, PancreaCult, PneumaCult) with weekly passaging. Samples for molecular assays will be harvested at predetermined passage numbers:</w:t>
      </w:r>
    </w:p>
    <w:p>
      <w:pPr>
        <w:spacing w:before="60" w:after="0"/>
      </w:pPr>
      <w:r>
        <w:t xml:space="preserve"/>
      </w:r>
    </w:p>
    <w:p>
      <w:pPr>
        <w:pStyle w:val="ListParagraph"/>
        <w:numPr>
          <w:ilvl w:val="0"/>
          <w:numId w:val="2"/>
        </w:numPr>
        <w:spacing w:before="60" w:after="60"/>
      </w:pPr>
      <w:r>
        <w:rPr>
          <w:rFonts w:ascii="Arial" w:cs="Arial" w:eastAsia="Arial" w:hAnsi="Arial"/>
          <w:color w:val="4A4A4A"/>
          <w:sz w:val="22"/>
          <w:szCs w:val="22"/>
        </w:rPr>
        <w:t xml:space="preserve">Baseline (P2)</w:t>
      </w:r>
      <w:r>
        <w:rPr>
          <w:rFonts w:ascii="Arial" w:cs="Arial" w:eastAsia="Arial" w:hAnsi="Arial"/>
          <w:i/>
          <w:iCs/>
          <w:color w:val="888888"/>
          <w:sz w:val="22"/>
          <w:szCs w:val="22"/>
        </w:rPr>
        <w:t xml:space="preserve"> — Early-passage reference; genomically closest to primary tumor</w:t>
      </w:r>
    </w:p>
    <w:p>
      <w:pPr>
        <w:pStyle w:val="ListParagraph"/>
        <w:numPr>
          <w:ilvl w:val="0"/>
          <w:numId w:val="2"/>
        </w:numPr>
        <w:spacing w:before="60" w:after="60"/>
      </w:pPr>
      <w:r>
        <w:rPr>
          <w:rFonts w:ascii="Arial" w:cs="Arial" w:eastAsia="Arial" w:hAnsi="Arial"/>
          <w:color w:val="4A4A4A"/>
          <w:sz w:val="22"/>
          <w:szCs w:val="22"/>
        </w:rPr>
        <w:t xml:space="preserve">P5, P10, P15, P20</w:t>
      </w:r>
      <w:r>
        <w:rPr>
          <w:rFonts w:ascii="Arial" w:cs="Arial" w:eastAsia="Arial" w:hAnsi="Arial"/>
          <w:i/>
          <w:iCs/>
          <w:color w:val="888888"/>
          <w:sz w:val="22"/>
          <w:szCs w:val="22"/>
        </w:rPr>
        <w:t xml:space="preserve"> — Serial passage timepoints; each harvested in triplicate</w:t>
      </w:r>
    </w:p>
    <w:p>
      <w:pPr>
        <w:pStyle w:val="ListParagraph"/>
        <w:numPr>
          <w:ilvl w:val="0"/>
          <w:numId w:val="2"/>
        </w:numPr>
        <w:spacing w:before="60" w:after="60"/>
      </w:pPr>
      <w:r>
        <w:rPr>
          <w:rFonts w:ascii="Arial" w:cs="Arial" w:eastAsia="Arial" w:hAnsi="Arial"/>
          <w:color w:val="4A4A4A"/>
          <w:sz w:val="22"/>
          <w:szCs w:val="22"/>
        </w:rPr>
        <w:t xml:space="preserve">Cryopreservation events at P5 and P10</w:t>
      </w:r>
      <w:r>
        <w:rPr>
          <w:rFonts w:ascii="Arial" w:cs="Arial" w:eastAsia="Arial" w:hAnsi="Arial"/>
          <w:i/>
          <w:iCs/>
          <w:color w:val="888888"/>
          <w:sz w:val="22"/>
          <w:szCs w:val="22"/>
        </w:rPr>
        <w:t xml:space="preserve"> — Freeze-thaw comparison at two biologically distinct passage stages</w:t>
      </w:r>
    </w:p>
    <w:p>
      <w:pPr>
        <w:pStyle w:val="ListParagraph"/>
        <w:numPr>
          <w:ilvl w:val="0"/>
          <w:numId w:val="2"/>
        </w:numPr>
        <w:spacing w:before="60" w:after="60"/>
      </w:pPr>
      <w:r>
        <w:rPr>
          <w:rFonts w:ascii="Arial" w:cs="Arial" w:eastAsia="Arial" w:hAnsi="Arial"/>
          <w:color w:val="4A4A4A"/>
          <w:sz w:val="22"/>
          <w:szCs w:val="22"/>
        </w:rPr>
        <w:t xml:space="preserve">Post-thaw recovery at 24h, 48h, 72h, and 7 days</w:t>
      </w:r>
      <w:r>
        <w:rPr>
          <w:rFonts w:ascii="Arial" w:cs="Arial" w:eastAsia="Arial" w:hAnsi="Arial"/>
          <w:i/>
          <w:iCs/>
          <w:color w:val="888888"/>
          <w:sz w:val="22"/>
          <w:szCs w:val="22"/>
        </w:rPr>
        <w:t xml:space="preserve"> — Time-course for freeze-thaw functional recovery assessment</w:t>
      </w:r>
    </w:p>
    <w:p>
      <w:pPr>
        <w:spacing w:before="80" w:after="0"/>
      </w:pPr>
      <w:r>
        <w:t xml:space="preserve"/>
      </w:r>
    </w:p>
    <w:p>
      <w:pPr>
        <w:spacing w:before="80" w:after="120"/>
      </w:pPr>
      <w:r>
        <w:rPr>
          <w:rFonts w:ascii="Arial" w:cs="Arial" w:eastAsia="Arial" w:hAnsi="Arial"/>
          <w:color w:val="4A4A4A"/>
          <w:sz w:val="22"/>
          <w:szCs w:val="22"/>
        </w:rPr>
        <w:t xml:space="preserve">At each timepoint, samples will be split into: (1) molecular profiling aliquots (snap-frozen in liquid N₂), (2) functional assay aliquots (live culture), and (3) biobank cryovials (DMSO-based cryopreservation). A minimum of 5×10⁶ cells per aliquot will be collected.</w:t>
      </w:r>
    </w:p>
    <w:p>
      <w:pPr>
        <w:spacing w:before="80" w:after="0"/>
      </w:pPr>
      <w:r>
        <w:t xml:space="preserve"/>
      </w:r>
    </w:p>
    <w:p>
      <w:pPr>
        <w:pStyle w:val="Heading2"/>
        <w:spacing w:before="360" w:after="120"/>
      </w:pPr>
      <w:r>
        <w:rPr>
          <w:rFonts w:ascii="Arial" w:cs="Arial" w:eastAsia="Arial" w:hAnsi="Arial"/>
          <w:b/>
          <w:bCs/>
          <w:color w:val="2E6DB4"/>
          <w:sz w:val="30"/>
          <w:szCs w:val="30"/>
        </w:rPr>
        <w:t xml:space="preserve">3.3  Genomic Profiling (Aim 1)</w:t>
      </w:r>
    </w:p>
    <w:p>
      <w:pPr>
        <w:pStyle w:val="Heading3"/>
        <w:spacing w:before="240" w:after="120"/>
      </w:pPr>
      <w:r>
        <w:rPr>
          <w:rFonts w:ascii="Arial" w:cs="Arial" w:eastAsia="Arial" w:hAnsi="Arial"/>
          <w:b/>
          <w:bCs/>
          <w:color w:val="1A7A6E"/>
          <w:sz w:val="26"/>
          <w:szCs w:val="26"/>
        </w:rPr>
        <w:t xml:space="preserve">3.3.1  Whole-Exome Sequencing (WES)</w:t>
      </w:r>
    </w:p>
    <w:p>
      <w:pPr>
        <w:pStyle w:val="ListParagraph"/>
        <w:numPr>
          <w:ilvl w:val="0"/>
          <w:numId w:val="2"/>
        </w:numPr>
        <w:spacing w:before="60" w:after="60"/>
      </w:pPr>
      <w:r>
        <w:rPr>
          <w:rFonts w:ascii="Arial" w:cs="Arial" w:eastAsia="Arial" w:hAnsi="Arial"/>
          <w:color w:val="4A4A4A"/>
          <w:sz w:val="22"/>
          <w:szCs w:val="22"/>
        </w:rPr>
        <w:t xml:space="preserve">Library preparation</w:t>
      </w:r>
      <w:r>
        <w:rPr>
          <w:rFonts w:ascii="Arial" w:cs="Arial" w:eastAsia="Arial" w:hAnsi="Arial"/>
          <w:i/>
          <w:iCs/>
          <w:color w:val="888888"/>
          <w:sz w:val="22"/>
          <w:szCs w:val="22"/>
        </w:rPr>
        <w:t xml:space="preserve"> — Agilent SureSelect Human All Exon v7 capture (51 Mb)</w:t>
      </w:r>
    </w:p>
    <w:p>
      <w:pPr>
        <w:pStyle w:val="ListParagraph"/>
        <w:numPr>
          <w:ilvl w:val="0"/>
          <w:numId w:val="2"/>
        </w:numPr>
        <w:spacing w:before="60" w:after="60"/>
      </w:pPr>
      <w:r>
        <w:rPr>
          <w:rFonts w:ascii="Arial" w:cs="Arial" w:eastAsia="Arial" w:hAnsi="Arial"/>
          <w:color w:val="4A4A4A"/>
          <w:sz w:val="22"/>
          <w:szCs w:val="22"/>
        </w:rPr>
        <w:t xml:space="preserve">Sequencing depth</w:t>
      </w:r>
      <w:r>
        <w:rPr>
          <w:rFonts w:ascii="Arial" w:cs="Arial" w:eastAsia="Arial" w:hAnsi="Arial"/>
          <w:i/>
          <w:iCs/>
          <w:color w:val="888888"/>
          <w:sz w:val="22"/>
          <w:szCs w:val="22"/>
        </w:rPr>
        <w:t xml:space="preserve"> — 150× mean target coverage; minimum 100× at all timepoints</w:t>
      </w:r>
    </w:p>
    <w:p>
      <w:pPr>
        <w:pStyle w:val="ListParagraph"/>
        <w:numPr>
          <w:ilvl w:val="0"/>
          <w:numId w:val="2"/>
        </w:numPr>
        <w:spacing w:before="60" w:after="60"/>
      </w:pPr>
      <w:r>
        <w:rPr>
          <w:rFonts w:ascii="Arial" w:cs="Arial" w:eastAsia="Arial" w:hAnsi="Arial"/>
          <w:color w:val="4A4A4A"/>
          <w:sz w:val="22"/>
          <w:szCs w:val="22"/>
        </w:rPr>
        <w:t xml:space="preserve">Platform</w:t>
      </w:r>
      <w:r>
        <w:rPr>
          <w:rFonts w:ascii="Arial" w:cs="Arial" w:eastAsia="Arial" w:hAnsi="Arial"/>
          <w:i/>
          <w:iCs/>
          <w:color w:val="888888"/>
          <w:sz w:val="22"/>
          <w:szCs w:val="22"/>
        </w:rPr>
        <w:t xml:space="preserve"> — Illumina NovaSeq X Plus (2×150 bp paired-end)</w:t>
      </w:r>
    </w:p>
    <w:p>
      <w:pPr>
        <w:pStyle w:val="ListParagraph"/>
        <w:numPr>
          <w:ilvl w:val="0"/>
          <w:numId w:val="2"/>
        </w:numPr>
        <w:spacing w:before="60" w:after="60"/>
      </w:pPr>
      <w:r>
        <w:rPr>
          <w:rFonts w:ascii="Arial" w:cs="Arial" w:eastAsia="Arial" w:hAnsi="Arial"/>
          <w:color w:val="4A4A4A"/>
          <w:sz w:val="22"/>
          <w:szCs w:val="22"/>
        </w:rPr>
        <w:t xml:space="preserve">Matched normal</w:t>
      </w:r>
      <w:r>
        <w:rPr>
          <w:rFonts w:ascii="Arial" w:cs="Arial" w:eastAsia="Arial" w:hAnsi="Arial"/>
          <w:i/>
          <w:iCs/>
          <w:color w:val="888888"/>
          <w:sz w:val="22"/>
          <w:szCs w:val="22"/>
        </w:rPr>
        <w:t xml:space="preserve"> — Patient-derived peripheral blood mononuclear cells (PBMCs) as germline reference</w:t>
      </w:r>
    </w:p>
    <w:p>
      <w:pPr>
        <w:pStyle w:val="ListParagraph"/>
        <w:numPr>
          <w:ilvl w:val="0"/>
          <w:numId w:val="2"/>
        </w:numPr>
        <w:spacing w:before="60" w:after="60"/>
      </w:pPr>
      <w:r>
        <w:rPr>
          <w:rFonts w:ascii="Arial" w:cs="Arial" w:eastAsia="Arial" w:hAnsi="Arial"/>
          <w:color w:val="4A4A4A"/>
          <w:sz w:val="22"/>
          <w:szCs w:val="22"/>
        </w:rPr>
        <w:t xml:space="preserve">Variant calling</w:t>
      </w:r>
      <w:r>
        <w:rPr>
          <w:rFonts w:ascii="Arial" w:cs="Arial" w:eastAsia="Arial" w:hAnsi="Arial"/>
          <w:i/>
          <w:iCs/>
          <w:color w:val="888888"/>
          <w:sz w:val="22"/>
          <w:szCs w:val="22"/>
        </w:rPr>
        <w:t xml:space="preserve"> — GATK4 MuTect2 somatic pipeline; ensemble variant calling with VarScan2 and Strelka2</w:t>
      </w:r>
    </w:p>
    <w:p>
      <w:pPr>
        <w:pStyle w:val="ListParagraph"/>
        <w:numPr>
          <w:ilvl w:val="0"/>
          <w:numId w:val="2"/>
        </w:numPr>
        <w:spacing w:before="60" w:after="60"/>
      </w:pPr>
      <w:r>
        <w:rPr>
          <w:rFonts w:ascii="Arial" w:cs="Arial" w:eastAsia="Arial" w:hAnsi="Arial"/>
          <w:color w:val="4A4A4A"/>
          <w:sz w:val="22"/>
          <w:szCs w:val="22"/>
        </w:rPr>
        <w:t xml:space="preserve">CNV analysis</w:t>
      </w:r>
      <w:r>
        <w:rPr>
          <w:rFonts w:ascii="Arial" w:cs="Arial" w:eastAsia="Arial" w:hAnsi="Arial"/>
          <w:i/>
          <w:iCs/>
          <w:color w:val="888888"/>
          <w:sz w:val="22"/>
          <w:szCs w:val="22"/>
        </w:rPr>
        <w:t xml:space="preserve"> — GATK4 CNV calling + GISTIC2.0 for recurrent focal events; allelic imbalance via FACETS</w:t>
      </w:r>
    </w:p>
    <w:p>
      <w:pPr>
        <w:pStyle w:val="ListParagraph"/>
        <w:numPr>
          <w:ilvl w:val="0"/>
          <w:numId w:val="2"/>
        </w:numPr>
        <w:spacing w:before="60" w:after="60"/>
      </w:pPr>
      <w:r>
        <w:rPr>
          <w:rFonts w:ascii="Arial" w:cs="Arial" w:eastAsia="Arial" w:hAnsi="Arial"/>
          <w:color w:val="4A4A4A"/>
          <w:sz w:val="22"/>
          <w:szCs w:val="22"/>
        </w:rPr>
        <w:t xml:space="preserve">Clonal architecture</w:t>
      </w:r>
      <w:r>
        <w:rPr>
          <w:rFonts w:ascii="Arial" w:cs="Arial" w:eastAsia="Arial" w:hAnsi="Arial"/>
          <w:i/>
          <w:iCs/>
          <w:color w:val="888888"/>
          <w:sz w:val="22"/>
          <w:szCs w:val="22"/>
        </w:rPr>
        <w:t xml:space="preserve"> — PyClone-VI for cancer cell fraction estimation and clonal evolution tracking</w:t>
      </w:r>
    </w:p>
    <w:p>
      <w:pPr>
        <w:spacing w:before="80" w:after="0"/>
      </w:pPr>
      <w:r>
        <w:t xml:space="preserve"/>
      </w:r>
    </w:p>
    <w:p>
      <w:pPr>
        <w:pStyle w:val="Heading3"/>
        <w:spacing w:before="240" w:after="120"/>
      </w:pPr>
      <w:r>
        <w:rPr>
          <w:rFonts w:ascii="Arial" w:cs="Arial" w:eastAsia="Arial" w:hAnsi="Arial"/>
          <w:b/>
          <w:bCs/>
          <w:color w:val="1A7A6E"/>
          <w:sz w:val="26"/>
          <w:szCs w:val="26"/>
        </w:rPr>
        <w:t xml:space="preserve">3.3.2  Reduced-Representation Bisulfite Sequencing (RRBS)</w:t>
      </w:r>
    </w:p>
    <w:p>
      <w:pPr>
        <w:pStyle w:val="ListParagraph"/>
        <w:numPr>
          <w:ilvl w:val="0"/>
          <w:numId w:val="2"/>
        </w:numPr>
        <w:spacing w:before="60" w:after="60"/>
      </w:pPr>
      <w:r>
        <w:rPr>
          <w:rFonts w:ascii="Arial" w:cs="Arial" w:eastAsia="Arial" w:hAnsi="Arial"/>
          <w:color w:val="4A4A4A"/>
          <w:sz w:val="22"/>
          <w:szCs w:val="22"/>
        </w:rPr>
        <w:t xml:space="preserve">Coverage</w:t>
      </w:r>
      <w:r>
        <w:rPr>
          <w:rFonts w:ascii="Arial" w:cs="Arial" w:eastAsia="Arial" w:hAnsi="Arial"/>
          <w:i/>
          <w:iCs/>
          <w:color w:val="888888"/>
          <w:sz w:val="22"/>
          <w:szCs w:val="22"/>
        </w:rPr>
        <w:t xml:space="preserve"> — ~4–5 million CpGs at &gt;10× per site</w:t>
      </w:r>
    </w:p>
    <w:p>
      <w:pPr>
        <w:pStyle w:val="ListParagraph"/>
        <w:numPr>
          <w:ilvl w:val="0"/>
          <w:numId w:val="2"/>
        </w:numPr>
        <w:spacing w:before="60" w:after="60"/>
      </w:pPr>
      <w:r>
        <w:rPr>
          <w:rFonts w:ascii="Arial" w:cs="Arial" w:eastAsia="Arial" w:hAnsi="Arial"/>
          <w:color w:val="4A4A4A"/>
          <w:sz w:val="22"/>
          <w:szCs w:val="22"/>
        </w:rPr>
        <w:t xml:space="preserve">Analysis</w:t>
      </w:r>
      <w:r>
        <w:rPr>
          <w:rFonts w:ascii="Arial" w:cs="Arial" w:eastAsia="Arial" w:hAnsi="Arial"/>
          <w:i/>
          <w:iCs/>
          <w:color w:val="888888"/>
          <w:sz w:val="22"/>
          <w:szCs w:val="22"/>
        </w:rPr>
        <w:t xml:space="preserve"> — Bismark alignment; MethylKit for differential methylation; GREAT for genomic annotation</w:t>
      </w:r>
    </w:p>
    <w:p>
      <w:pPr>
        <w:pStyle w:val="ListParagraph"/>
        <w:numPr>
          <w:ilvl w:val="0"/>
          <w:numId w:val="2"/>
        </w:numPr>
        <w:spacing w:before="60" w:after="60"/>
      </w:pPr>
      <w:r>
        <w:rPr>
          <w:rFonts w:ascii="Arial" w:cs="Arial" w:eastAsia="Arial" w:hAnsi="Arial"/>
          <w:color w:val="4A4A4A"/>
          <w:sz w:val="22"/>
          <w:szCs w:val="22"/>
        </w:rPr>
        <w:t xml:space="preserve">Focus regions</w:t>
      </w:r>
      <w:r>
        <w:rPr>
          <w:rFonts w:ascii="Arial" w:cs="Arial" w:eastAsia="Arial" w:hAnsi="Arial"/>
          <w:i/>
          <w:iCs/>
          <w:color w:val="888888"/>
          <w:sz w:val="22"/>
          <w:szCs w:val="22"/>
        </w:rPr>
        <w:t xml:space="preserve"> — Promoters, CpG islands, enhancers, repetitive element methylation</w:t>
      </w:r>
    </w:p>
    <w:p>
      <w:pPr>
        <w:spacing w:before="80" w:after="0"/>
      </w:pPr>
      <w:r>
        <w:t xml:space="preserve"/>
      </w:r>
    </w:p>
    <w:p>
      <w:pPr>
        <w:pStyle w:val="Heading2"/>
        <w:spacing w:before="360" w:after="120"/>
      </w:pPr>
      <w:r>
        <w:rPr>
          <w:rFonts w:ascii="Arial" w:cs="Arial" w:eastAsia="Arial" w:hAnsi="Arial"/>
          <w:b/>
          <w:bCs/>
          <w:color w:val="2E6DB4"/>
          <w:sz w:val="30"/>
          <w:szCs w:val="30"/>
        </w:rPr>
        <w:t xml:space="preserve">3.4  Transcriptomic Profiling (Aim 2)</w:t>
      </w:r>
    </w:p>
    <w:p>
      <w:pPr>
        <w:pStyle w:val="Heading3"/>
        <w:spacing w:before="240" w:after="120"/>
      </w:pPr>
      <w:r>
        <w:rPr>
          <w:rFonts w:ascii="Arial" w:cs="Arial" w:eastAsia="Arial" w:hAnsi="Arial"/>
          <w:b/>
          <w:bCs/>
          <w:color w:val="1A7A6E"/>
          <w:sz w:val="26"/>
          <w:szCs w:val="26"/>
        </w:rPr>
        <w:t xml:space="preserve">3.4.1  Bulk RNA-Sequencing</w:t>
      </w:r>
    </w:p>
    <w:p>
      <w:pPr>
        <w:pStyle w:val="ListParagraph"/>
        <w:numPr>
          <w:ilvl w:val="0"/>
          <w:numId w:val="2"/>
        </w:numPr>
        <w:spacing w:before="60" w:after="60"/>
      </w:pPr>
      <w:r>
        <w:rPr>
          <w:rFonts w:ascii="Arial" w:cs="Arial" w:eastAsia="Arial" w:hAnsi="Arial"/>
          <w:color w:val="4A4A4A"/>
          <w:sz w:val="22"/>
          <w:szCs w:val="22"/>
        </w:rPr>
        <w:t xml:space="preserve">Library</w:t>
      </w:r>
      <w:r>
        <w:rPr>
          <w:rFonts w:ascii="Arial" w:cs="Arial" w:eastAsia="Arial" w:hAnsi="Arial"/>
          <w:i/>
          <w:iCs/>
          <w:color w:val="888888"/>
          <w:sz w:val="22"/>
          <w:szCs w:val="22"/>
        </w:rPr>
        <w:t xml:space="preserve"> — Poly-A selected; TruSeq Stranded mRNA kit; ≥30M reads per sample</w:t>
      </w:r>
    </w:p>
    <w:p>
      <w:pPr>
        <w:pStyle w:val="ListParagraph"/>
        <w:numPr>
          <w:ilvl w:val="0"/>
          <w:numId w:val="2"/>
        </w:numPr>
        <w:spacing w:before="60" w:after="60"/>
      </w:pPr>
      <w:r>
        <w:rPr>
          <w:rFonts w:ascii="Arial" w:cs="Arial" w:eastAsia="Arial" w:hAnsi="Arial"/>
          <w:color w:val="4A4A4A"/>
          <w:sz w:val="22"/>
          <w:szCs w:val="22"/>
        </w:rPr>
        <w:t xml:space="preserve">Alignment</w:t>
      </w:r>
      <w:r>
        <w:rPr>
          <w:rFonts w:ascii="Arial" w:cs="Arial" w:eastAsia="Arial" w:hAnsi="Arial"/>
          <w:i/>
          <w:iCs/>
          <w:color w:val="888888"/>
          <w:sz w:val="22"/>
          <w:szCs w:val="22"/>
        </w:rPr>
        <w:t xml:space="preserve"> — STAR v2.7 + RSEM for quantification; DESeq2 for differential expression</w:t>
      </w:r>
    </w:p>
    <w:p>
      <w:pPr>
        <w:pStyle w:val="ListParagraph"/>
        <w:numPr>
          <w:ilvl w:val="0"/>
          <w:numId w:val="2"/>
        </w:numPr>
        <w:spacing w:before="60" w:after="60"/>
      </w:pPr>
      <w:r>
        <w:rPr>
          <w:rFonts w:ascii="Arial" w:cs="Arial" w:eastAsia="Arial" w:hAnsi="Arial"/>
          <w:color w:val="4A4A4A"/>
          <w:sz w:val="22"/>
          <w:szCs w:val="22"/>
        </w:rPr>
        <w:t xml:space="preserve">Pathway analysis</w:t>
      </w:r>
      <w:r>
        <w:rPr>
          <w:rFonts w:ascii="Arial" w:cs="Arial" w:eastAsia="Arial" w:hAnsi="Arial"/>
          <w:i/>
          <w:iCs/>
          <w:color w:val="888888"/>
          <w:sz w:val="22"/>
          <w:szCs w:val="22"/>
        </w:rPr>
        <w:t xml:space="preserve"> — GSEA with MSigDB Hallmark + C2/C6 collections; Gene Ontology enrichment</w:t>
      </w:r>
    </w:p>
    <w:p>
      <w:pPr>
        <w:pStyle w:val="ListParagraph"/>
        <w:numPr>
          <w:ilvl w:val="0"/>
          <w:numId w:val="2"/>
        </w:numPr>
        <w:spacing w:before="60" w:after="60"/>
      </w:pPr>
      <w:r>
        <w:rPr>
          <w:rFonts w:ascii="Arial" w:cs="Arial" w:eastAsia="Arial" w:hAnsi="Arial"/>
          <w:color w:val="4A4A4A"/>
          <w:sz w:val="22"/>
          <w:szCs w:val="22"/>
        </w:rPr>
        <w:t xml:space="preserve">Splicing</w:t>
      </w:r>
      <w:r>
        <w:rPr>
          <w:rFonts w:ascii="Arial" w:cs="Arial" w:eastAsia="Arial" w:hAnsi="Arial"/>
          <w:i/>
          <w:iCs/>
          <w:color w:val="888888"/>
          <w:sz w:val="22"/>
          <w:szCs w:val="22"/>
        </w:rPr>
        <w:t xml:space="preserve"> — rMATS for alternative splicing events; potential neoantigenic splice variants</w:t>
      </w:r>
    </w:p>
    <w:p>
      <w:pPr>
        <w:pStyle w:val="ListParagraph"/>
        <w:numPr>
          <w:ilvl w:val="0"/>
          <w:numId w:val="2"/>
        </w:numPr>
        <w:spacing w:before="60" w:after="60"/>
      </w:pPr>
      <w:r>
        <w:rPr>
          <w:rFonts w:ascii="Arial" w:cs="Arial" w:eastAsia="Arial" w:hAnsi="Arial"/>
          <w:color w:val="4A4A4A"/>
          <w:sz w:val="22"/>
          <w:szCs w:val="22"/>
        </w:rPr>
        <w:t xml:space="preserve">Fusion transcripts</w:t>
      </w:r>
      <w:r>
        <w:rPr>
          <w:rFonts w:ascii="Arial" w:cs="Arial" w:eastAsia="Arial" w:hAnsi="Arial"/>
          <w:i/>
          <w:iCs/>
          <w:color w:val="888888"/>
          <w:sz w:val="22"/>
          <w:szCs w:val="22"/>
        </w:rPr>
        <w:t xml:space="preserve"> — STAR-Fusion; validation by RT-PCR for high-confidence calls</w:t>
      </w:r>
    </w:p>
    <w:p>
      <w:pPr>
        <w:spacing w:before="80" w:after="0"/>
      </w:pPr>
      <w:r>
        <w:t xml:space="preserve"/>
      </w:r>
    </w:p>
    <w:p>
      <w:pPr>
        <w:pStyle w:val="Heading3"/>
        <w:spacing w:before="240" w:after="120"/>
      </w:pPr>
      <w:r>
        <w:rPr>
          <w:rFonts w:ascii="Arial" w:cs="Arial" w:eastAsia="Arial" w:hAnsi="Arial"/>
          <w:b/>
          <w:bCs/>
          <w:color w:val="1A7A6E"/>
          <w:sz w:val="26"/>
          <w:szCs w:val="26"/>
        </w:rPr>
        <w:t xml:space="preserve">3.4.2  Single-Cell RNA-Sequencing (scRNA-seq)</w:t>
      </w:r>
    </w:p>
    <w:p>
      <w:pPr>
        <w:spacing w:before="80" w:after="120"/>
      </w:pPr>
      <w:r>
        <w:rPr>
          <w:rFonts w:ascii="Arial" w:cs="Arial" w:eastAsia="Arial" w:hAnsi="Arial"/>
          <w:color w:val="4A4A4A"/>
          <w:sz w:val="22"/>
          <w:szCs w:val="22"/>
        </w:rPr>
        <w:t xml:space="preserve">Applied to 5 selected lines at P5 and P15 to characterize intra-culture heterogeneity and identify rare subpopulations driving drift.</w:t>
      </w:r>
    </w:p>
    <w:p>
      <w:pPr>
        <w:pStyle w:val="ListParagraph"/>
        <w:numPr>
          <w:ilvl w:val="0"/>
          <w:numId w:val="2"/>
        </w:numPr>
        <w:spacing w:before="60" w:after="60"/>
      </w:pPr>
      <w:r>
        <w:rPr>
          <w:rFonts w:ascii="Arial" w:cs="Arial" w:eastAsia="Arial" w:hAnsi="Arial"/>
          <w:color w:val="4A4A4A"/>
          <w:sz w:val="22"/>
          <w:szCs w:val="22"/>
        </w:rPr>
        <w:t xml:space="preserve">Platform</w:t>
      </w:r>
      <w:r>
        <w:rPr>
          <w:rFonts w:ascii="Arial" w:cs="Arial" w:eastAsia="Arial" w:hAnsi="Arial"/>
          <w:i/>
          <w:iCs/>
          <w:color w:val="888888"/>
          <w:sz w:val="22"/>
          <w:szCs w:val="22"/>
        </w:rPr>
        <w:t xml:space="preserve"> — 10x Genomics Chromium v3.1; target 8,000–10,000 cells per sample</w:t>
      </w:r>
    </w:p>
    <w:p>
      <w:pPr>
        <w:pStyle w:val="ListParagraph"/>
        <w:numPr>
          <w:ilvl w:val="0"/>
          <w:numId w:val="2"/>
        </w:numPr>
        <w:spacing w:before="60" w:after="60"/>
      </w:pPr>
      <w:r>
        <w:rPr>
          <w:rFonts w:ascii="Arial" w:cs="Arial" w:eastAsia="Arial" w:hAnsi="Arial"/>
          <w:color w:val="4A4A4A"/>
          <w:sz w:val="22"/>
          <w:szCs w:val="22"/>
        </w:rPr>
        <w:t xml:space="preserve">Analysis</w:t>
      </w:r>
      <w:r>
        <w:rPr>
          <w:rFonts w:ascii="Arial" w:cs="Arial" w:eastAsia="Arial" w:hAnsi="Arial"/>
          <w:i/>
          <w:iCs/>
          <w:color w:val="888888"/>
          <w:sz w:val="22"/>
          <w:szCs w:val="22"/>
        </w:rPr>
        <w:t xml:space="preserve"> — Seurat v5 pipeline: QC, normalization, dimensionality reduction (UMAP), clustering</w:t>
      </w:r>
    </w:p>
    <w:p>
      <w:pPr>
        <w:pStyle w:val="ListParagraph"/>
        <w:numPr>
          <w:ilvl w:val="0"/>
          <w:numId w:val="2"/>
        </w:numPr>
        <w:spacing w:before="60" w:after="60"/>
      </w:pPr>
      <w:r>
        <w:rPr>
          <w:rFonts w:ascii="Arial" w:cs="Arial" w:eastAsia="Arial" w:hAnsi="Arial"/>
          <w:color w:val="4A4A4A"/>
          <w:sz w:val="22"/>
          <w:szCs w:val="22"/>
        </w:rPr>
        <w:t xml:space="preserve">Trajectory</w:t>
      </w:r>
      <w:r>
        <w:rPr>
          <w:rFonts w:ascii="Arial" w:cs="Arial" w:eastAsia="Arial" w:hAnsi="Arial"/>
          <w:i/>
          <w:iCs/>
          <w:color w:val="888888"/>
          <w:sz w:val="22"/>
          <w:szCs w:val="22"/>
        </w:rPr>
        <w:t xml:space="preserve"> — Monocle3 pseudotime analysis for lineage inference</w:t>
      </w:r>
    </w:p>
    <w:p>
      <w:pPr>
        <w:pStyle w:val="ListParagraph"/>
        <w:numPr>
          <w:ilvl w:val="0"/>
          <w:numId w:val="2"/>
        </w:numPr>
        <w:spacing w:before="60" w:after="60"/>
      </w:pPr>
      <w:r>
        <w:rPr>
          <w:rFonts w:ascii="Arial" w:cs="Arial" w:eastAsia="Arial" w:hAnsi="Arial"/>
          <w:color w:val="4A4A4A"/>
          <w:sz w:val="22"/>
          <w:szCs w:val="22"/>
        </w:rPr>
        <w:t xml:space="preserve">Integration</w:t>
      </w:r>
      <w:r>
        <w:rPr>
          <w:rFonts w:ascii="Arial" w:cs="Arial" w:eastAsia="Arial" w:hAnsi="Arial"/>
          <w:i/>
          <w:iCs/>
          <w:color w:val="888888"/>
          <w:sz w:val="22"/>
          <w:szCs w:val="22"/>
        </w:rPr>
        <w:t xml:space="preserve"> — Harmony for batch correction across timepoints; CellChat for cell-cell communication</w:t>
      </w:r>
    </w:p>
    <w:p>
      <w:pPr>
        <w:spacing w:before="80" w:after="0"/>
      </w:pPr>
      <w:r>
        <w:t xml:space="preserve"/>
      </w:r>
    </w:p>
    <w:p>
      <w:pPr>
        <w:pStyle w:val="Heading2"/>
        <w:spacing w:before="360" w:after="120"/>
      </w:pPr>
      <w:r>
        <w:rPr>
          <w:rFonts w:ascii="Arial" w:cs="Arial" w:eastAsia="Arial" w:hAnsi="Arial"/>
          <w:b/>
          <w:bCs/>
          <w:color w:val="2E6DB4"/>
          <w:sz w:val="30"/>
          <w:szCs w:val="30"/>
        </w:rPr>
        <w:t xml:space="preserve">3.5  Functional Drift Assessment (Aim 3)</w:t>
      </w:r>
    </w:p>
    <w:p>
      <w:pPr>
        <w:pStyle w:val="Heading3"/>
        <w:spacing w:before="240" w:after="120"/>
      </w:pPr>
      <w:r>
        <w:rPr>
          <w:rFonts w:ascii="Arial" w:cs="Arial" w:eastAsia="Arial" w:hAnsi="Arial"/>
          <w:b/>
          <w:bCs/>
          <w:color w:val="1A7A6E"/>
          <w:sz w:val="26"/>
          <w:szCs w:val="26"/>
        </w:rPr>
        <w:t xml:space="preserve">3.5.1  Proliferation &amp; Growth Kinetics</w:t>
      </w:r>
    </w:p>
    <w:p>
      <w:pPr>
        <w:pStyle w:val="ListParagraph"/>
        <w:numPr>
          <w:ilvl w:val="0"/>
          <w:numId w:val="2"/>
        </w:numPr>
        <w:spacing w:before="60" w:after="60"/>
      </w:pPr>
      <w:r>
        <w:rPr>
          <w:rFonts w:ascii="Arial" w:cs="Arial" w:eastAsia="Arial" w:hAnsi="Arial"/>
          <w:color w:val="4A4A4A"/>
          <w:sz w:val="22"/>
          <w:szCs w:val="22"/>
        </w:rPr>
        <w:t xml:space="preserve">3D growth curves</w:t>
      </w:r>
      <w:r>
        <w:rPr>
          <w:rFonts w:ascii="Arial" w:cs="Arial" w:eastAsia="Arial" w:hAnsi="Arial"/>
          <w:i/>
          <w:iCs/>
          <w:color w:val="888888"/>
          <w:sz w:val="22"/>
          <w:szCs w:val="22"/>
        </w:rPr>
        <w:t xml:space="preserve"> — CellTiter-Glo 3D at 24h, 48h, 72h, 96h, 120h after re-seeding (n=6 replicates)</w:t>
      </w:r>
    </w:p>
    <w:p>
      <w:pPr>
        <w:pStyle w:val="ListParagraph"/>
        <w:numPr>
          <w:ilvl w:val="0"/>
          <w:numId w:val="2"/>
        </w:numPr>
        <w:spacing w:before="60" w:after="60"/>
      </w:pPr>
      <w:r>
        <w:rPr>
          <w:rFonts w:ascii="Arial" w:cs="Arial" w:eastAsia="Arial" w:hAnsi="Arial"/>
          <w:color w:val="4A4A4A"/>
          <w:sz w:val="22"/>
          <w:szCs w:val="22"/>
        </w:rPr>
        <w:t xml:space="preserve">Organoid size quantification</w:t>
      </w:r>
      <w:r>
        <w:rPr>
          <w:rFonts w:ascii="Arial" w:cs="Arial" w:eastAsia="Arial" w:hAnsi="Arial"/>
          <w:i/>
          <w:iCs/>
          <w:color w:val="888888"/>
          <w:sz w:val="22"/>
          <w:szCs w:val="22"/>
        </w:rPr>
        <w:t xml:space="preserve"> — High-content imaging (Operetta CLS or ImageXpress Confocal); CellProfiler pipeline for area, volume, circularity</w:t>
      </w:r>
    </w:p>
    <w:p>
      <w:pPr>
        <w:pStyle w:val="ListParagraph"/>
        <w:numPr>
          <w:ilvl w:val="0"/>
          <w:numId w:val="2"/>
        </w:numPr>
        <w:spacing w:before="60" w:after="60"/>
      </w:pPr>
      <w:r>
        <w:rPr>
          <w:rFonts w:ascii="Arial" w:cs="Arial" w:eastAsia="Arial" w:hAnsi="Arial"/>
          <w:color w:val="4A4A4A"/>
          <w:sz w:val="22"/>
          <w:szCs w:val="22"/>
        </w:rPr>
        <w:t xml:space="preserve">Doubling time calculation</w:t>
      </w:r>
      <w:r>
        <w:rPr>
          <w:rFonts w:ascii="Arial" w:cs="Arial" w:eastAsia="Arial" w:hAnsi="Arial"/>
          <w:i/>
          <w:iCs/>
          <w:color w:val="888888"/>
          <w:sz w:val="22"/>
          <w:szCs w:val="22"/>
        </w:rPr>
        <w:t xml:space="preserve"> — Non-linear regression; Gompertz growth model fit for each line × passage × condition</w:t>
      </w:r>
    </w:p>
    <w:p>
      <w:pPr>
        <w:pStyle w:val="ListParagraph"/>
        <w:numPr>
          <w:ilvl w:val="0"/>
          <w:numId w:val="2"/>
        </w:numPr>
        <w:spacing w:before="60" w:after="60"/>
      </w:pPr>
      <w:r>
        <w:rPr>
          <w:rFonts w:ascii="Arial" w:cs="Arial" w:eastAsia="Arial" w:hAnsi="Arial"/>
          <w:color w:val="4A4A4A"/>
          <w:sz w:val="22"/>
          <w:szCs w:val="22"/>
        </w:rPr>
        <w:t xml:space="preserve">Live/dead discrimination</w:t>
      </w:r>
      <w:r>
        <w:rPr>
          <w:rFonts w:ascii="Arial" w:cs="Arial" w:eastAsia="Arial" w:hAnsi="Arial"/>
          <w:i/>
          <w:iCs/>
          <w:color w:val="888888"/>
          <w:sz w:val="22"/>
          <w:szCs w:val="22"/>
        </w:rPr>
        <w:t xml:space="preserve"> — Calcein-AM / EthD-1 staining; automated image analysis</w:t>
      </w:r>
    </w:p>
    <w:p>
      <w:pPr>
        <w:spacing w:before="80" w:after="0"/>
      </w:pPr>
      <w:r>
        <w:t xml:space="preserve"/>
      </w:r>
    </w:p>
    <w:p>
      <w:pPr>
        <w:pStyle w:val="Heading3"/>
        <w:spacing w:before="240" w:after="120"/>
      </w:pPr>
      <w:r>
        <w:rPr>
          <w:rFonts w:ascii="Arial" w:cs="Arial" w:eastAsia="Arial" w:hAnsi="Arial"/>
          <w:b/>
          <w:bCs/>
          <w:color w:val="1A7A6E"/>
          <w:sz w:val="26"/>
          <w:szCs w:val="26"/>
        </w:rPr>
        <w:t xml:space="preserve">3.5.2  Drug Sensitivity Profiling</w:t>
      </w:r>
    </w:p>
    <w:p>
      <w:pPr>
        <w:spacing w:before="80" w:after="120"/>
      </w:pPr>
      <w:r>
        <w:rPr>
          <w:rFonts w:ascii="Arial" w:cs="Arial" w:eastAsia="Arial" w:hAnsi="Arial"/>
          <w:color w:val="4A4A4A"/>
          <w:sz w:val="22"/>
          <w:szCs w:val="22"/>
        </w:rPr>
        <w:t xml:space="preserve">A standardized 48-compound pharmacological panel will be tested at all passage timepoints and post-freeze conditions to detect functional drift:</w:t>
      </w:r>
    </w:p>
    <w:p>
      <w:pPr>
        <w:pStyle w:val="ListParagraph"/>
        <w:numPr>
          <w:ilvl w:val="0"/>
          <w:numId w:val="2"/>
        </w:numPr>
        <w:spacing w:before="60" w:after="60"/>
      </w:pPr>
      <w:r>
        <w:rPr>
          <w:rFonts w:ascii="Arial" w:cs="Arial" w:eastAsia="Arial" w:hAnsi="Arial"/>
          <w:color w:val="4A4A4A"/>
          <w:sz w:val="22"/>
          <w:szCs w:val="22"/>
        </w:rPr>
        <w:t xml:space="preserve">Panel composition</w:t>
      </w:r>
      <w:r>
        <w:rPr>
          <w:rFonts w:ascii="Arial" w:cs="Arial" w:eastAsia="Arial" w:hAnsi="Arial"/>
          <w:i/>
          <w:iCs/>
          <w:color w:val="888888"/>
          <w:sz w:val="22"/>
          <w:szCs w:val="22"/>
        </w:rPr>
        <w:t xml:space="preserve"> — 15 standard-of-care agents + 15 targeted agents (EGFR, BRAF, MEK, PI3K, CDK4/6) + 8 epigenetic compounds + 10 emerging agents</w:t>
      </w:r>
    </w:p>
    <w:p>
      <w:pPr>
        <w:pStyle w:val="ListParagraph"/>
        <w:numPr>
          <w:ilvl w:val="0"/>
          <w:numId w:val="2"/>
        </w:numPr>
        <w:spacing w:before="60" w:after="60"/>
      </w:pPr>
      <w:r>
        <w:rPr>
          <w:rFonts w:ascii="Arial" w:cs="Arial" w:eastAsia="Arial" w:hAnsi="Arial"/>
          <w:color w:val="4A4A4A"/>
          <w:sz w:val="22"/>
          <w:szCs w:val="22"/>
        </w:rPr>
        <w:t xml:space="preserve">Dose-response</w:t>
      </w:r>
      <w:r>
        <w:rPr>
          <w:rFonts w:ascii="Arial" w:cs="Arial" w:eastAsia="Arial" w:hAnsi="Arial"/>
          <w:i/>
          <w:iCs/>
          <w:color w:val="888888"/>
          <w:sz w:val="22"/>
          <w:szCs w:val="22"/>
        </w:rPr>
        <w:t xml:space="preserve"> — 8-point concentration curves; 10 nM–100 μM range; 72h exposure</w:t>
      </w:r>
    </w:p>
    <w:p>
      <w:pPr>
        <w:pStyle w:val="ListParagraph"/>
        <w:numPr>
          <w:ilvl w:val="0"/>
          <w:numId w:val="2"/>
        </w:numPr>
        <w:spacing w:before="60" w:after="60"/>
      </w:pPr>
      <w:r>
        <w:rPr>
          <w:rFonts w:ascii="Arial" w:cs="Arial" w:eastAsia="Arial" w:hAnsi="Arial"/>
          <w:color w:val="4A4A4A"/>
          <w:sz w:val="22"/>
          <w:szCs w:val="22"/>
        </w:rPr>
        <w:t xml:space="preserve">Readout</w:t>
      </w:r>
      <w:r>
        <w:rPr>
          <w:rFonts w:ascii="Arial" w:cs="Arial" w:eastAsia="Arial" w:hAnsi="Arial"/>
          <w:i/>
          <w:iCs/>
          <w:color w:val="888888"/>
          <w:sz w:val="22"/>
          <w:szCs w:val="22"/>
        </w:rPr>
        <w:t xml:space="preserve"> — CellTiter-Glo 3D; IC50, AUC, Emax derived per compound</w:t>
      </w:r>
    </w:p>
    <w:p>
      <w:pPr>
        <w:pStyle w:val="ListParagraph"/>
        <w:numPr>
          <w:ilvl w:val="0"/>
          <w:numId w:val="2"/>
        </w:numPr>
        <w:spacing w:before="60" w:after="60"/>
      </w:pPr>
      <w:r>
        <w:rPr>
          <w:rFonts w:ascii="Arial" w:cs="Arial" w:eastAsia="Arial" w:hAnsi="Arial"/>
          <w:color w:val="4A4A4A"/>
          <w:sz w:val="22"/>
          <w:szCs w:val="22"/>
        </w:rPr>
        <w:t xml:space="preserve">Reproducibility threshold</w:t>
      </w:r>
      <w:r>
        <w:rPr>
          <w:rFonts w:ascii="Arial" w:cs="Arial" w:eastAsia="Arial" w:hAnsi="Arial"/>
          <w:i/>
          <w:iCs/>
          <w:color w:val="888888"/>
          <w:sz w:val="22"/>
          <w:szCs w:val="22"/>
        </w:rPr>
        <w:t xml:space="preserve"> — IC50 shift &gt;3-fold considered functionally significant drift</w:t>
      </w:r>
    </w:p>
    <w:p>
      <w:pPr>
        <w:spacing w:before="80" w:after="0"/>
      </w:pPr>
      <w:r>
        <w:t xml:space="preserve"/>
      </w:r>
    </w:p>
    <w:p>
      <w:pPr>
        <w:pStyle w:val="Heading3"/>
        <w:spacing w:before="240" w:after="120"/>
      </w:pPr>
      <w:r>
        <w:rPr>
          <w:rFonts w:ascii="Arial" w:cs="Arial" w:eastAsia="Arial" w:hAnsi="Arial"/>
          <w:b/>
          <w:bCs/>
          <w:color w:val="1A7A6E"/>
          <w:sz w:val="26"/>
          <w:szCs w:val="26"/>
        </w:rPr>
        <w:t xml:space="preserve">3.5.3  Morphological Phenotyping</w:t>
      </w:r>
    </w:p>
    <w:p>
      <w:pPr>
        <w:pStyle w:val="ListParagraph"/>
        <w:numPr>
          <w:ilvl w:val="0"/>
          <w:numId w:val="2"/>
        </w:numPr>
        <w:spacing w:before="60" w:after="60"/>
      </w:pPr>
      <w:r>
        <w:rPr>
          <w:rFonts w:ascii="Arial" w:cs="Arial" w:eastAsia="Arial" w:hAnsi="Arial"/>
          <w:color w:val="4A4A4A"/>
          <w:sz w:val="22"/>
          <w:szCs w:val="22"/>
        </w:rPr>
        <w:t xml:space="preserve">Brightfield morphology</w:t>
      </w:r>
      <w:r>
        <w:rPr>
          <w:rFonts w:ascii="Arial" w:cs="Arial" w:eastAsia="Arial" w:hAnsi="Arial"/>
          <w:i/>
          <w:iCs/>
          <w:color w:val="888888"/>
          <w:sz w:val="22"/>
          <w:szCs w:val="22"/>
        </w:rPr>
        <w:t xml:space="preserve"> — Automated Nikon Ti2 widefield; structured morphology scoring rubric</w:t>
      </w:r>
    </w:p>
    <w:p>
      <w:pPr>
        <w:pStyle w:val="ListParagraph"/>
        <w:numPr>
          <w:ilvl w:val="0"/>
          <w:numId w:val="2"/>
        </w:numPr>
        <w:spacing w:before="60" w:after="60"/>
      </w:pPr>
      <w:r>
        <w:rPr>
          <w:rFonts w:ascii="Arial" w:cs="Arial" w:eastAsia="Arial" w:hAnsi="Arial"/>
          <w:color w:val="4A4A4A"/>
          <w:sz w:val="22"/>
          <w:szCs w:val="22"/>
        </w:rPr>
        <w:t xml:space="preserve">Immunofluorescence panel</w:t>
      </w:r>
      <w:r>
        <w:rPr>
          <w:rFonts w:ascii="Arial" w:cs="Arial" w:eastAsia="Arial" w:hAnsi="Arial"/>
          <w:i/>
          <w:iCs/>
          <w:color w:val="888888"/>
          <w:sz w:val="22"/>
          <w:szCs w:val="22"/>
        </w:rPr>
        <w:t xml:space="preserve"> — Ki67 (proliferation), Cleaved caspase-3 (apoptosis), E-cadherin (epithelial), Vimentin (mesenchymal), EpCAM (stemness proxy)</w:t>
      </w:r>
    </w:p>
    <w:p>
      <w:pPr>
        <w:pStyle w:val="ListParagraph"/>
        <w:numPr>
          <w:ilvl w:val="0"/>
          <w:numId w:val="2"/>
        </w:numPr>
        <w:spacing w:before="60" w:after="60"/>
      </w:pPr>
      <w:r>
        <w:rPr>
          <w:rFonts w:ascii="Arial" w:cs="Arial" w:eastAsia="Arial" w:hAnsi="Arial"/>
          <w:color w:val="4A4A4A"/>
          <w:sz w:val="22"/>
          <w:szCs w:val="22"/>
        </w:rPr>
        <w:t xml:space="preserve">3D confocal imaging</w:t>
      </w:r>
      <w:r>
        <w:rPr>
          <w:rFonts w:ascii="Arial" w:cs="Arial" w:eastAsia="Arial" w:hAnsi="Arial"/>
          <w:i/>
          <w:iCs/>
          <w:color w:val="888888"/>
          <w:sz w:val="22"/>
          <w:szCs w:val="22"/>
        </w:rPr>
        <w:t xml:space="preserve"> — Leica SP8 or Zeiss LSM980; z-stack at P5, P10, P15 for selected lines</w:t>
      </w:r>
    </w:p>
    <w:p>
      <w:pPr>
        <w:spacing w:before="80" w:after="0"/>
      </w:pPr>
      <w:r>
        <w:t xml:space="preserve"/>
      </w:r>
    </w:p>
    <w:p>
      <w:r>
        <w:br w:type="page"/>
      </w:r>
    </w:p>
    <w:p>
      <w:pPr>
        <w:pStyle w:val="Heading1"/>
        <w:spacing w:before="360" w:after="120"/>
      </w:pPr>
      <w:r>
        <w:rPr>
          <w:rFonts w:ascii="Arial" w:cs="Arial" w:eastAsia="Arial" w:hAnsi="Arial"/>
          <w:b/>
          <w:bCs/>
          <w:color w:val="1B3A6B"/>
          <w:sz w:val="36"/>
          <w:szCs w:val="36"/>
        </w:rPr>
        <w:t xml:space="preserve">4. Integrated Analytical Framework</w:t>
      </w:r>
    </w:p>
    <w:p>
      <w:pPr>
        <w:pBdr>
          <w:bottom w:val="single" w:color="2E6DB4" w:sz="4"/>
        </w:pBdr>
        <w:spacing w:before="160" w:after="160"/>
      </w:pPr>
      <w:r>
        <w:t xml:space="preserve"/>
      </w:r>
    </w:p>
    <w:p>
      <w:pPr>
        <w:pStyle w:val="Heading2"/>
        <w:spacing w:before="360" w:after="120"/>
      </w:pPr>
      <w:r>
        <w:rPr>
          <w:rFonts w:ascii="Arial" w:cs="Arial" w:eastAsia="Arial" w:hAnsi="Arial"/>
          <w:b/>
          <w:bCs/>
          <w:color w:val="2E6DB4"/>
          <w:sz w:val="30"/>
          <w:szCs w:val="30"/>
        </w:rPr>
        <w:t xml:space="preserve">4.1  Multi-Omic Drift Score (MODS)</w:t>
      </w:r>
    </w:p>
    <w:p>
      <w:pPr>
        <w:spacing w:before="80" w:after="120"/>
      </w:pPr>
      <w:r>
        <w:rPr>
          <w:rFonts w:ascii="Arial" w:cs="Arial" w:eastAsia="Arial" w:hAnsi="Arial"/>
          <w:color w:val="4A4A4A"/>
          <w:sz w:val="22"/>
          <w:szCs w:val="22"/>
        </w:rPr>
        <w:t xml:space="preserve">A central deliverable of this project is the development of the Multi-Omic Drift Score (MODS) — a composite, quantitative metric that integrates genomic, transcriptomic, and functional distance from the P2 baseline for each PDO line. This score will enable standardized comparison of drift magnitude across lines and conditions.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EEF4FC" w:val="clear"/>
            <w:tcMar>
              <w:top w:type="dxa" w:w="160"/>
              <w:left w:type="dxa" w:w="240"/>
              <w:bottom w:type="dxa" w:w="160"/>
              <w:right w:type="dxa" w:w="240"/>
            </w:tcMar>
          </w:tcPr>
          <w:p>
            <w:pPr>
              <w:spacing w:before="0" w:after="100"/>
            </w:pPr>
            <w:r>
              <w:rPr>
                <w:rFonts w:ascii="Arial" w:cs="Arial" w:eastAsia="Arial" w:hAnsi="Arial"/>
                <w:b/>
                <w:bCs/>
                <w:color w:val="1B3A6B"/>
                <w:sz w:val="22"/>
                <w:szCs w:val="22"/>
              </w:rPr>
              <w:t xml:space="preserve">MODS Components &amp; Weighting (Proposed):</w:t>
            </w:r>
          </w:p>
          <w:p>
            <w:pPr>
              <w:pStyle w:val="ListParagraph"/>
              <w:numPr>
                <w:ilvl w:val="0"/>
                <w:numId w:val="2"/>
              </w:numPr>
              <w:spacing w:before="50" w:after="50"/>
            </w:pPr>
            <w:r>
              <w:rPr>
                <w:rFonts w:ascii="Arial" w:cs="Arial" w:eastAsia="Arial" w:hAnsi="Arial"/>
                <w:color w:val="333333"/>
                <w:sz w:val="20"/>
                <w:szCs w:val="20"/>
              </w:rPr>
              <w:t xml:space="preserve">Genomic distance (GD): cosine distance of somatic mutation burden + CNV profile from P2 baseline [Weight: 30%]</w:t>
            </w:r>
          </w:p>
          <w:p>
            <w:pPr>
              <w:pStyle w:val="ListParagraph"/>
              <w:numPr>
                <w:ilvl w:val="0"/>
                <w:numId w:val="2"/>
              </w:numPr>
              <w:spacing w:before="50" w:after="50"/>
            </w:pPr>
            <w:r>
              <w:rPr>
                <w:rFonts w:ascii="Arial" w:cs="Arial" w:eastAsia="Arial" w:hAnsi="Arial"/>
                <w:color w:val="333333"/>
                <w:sz w:val="20"/>
                <w:szCs w:val="20"/>
              </w:rPr>
              <w:t xml:space="preserve">Transcriptomic distance (TD): Pearson correlation loss in global gene expression vs. P2, adjusted for batch [Weight: 35%]</w:t>
            </w:r>
          </w:p>
          <w:p>
            <w:pPr>
              <w:pStyle w:val="ListParagraph"/>
              <w:numPr>
                <w:ilvl w:val="0"/>
                <w:numId w:val="2"/>
              </w:numPr>
              <w:spacing w:before="50" w:after="50"/>
            </w:pPr>
            <w:r>
              <w:rPr>
                <w:rFonts w:ascii="Arial" w:cs="Arial" w:eastAsia="Arial" w:hAnsi="Arial"/>
                <w:color w:val="333333"/>
                <w:sz w:val="20"/>
                <w:szCs w:val="20"/>
              </w:rPr>
              <w:t xml:space="preserve">Epigenomic distance (ED): CpG methylation beta-value deviation at differentially methylated regions [Weight: 15%]</w:t>
            </w:r>
          </w:p>
          <w:p>
            <w:pPr>
              <w:pStyle w:val="ListParagraph"/>
              <w:numPr>
                <w:ilvl w:val="0"/>
                <w:numId w:val="2"/>
              </w:numPr>
              <w:spacing w:before="50" w:after="50"/>
            </w:pPr>
            <w:r>
              <w:rPr>
                <w:rFonts w:ascii="Arial" w:cs="Arial" w:eastAsia="Arial" w:hAnsi="Arial"/>
                <w:color w:val="333333"/>
                <w:sz w:val="20"/>
                <w:szCs w:val="20"/>
              </w:rPr>
              <w:t xml:space="preserve">Functional distance (FD): Drug sensitivity AUC shift score across 48-compound panel vs. P2 [Weight: 20%]</w:t>
            </w:r>
          </w:p>
          <w:p>
            <w:pPr>
              <w:pStyle w:val="ListParagraph"/>
              <w:numPr>
                <w:ilvl w:val="0"/>
                <w:numId w:val="2"/>
              </w:numPr>
              <w:spacing w:before="50" w:after="50"/>
            </w:pPr>
            <w:r>
              <w:rPr>
                <w:rFonts w:ascii="Arial" w:cs="Arial" w:eastAsia="Arial" w:hAnsi="Arial"/>
                <w:color w:val="333333"/>
                <w:sz w:val="20"/>
                <w:szCs w:val="20"/>
              </w:rPr>
              <w:t xml:space="preserve">MODS = 0.30×GD + 0.35×TD + 0.15×ED + 0.20×FD (range: 0–1; threshold for flagging: MODS &gt; 0.25)</w:t>
            </w:r>
          </w:p>
        </w:tc>
      </w:tr>
    </w:tbl>
    <w:p>
      <w:pPr>
        <w:spacing w:before="160" w:after="0"/>
      </w:pPr>
      <w:r>
        <w:t xml:space="preserve"/>
      </w:r>
    </w:p>
    <w:p>
      <w:pPr>
        <w:pStyle w:val="Heading2"/>
        <w:spacing w:before="360" w:after="120"/>
      </w:pPr>
      <w:r>
        <w:rPr>
          <w:rFonts w:ascii="Arial" w:cs="Arial" w:eastAsia="Arial" w:hAnsi="Arial"/>
          <w:b/>
          <w:bCs/>
          <w:color w:val="2E6DB4"/>
          <w:sz w:val="30"/>
          <w:szCs w:val="30"/>
        </w:rPr>
        <w:t xml:space="preserve">4.2  Growth Kinetics Modeling</w:t>
      </w:r>
    </w:p>
    <w:p>
      <w:pPr>
        <w:spacing w:before="80" w:after="120"/>
      </w:pPr>
      <w:r>
        <w:rPr>
          <w:rFonts w:ascii="Arial" w:cs="Arial" w:eastAsia="Arial" w:hAnsi="Arial"/>
          <w:color w:val="4A4A4A"/>
          <w:sz w:val="22"/>
          <w:szCs w:val="22"/>
        </w:rPr>
        <w:t xml:space="preserve">Differential growth kinetics between lines will be investigated using a multi-level analytical strategy:</w:t>
      </w:r>
    </w:p>
    <w:p>
      <w:pPr>
        <w:pStyle w:val="ListParagraph"/>
        <w:numPr>
          <w:ilvl w:val="0"/>
          <w:numId w:val="2"/>
        </w:numPr>
        <w:spacing w:before="60" w:after="60"/>
      </w:pPr>
      <w:r>
        <w:rPr>
          <w:rFonts w:ascii="Arial" w:cs="Arial" w:eastAsia="Arial" w:hAnsi="Arial"/>
          <w:color w:val="4A4A4A"/>
          <w:sz w:val="22"/>
          <w:szCs w:val="22"/>
        </w:rPr>
        <w:t xml:space="preserve">Transcriptional signature analysis</w:t>
      </w:r>
      <w:r>
        <w:rPr>
          <w:rFonts w:ascii="Arial" w:cs="Arial" w:eastAsia="Arial" w:hAnsi="Arial"/>
          <w:i/>
          <w:iCs/>
          <w:color w:val="888888"/>
          <w:sz w:val="22"/>
          <w:szCs w:val="22"/>
        </w:rPr>
        <w:t xml:space="preserve"> — Identification of gene sets predictive of fast vs. slow growth using regularized regression (LASSO) on RNA-seq data</w:t>
      </w:r>
    </w:p>
    <w:p>
      <w:pPr>
        <w:pStyle w:val="ListParagraph"/>
        <w:numPr>
          <w:ilvl w:val="0"/>
          <w:numId w:val="2"/>
        </w:numPr>
        <w:spacing w:before="60" w:after="60"/>
      </w:pPr>
      <w:r>
        <w:rPr>
          <w:rFonts w:ascii="Arial" w:cs="Arial" w:eastAsia="Arial" w:hAnsi="Arial"/>
          <w:color w:val="4A4A4A"/>
          <w:sz w:val="22"/>
          <w:szCs w:val="22"/>
        </w:rPr>
        <w:t xml:space="preserve">Cell cycle profiling</w:t>
      </w:r>
      <w:r>
        <w:rPr>
          <w:rFonts w:ascii="Arial" w:cs="Arial" w:eastAsia="Arial" w:hAnsi="Arial"/>
          <w:i/>
          <w:iCs/>
          <w:color w:val="888888"/>
          <w:sz w:val="22"/>
          <w:szCs w:val="22"/>
        </w:rPr>
        <w:t xml:space="preserve"> — FUCCI reporter system (if lentiviral transduction is feasible) or EdU incorporation for S-phase fraction quantification</w:t>
      </w:r>
    </w:p>
    <w:p>
      <w:pPr>
        <w:pStyle w:val="ListParagraph"/>
        <w:numPr>
          <w:ilvl w:val="0"/>
          <w:numId w:val="2"/>
        </w:numPr>
        <w:spacing w:before="60" w:after="60"/>
      </w:pPr>
      <w:r>
        <w:rPr>
          <w:rFonts w:ascii="Arial" w:cs="Arial" w:eastAsia="Arial" w:hAnsi="Arial"/>
          <w:color w:val="4A4A4A"/>
          <w:sz w:val="22"/>
          <w:szCs w:val="22"/>
        </w:rPr>
        <w:t xml:space="preserve">Metabolic profiling</w:t>
      </w:r>
      <w:r>
        <w:rPr>
          <w:rFonts w:ascii="Arial" w:cs="Arial" w:eastAsia="Arial" w:hAnsi="Arial"/>
          <w:i/>
          <w:iCs/>
          <w:color w:val="888888"/>
          <w:sz w:val="22"/>
          <w:szCs w:val="22"/>
        </w:rPr>
        <w:t xml:space="preserve"> — Seahorse XFe96 for oxygen consumption rate (OCR) and extracellular acidification rate (ECAR); fast growers hypothesized to show Warburg shift</w:t>
      </w:r>
    </w:p>
    <w:p>
      <w:pPr>
        <w:pStyle w:val="ListParagraph"/>
        <w:numPr>
          <w:ilvl w:val="0"/>
          <w:numId w:val="2"/>
        </w:numPr>
        <w:spacing w:before="60" w:after="60"/>
      </w:pPr>
      <w:r>
        <w:rPr>
          <w:rFonts w:ascii="Arial" w:cs="Arial" w:eastAsia="Arial" w:hAnsi="Arial"/>
          <w:color w:val="4A4A4A"/>
          <w:sz w:val="22"/>
          <w:szCs w:val="22"/>
        </w:rPr>
        <w:t xml:space="preserve">mTOR/Wnt pathway activity</w:t>
      </w:r>
      <w:r>
        <w:rPr>
          <w:rFonts w:ascii="Arial" w:cs="Arial" w:eastAsia="Arial" w:hAnsi="Arial"/>
          <w:i/>
          <w:iCs/>
          <w:color w:val="888888"/>
          <w:sz w:val="22"/>
          <w:szCs w:val="22"/>
        </w:rPr>
        <w:t xml:space="preserve"> — Phospho-proteomics (10-plex TMT) at P5 and P15 for 5 fast + 5 slow growth lines</w:t>
      </w:r>
    </w:p>
    <w:p>
      <w:pPr>
        <w:spacing w:before="80" w:after="0"/>
      </w:pPr>
      <w:r>
        <w:t xml:space="preserve"/>
      </w:r>
    </w:p>
    <w:p>
      <w:pPr>
        <w:pStyle w:val="Heading2"/>
        <w:spacing w:before="360" w:after="120"/>
      </w:pPr>
      <w:r>
        <w:rPr>
          <w:rFonts w:ascii="Arial" w:cs="Arial" w:eastAsia="Arial" w:hAnsi="Arial"/>
          <w:b/>
          <w:bCs/>
          <w:color w:val="2E6DB4"/>
          <w:sz w:val="30"/>
          <w:szCs w:val="30"/>
        </w:rPr>
        <w:t xml:space="preserve">4.3  Freeze-Thaw Analysis Pipeline</w:t>
      </w:r>
    </w:p>
    <w:p>
      <w:pPr>
        <w:spacing w:before="80" w:after="120"/>
      </w:pPr>
      <w:r>
        <w:rPr>
          <w:rFonts w:ascii="Arial" w:cs="Arial" w:eastAsia="Arial" w:hAnsi="Arial"/>
          <w:color w:val="4A4A4A"/>
          <w:sz w:val="22"/>
          <w:szCs w:val="22"/>
        </w:rPr>
        <w:t xml:space="preserve">For each freeze-thaw comparison, a paired analysis will be performed contrasting the fresh (never-frozen) counterpart at matched passage with the post-thaw sample. The analysis will assess:</w:t>
      </w:r>
    </w:p>
    <w:p>
      <w:pPr>
        <w:pStyle w:val="ListParagraph"/>
        <w:numPr>
          <w:ilvl w:val="0"/>
          <w:numId w:val="2"/>
        </w:numPr>
        <w:spacing w:before="60" w:after="60"/>
      </w:pPr>
      <w:r>
        <w:rPr>
          <w:rFonts w:ascii="Arial" w:cs="Arial" w:eastAsia="Arial" w:hAnsi="Arial"/>
          <w:color w:val="4A4A4A"/>
          <w:sz w:val="22"/>
          <w:szCs w:val="22"/>
        </w:rPr>
        <w:t xml:space="preserve">Immediate transcriptional stress response</w:t>
      </w:r>
      <w:r>
        <w:rPr>
          <w:rFonts w:ascii="Arial" w:cs="Arial" w:eastAsia="Arial" w:hAnsi="Arial"/>
          <w:i/>
          <w:iCs/>
          <w:color w:val="888888"/>
          <w:sz w:val="22"/>
          <w:szCs w:val="22"/>
        </w:rPr>
        <w:t xml:space="preserve"> — ER stress (ATF4, CHOP, XBP1s), heat shock proteins, apoptotic pathway activation</w:t>
      </w:r>
    </w:p>
    <w:p>
      <w:pPr>
        <w:pStyle w:val="ListParagraph"/>
        <w:numPr>
          <w:ilvl w:val="0"/>
          <w:numId w:val="2"/>
        </w:numPr>
        <w:spacing w:before="60" w:after="60"/>
      </w:pPr>
      <w:r>
        <w:rPr>
          <w:rFonts w:ascii="Arial" w:cs="Arial" w:eastAsia="Arial" w:hAnsi="Arial"/>
          <w:color w:val="4A4A4A"/>
          <w:sz w:val="22"/>
          <w:szCs w:val="22"/>
        </w:rPr>
        <w:t xml:space="preserve">Recovery trajectory modeling</w:t>
      </w:r>
      <w:r>
        <w:rPr>
          <w:rFonts w:ascii="Arial" w:cs="Arial" w:eastAsia="Arial" w:hAnsi="Arial"/>
          <w:i/>
          <w:iCs/>
          <w:color w:val="888888"/>
          <w:sz w:val="22"/>
          <w:szCs w:val="22"/>
        </w:rPr>
        <w:t xml:space="preserve"> — Time-series RNA-seq at 24h, 48h, 72h, 7d post-thaw; convergence to pre-freeze state modeled as exponential decay</w:t>
      </w:r>
    </w:p>
    <w:p>
      <w:pPr>
        <w:pStyle w:val="ListParagraph"/>
        <w:numPr>
          <w:ilvl w:val="0"/>
          <w:numId w:val="2"/>
        </w:numPr>
        <w:spacing w:before="60" w:after="60"/>
      </w:pPr>
      <w:r>
        <w:rPr>
          <w:rFonts w:ascii="Arial" w:cs="Arial" w:eastAsia="Arial" w:hAnsi="Arial"/>
          <w:color w:val="4A4A4A"/>
          <w:sz w:val="22"/>
          <w:szCs w:val="22"/>
        </w:rPr>
        <w:t xml:space="preserve">Epigenetic persistence</w:t>
      </w:r>
      <w:r>
        <w:rPr>
          <w:rFonts w:ascii="Arial" w:cs="Arial" w:eastAsia="Arial" w:hAnsi="Arial"/>
          <w:i/>
          <w:iCs/>
          <w:color w:val="888888"/>
          <w:sz w:val="22"/>
          <w:szCs w:val="22"/>
        </w:rPr>
        <w:t xml:space="preserve"> — RRBS comparison pre- vs. post-freeze; identify sites where methylation does not recover</w:t>
      </w:r>
    </w:p>
    <w:p>
      <w:pPr>
        <w:pStyle w:val="ListParagraph"/>
        <w:numPr>
          <w:ilvl w:val="0"/>
          <w:numId w:val="2"/>
        </w:numPr>
        <w:spacing w:before="60" w:after="60"/>
      </w:pPr>
      <w:r>
        <w:rPr>
          <w:rFonts w:ascii="Arial" w:cs="Arial" w:eastAsia="Arial" w:hAnsi="Arial"/>
          <w:color w:val="4A4A4A"/>
          <w:sz w:val="22"/>
          <w:szCs w:val="22"/>
        </w:rPr>
        <w:t xml:space="preserve">Functional washout period determination</w:t>
      </w:r>
      <w:r>
        <w:rPr>
          <w:rFonts w:ascii="Arial" w:cs="Arial" w:eastAsia="Arial" w:hAnsi="Arial"/>
          <w:i/>
          <w:iCs/>
          <w:color w:val="888888"/>
          <w:sz w:val="22"/>
          <w:szCs w:val="22"/>
        </w:rPr>
        <w:t xml:space="preserve"> — Identify minimum post-thaw recovery time at which drug sensitivity profiles are indistinguishable from fresh counterparts</w:t>
      </w:r>
    </w:p>
    <w:p>
      <w:pPr>
        <w:spacing w:before="80" w:after="0"/>
      </w:pPr>
      <w:r>
        <w:t xml:space="preserve"/>
      </w:r>
    </w:p>
    <w:p>
      <w:r>
        <w:br w:type="page"/>
      </w:r>
    </w:p>
    <w:p>
      <w:pPr>
        <w:pStyle w:val="Heading1"/>
        <w:spacing w:before="360" w:after="120"/>
      </w:pPr>
      <w:r>
        <w:rPr>
          <w:rFonts w:ascii="Arial" w:cs="Arial" w:eastAsia="Arial" w:hAnsi="Arial"/>
          <w:b/>
          <w:bCs/>
          <w:color w:val="1B3A6B"/>
          <w:sz w:val="36"/>
          <w:szCs w:val="36"/>
        </w:rPr>
        <w:t xml:space="preserve">5. Project Phases, Timeline &amp; Deliverables</w:t>
      </w:r>
    </w:p>
    <w:p>
      <w:pPr>
        <w:pBdr>
          <w:bottom w:val="single" w:color="2E6DB4" w:sz="4"/>
        </w:pBdr>
        <w:spacing w:before="160" w:after="16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500"/>
        <w:gridCol w:w="2960"/>
      </w:tblGrid>
      <w:tr>
        <w:tc>
          <w:tcPr>
            <w:tcW w:type="dxa" w:w="15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FFFFFF"/>
                <w:sz w:val="20"/>
                <w:szCs w:val="20"/>
              </w:rPr>
              <w:t xml:space="preserve">Phase</w:t>
            </w:r>
          </w:p>
        </w:tc>
        <w:tc>
          <w:tcPr>
            <w:tcW w:type="dxa" w:w="14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FFFFFF"/>
                <w:sz w:val="20"/>
                <w:szCs w:val="20"/>
              </w:rPr>
              <w:t xml:space="preserve">Duration</w:t>
            </w:r>
          </w:p>
        </w:tc>
        <w:tc>
          <w:tcPr>
            <w:tcW w:type="dxa" w:w="350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FFFFFF"/>
                <w:sz w:val="20"/>
                <w:szCs w:val="20"/>
              </w:rPr>
              <w:t xml:space="preserve">Focus</w:t>
            </w:r>
          </w:p>
        </w:tc>
        <w:tc>
          <w:tcPr>
            <w:tcW w:type="dxa" w:w="2960"/>
            <w:tcBorders>
              <w:top w:val="single" w:color="1B3A6B" w:sz="1"/>
              <w:left w:val="single" w:color="1B3A6B" w:sz="1"/>
              <w:bottom w:val="single" w:color="1B3A6B" w:sz="1"/>
              <w:right w:val="single" w:color="1B3A6B" w:sz="1"/>
            </w:tcBorders>
            <w:shd w:fill="1B3A6B" w:val="clear"/>
            <w:tcMar>
              <w:top w:type="dxa" w:w="120"/>
              <w:left w:type="dxa" w:w="160"/>
              <w:bottom w:type="dxa" w:w="120"/>
              <w:right w:type="dxa" w:w="160"/>
            </w:tcMar>
          </w:tcPr>
          <w:p>
            <w:r>
              <w:rPr>
                <w:rFonts w:ascii="Arial" w:cs="Arial" w:eastAsia="Arial" w:hAnsi="Arial"/>
                <w:b/>
                <w:bCs/>
                <w:color w:val="FFFFFF"/>
                <w:sz w:val="20"/>
                <w:szCs w:val="20"/>
              </w:rPr>
              <w:t xml:space="preserve">Key Deliverable</w:t>
            </w:r>
          </w:p>
        </w:tc>
      </w:tr>
      <w:tr>
        <w:tc>
          <w:tcPr>
            <w:tcW w:type="dxa" w:w="1500"/>
            <w:tcBorders>
              <w:top w:val="single" w:color="CCCCCC" w:sz="1"/>
              <w:left w:val="single" w:color="CCCCCC" w:sz="1"/>
              <w:bottom w:val="single" w:color="CCCCCC" w:sz="1"/>
              <w:right w:val="single" w:color="CCCCCC" w:sz="1"/>
            </w:tcBorders>
            <w:shd w:fill="EEF4FC" w:val="clear"/>
            <w:tcMar>
              <w:top w:type="dxa" w:w="100"/>
              <w:left w:type="dxa" w:w="160"/>
              <w:bottom w:type="dxa" w:w="100"/>
              <w:right w:type="dxa" w:w="160"/>
            </w:tcMar>
          </w:tcPr>
          <w:p>
            <w:r>
              <w:rPr>
                <w:rFonts w:ascii="Arial" w:cs="Arial" w:eastAsia="Arial" w:hAnsi="Arial"/>
                <w:color w:val="4A4A4A"/>
                <w:sz w:val="20"/>
                <w:szCs w:val="20"/>
              </w:rPr>
              <w:t xml:space="preserve">Phase I</w:t>
            </w:r>
          </w:p>
        </w:tc>
        <w:tc>
          <w:tcPr>
            <w:tcW w:type="dxa" w:w="1400"/>
            <w:tcBorders>
              <w:top w:val="single" w:color="CCCCCC" w:sz="1"/>
              <w:left w:val="single" w:color="CCCCCC" w:sz="1"/>
              <w:bottom w:val="single" w:color="CCCCCC" w:sz="1"/>
              <w:right w:val="single" w:color="CCCCCC" w:sz="1"/>
            </w:tcBorders>
            <w:shd w:fill="EEF4FC" w:val="clear"/>
            <w:tcMar>
              <w:top w:type="dxa" w:w="100"/>
              <w:left w:type="dxa" w:w="160"/>
              <w:bottom w:type="dxa" w:w="100"/>
              <w:right w:type="dxa" w:w="160"/>
            </w:tcMar>
          </w:tcPr>
          <w:p>
            <w:r>
              <w:rPr>
                <w:rFonts w:ascii="Arial" w:cs="Arial" w:eastAsia="Arial" w:hAnsi="Arial"/>
                <w:color w:val="4A4A4A"/>
                <w:sz w:val="20"/>
                <w:szCs w:val="20"/>
              </w:rPr>
              <w:t xml:space="preserve">Months 1–3</w:t>
            </w:r>
          </w:p>
        </w:tc>
        <w:tc>
          <w:tcPr>
            <w:tcW w:type="dxa" w:w="3500"/>
            <w:tcBorders>
              <w:top w:val="single" w:color="CCCCCC" w:sz="1"/>
              <w:left w:val="single" w:color="CCCCCC" w:sz="1"/>
              <w:bottom w:val="single" w:color="CCCCCC" w:sz="1"/>
              <w:right w:val="single" w:color="CCCCCC" w:sz="1"/>
            </w:tcBorders>
            <w:shd w:fill="EEF4FC" w:val="clear"/>
            <w:tcMar>
              <w:top w:type="dxa" w:w="100"/>
              <w:left w:type="dxa" w:w="160"/>
              <w:bottom w:type="dxa" w:w="100"/>
              <w:right w:type="dxa" w:w="160"/>
            </w:tcMar>
          </w:tcPr>
          <w:p>
            <w:r>
              <w:rPr>
                <w:rFonts w:ascii="Arial" w:cs="Arial" w:eastAsia="Arial" w:hAnsi="Arial"/>
                <w:color w:val="4A4A4A"/>
                <w:sz w:val="20"/>
                <w:szCs w:val="20"/>
              </w:rPr>
              <w:t xml:space="preserve">PDO biobanking, line selection, baseline profiling (P2), protocol standardization</w:t>
            </w:r>
          </w:p>
        </w:tc>
        <w:tc>
          <w:tcPr>
            <w:tcW w:type="dxa" w:w="2960"/>
            <w:tcBorders>
              <w:top w:val="single" w:color="CCCCCC" w:sz="1"/>
              <w:left w:val="single" w:color="CCCCCC" w:sz="1"/>
              <w:bottom w:val="single" w:color="CCCCCC" w:sz="1"/>
              <w:right w:val="single" w:color="CCCCCC" w:sz="1"/>
            </w:tcBorders>
            <w:shd w:fill="EEF4FC" w:val="clear"/>
            <w:tcMar>
              <w:top w:type="dxa" w:w="100"/>
              <w:left w:type="dxa" w:w="160"/>
              <w:bottom w:type="dxa" w:w="100"/>
              <w:right w:type="dxa" w:w="160"/>
            </w:tcMar>
          </w:tcPr>
          <w:p>
            <w:r>
              <w:rPr>
                <w:rFonts w:ascii="Arial" w:cs="Arial" w:eastAsia="Arial" w:hAnsi="Arial"/>
                <w:color w:val="4A4A4A"/>
                <w:sz w:val="20"/>
                <w:szCs w:val="20"/>
              </w:rPr>
              <w:t xml:space="preserve">Baseline multi-omic dataset; QC-passed PDO registry</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A4A4A"/>
                <w:sz w:val="20"/>
                <w:szCs w:val="20"/>
              </w:rPr>
              <w:t xml:space="preserve">Phase II</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A4A4A"/>
                <w:sz w:val="20"/>
                <w:szCs w:val="20"/>
              </w:rPr>
              <w:t xml:space="preserve">Months 4–9</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A4A4A"/>
                <w:sz w:val="20"/>
                <w:szCs w:val="20"/>
              </w:rPr>
              <w:t xml:space="preserve">Serial passage profiling (P5–P15), growth kinetics experiments, freeze-thaw experiments for P5 cohort</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A4A4A"/>
                <w:sz w:val="20"/>
                <w:szCs w:val="20"/>
              </w:rPr>
              <w:t xml:space="preserve">Passage-resolved WES + RNA-seq + functional dataset</w:t>
            </w:r>
          </w:p>
        </w:tc>
      </w:tr>
      <w:tr>
        <w:tc>
          <w:tcPr>
            <w:tcW w:type="dxa" w:w="1500"/>
            <w:tcBorders>
              <w:top w:val="single" w:color="CCCCCC" w:sz="1"/>
              <w:left w:val="single" w:color="CCCCCC" w:sz="1"/>
              <w:bottom w:val="single" w:color="CCCCCC" w:sz="1"/>
              <w:right w:val="single" w:color="CCCCCC" w:sz="1"/>
            </w:tcBorders>
            <w:shd w:fill="D0EFEC" w:val="clear"/>
            <w:tcMar>
              <w:top w:type="dxa" w:w="100"/>
              <w:left w:type="dxa" w:w="160"/>
              <w:bottom w:type="dxa" w:w="100"/>
              <w:right w:type="dxa" w:w="160"/>
            </w:tcMar>
          </w:tcPr>
          <w:p>
            <w:r>
              <w:rPr>
                <w:rFonts w:ascii="Arial" w:cs="Arial" w:eastAsia="Arial" w:hAnsi="Arial"/>
                <w:color w:val="4A4A4A"/>
                <w:sz w:val="20"/>
                <w:szCs w:val="20"/>
              </w:rPr>
              <w:t xml:space="preserve">Phase III</w:t>
            </w:r>
          </w:p>
        </w:tc>
        <w:tc>
          <w:tcPr>
            <w:tcW w:type="dxa" w:w="1400"/>
            <w:tcBorders>
              <w:top w:val="single" w:color="CCCCCC" w:sz="1"/>
              <w:left w:val="single" w:color="CCCCCC" w:sz="1"/>
              <w:bottom w:val="single" w:color="CCCCCC" w:sz="1"/>
              <w:right w:val="single" w:color="CCCCCC" w:sz="1"/>
            </w:tcBorders>
            <w:shd w:fill="D0EFEC" w:val="clear"/>
            <w:tcMar>
              <w:top w:type="dxa" w:w="100"/>
              <w:left w:type="dxa" w:w="160"/>
              <w:bottom w:type="dxa" w:w="100"/>
              <w:right w:type="dxa" w:w="160"/>
            </w:tcMar>
          </w:tcPr>
          <w:p>
            <w:r>
              <w:rPr>
                <w:rFonts w:ascii="Arial" w:cs="Arial" w:eastAsia="Arial" w:hAnsi="Arial"/>
                <w:color w:val="4A4A4A"/>
                <w:sz w:val="20"/>
                <w:szCs w:val="20"/>
              </w:rPr>
              <w:t xml:space="preserve">Months 10–14</w:t>
            </w:r>
          </w:p>
        </w:tc>
        <w:tc>
          <w:tcPr>
            <w:tcW w:type="dxa" w:w="3500"/>
            <w:tcBorders>
              <w:top w:val="single" w:color="CCCCCC" w:sz="1"/>
              <w:left w:val="single" w:color="CCCCCC" w:sz="1"/>
              <w:bottom w:val="single" w:color="CCCCCC" w:sz="1"/>
              <w:right w:val="single" w:color="CCCCCC" w:sz="1"/>
            </w:tcBorders>
            <w:shd w:fill="D0EFEC" w:val="clear"/>
            <w:tcMar>
              <w:top w:type="dxa" w:w="100"/>
              <w:left w:type="dxa" w:w="160"/>
              <w:bottom w:type="dxa" w:w="100"/>
              <w:right w:type="dxa" w:w="160"/>
            </w:tcMar>
          </w:tcPr>
          <w:p>
            <w:r>
              <w:rPr>
                <w:rFonts w:ascii="Arial" w:cs="Arial" w:eastAsia="Arial" w:hAnsi="Arial"/>
                <w:color w:val="4A4A4A"/>
                <w:sz w:val="20"/>
                <w:szCs w:val="20"/>
              </w:rPr>
              <w:t xml:space="preserve">Extended passage profiling (P20), scRNA-seq runs, metabolomics + phospho-proteomics, freeze-thaw P10 cohort</w:t>
            </w:r>
          </w:p>
        </w:tc>
        <w:tc>
          <w:tcPr>
            <w:tcW w:type="dxa" w:w="2960"/>
            <w:tcBorders>
              <w:top w:val="single" w:color="CCCCCC" w:sz="1"/>
              <w:left w:val="single" w:color="CCCCCC" w:sz="1"/>
              <w:bottom w:val="single" w:color="CCCCCC" w:sz="1"/>
              <w:right w:val="single" w:color="CCCCCC" w:sz="1"/>
            </w:tcBorders>
            <w:shd w:fill="D0EFEC" w:val="clear"/>
            <w:tcMar>
              <w:top w:type="dxa" w:w="100"/>
              <w:left w:type="dxa" w:w="160"/>
              <w:bottom w:type="dxa" w:w="100"/>
              <w:right w:type="dxa" w:w="160"/>
            </w:tcMar>
          </w:tcPr>
          <w:p>
            <w:r>
              <w:rPr>
                <w:rFonts w:ascii="Arial" w:cs="Arial" w:eastAsia="Arial" w:hAnsi="Arial"/>
                <w:color w:val="4A4A4A"/>
                <w:sz w:val="20"/>
                <w:szCs w:val="20"/>
              </w:rPr>
              <w:t xml:space="preserve">MODS score development; single-cell atlas; freeze-thaw recovery model</w:t>
            </w:r>
          </w:p>
        </w:tc>
      </w:tr>
      <w:tr>
        <w:tc>
          <w:tcPr>
            <w:tcW w:type="dxa" w:w="1500"/>
            <w:tcBorders>
              <w:top w:val="single" w:color="CCCCCC" w:sz="1"/>
              <w:left w:val="single" w:color="CCCCCC" w:sz="1"/>
              <w:bottom w:val="single" w:color="CCCCCC" w:sz="1"/>
              <w:right w:val="single" w:color="CCCCCC" w:sz="1"/>
            </w:tcBorders>
            <w:shd w:fill="FAE6D5" w:val="clear"/>
            <w:tcMar>
              <w:top w:type="dxa" w:w="100"/>
              <w:left w:type="dxa" w:w="160"/>
              <w:bottom w:type="dxa" w:w="100"/>
              <w:right w:type="dxa" w:w="160"/>
            </w:tcMar>
          </w:tcPr>
          <w:p>
            <w:r>
              <w:rPr>
                <w:rFonts w:ascii="Arial" w:cs="Arial" w:eastAsia="Arial" w:hAnsi="Arial"/>
                <w:color w:val="4A4A4A"/>
                <w:sz w:val="20"/>
                <w:szCs w:val="20"/>
              </w:rPr>
              <w:t xml:space="preserve">Phase IV</w:t>
            </w:r>
          </w:p>
        </w:tc>
        <w:tc>
          <w:tcPr>
            <w:tcW w:type="dxa" w:w="1400"/>
            <w:tcBorders>
              <w:top w:val="single" w:color="CCCCCC" w:sz="1"/>
              <w:left w:val="single" w:color="CCCCCC" w:sz="1"/>
              <w:bottom w:val="single" w:color="CCCCCC" w:sz="1"/>
              <w:right w:val="single" w:color="CCCCCC" w:sz="1"/>
            </w:tcBorders>
            <w:shd w:fill="FAE6D5" w:val="clear"/>
            <w:tcMar>
              <w:top w:type="dxa" w:w="100"/>
              <w:left w:type="dxa" w:w="160"/>
              <w:bottom w:type="dxa" w:w="100"/>
              <w:right w:type="dxa" w:w="160"/>
            </w:tcMar>
          </w:tcPr>
          <w:p>
            <w:r>
              <w:rPr>
                <w:rFonts w:ascii="Arial" w:cs="Arial" w:eastAsia="Arial" w:hAnsi="Arial"/>
                <w:color w:val="4A4A4A"/>
                <w:sz w:val="20"/>
                <w:szCs w:val="20"/>
              </w:rPr>
              <w:t xml:space="preserve">Months 15–18</w:t>
            </w:r>
          </w:p>
        </w:tc>
        <w:tc>
          <w:tcPr>
            <w:tcW w:type="dxa" w:w="3500"/>
            <w:tcBorders>
              <w:top w:val="single" w:color="CCCCCC" w:sz="1"/>
              <w:left w:val="single" w:color="CCCCCC" w:sz="1"/>
              <w:bottom w:val="single" w:color="CCCCCC" w:sz="1"/>
              <w:right w:val="single" w:color="CCCCCC" w:sz="1"/>
            </w:tcBorders>
            <w:shd w:fill="FAE6D5" w:val="clear"/>
            <w:tcMar>
              <w:top w:type="dxa" w:w="100"/>
              <w:left w:type="dxa" w:w="160"/>
              <w:bottom w:type="dxa" w:w="100"/>
              <w:right w:type="dxa" w:w="160"/>
            </w:tcMar>
          </w:tcPr>
          <w:p>
            <w:r>
              <w:rPr>
                <w:rFonts w:ascii="Arial" w:cs="Arial" w:eastAsia="Arial" w:hAnsi="Arial"/>
                <w:color w:val="4A4A4A"/>
                <w:sz w:val="20"/>
                <w:szCs w:val="20"/>
              </w:rPr>
              <w:t xml:space="preserve">Integrated data analysis, MODS validation, manuscript preparation, biobank finalization</w:t>
            </w:r>
          </w:p>
        </w:tc>
        <w:tc>
          <w:tcPr>
            <w:tcW w:type="dxa" w:w="2960"/>
            <w:tcBorders>
              <w:top w:val="single" w:color="CCCCCC" w:sz="1"/>
              <w:left w:val="single" w:color="CCCCCC" w:sz="1"/>
              <w:bottom w:val="single" w:color="CCCCCC" w:sz="1"/>
              <w:right w:val="single" w:color="CCCCCC" w:sz="1"/>
            </w:tcBorders>
            <w:shd w:fill="FAE6D5" w:val="clear"/>
            <w:tcMar>
              <w:top w:type="dxa" w:w="100"/>
              <w:left w:type="dxa" w:w="160"/>
              <w:bottom w:type="dxa" w:w="100"/>
              <w:right w:type="dxa" w:w="160"/>
            </w:tcMar>
          </w:tcPr>
          <w:p>
            <w:r>
              <w:rPr>
                <w:rFonts w:ascii="Arial" w:cs="Arial" w:eastAsia="Arial" w:hAnsi="Arial"/>
                <w:color w:val="4A4A4A"/>
                <w:sz w:val="20"/>
                <w:szCs w:val="20"/>
              </w:rPr>
              <w:t xml:space="preserve">MODS framework; PDO drift guidelines; peer-reviewed publications</w:t>
            </w:r>
          </w:p>
        </w:tc>
      </w:tr>
    </w:tbl>
    <w:p>
      <w:pPr>
        <w:spacing w:before="200" w:after="0"/>
      </w:pPr>
      <w:r>
        <w:t xml:space="preserve"/>
      </w:r>
    </w:p>
    <w:p>
      <w:pPr>
        <w:pStyle w:val="Heading2"/>
        <w:spacing w:before="360" w:after="120"/>
      </w:pPr>
      <w:r>
        <w:rPr>
          <w:rFonts w:ascii="Arial" w:cs="Arial" w:eastAsia="Arial" w:hAnsi="Arial"/>
          <w:b/>
          <w:bCs/>
          <w:color w:val="2E6DB4"/>
          <w:sz w:val="30"/>
          <w:szCs w:val="30"/>
        </w:rPr>
        <w:t xml:space="preserve">5.1  Key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000"/>
        <w:gridCol w:w="3660"/>
      </w:tblGrid>
      <w:tr>
        <w:tc>
          <w:tcPr>
            <w:tcW w:type="dxa" w:w="1200"/>
            <w:tcBorders>
              <w:top w:val="single" w:color="1A7A6E" w:sz="1"/>
              <w:left w:val="single" w:color="1A7A6E" w:sz="1"/>
              <w:bottom w:val="single" w:color="1A7A6E" w:sz="1"/>
              <w:right w:val="single" w:color="1A7A6E" w:sz="1"/>
            </w:tcBorders>
            <w:shd w:fill="1A7A6E" w:val="clear"/>
            <w:tcMar>
              <w:top w:type="dxa" w:w="100"/>
              <w:left w:type="dxa" w:w="140"/>
              <w:bottom w:type="dxa" w:w="100"/>
              <w:right w:type="dxa" w:w="140"/>
            </w:tcMar>
          </w:tcPr>
          <w:p>
            <w:r>
              <w:rPr>
                <w:rFonts w:ascii="Arial" w:cs="Arial" w:eastAsia="Arial" w:hAnsi="Arial"/>
                <w:b/>
                <w:bCs/>
                <w:color w:val="FFFFFF"/>
                <w:sz w:val="20"/>
                <w:szCs w:val="20"/>
              </w:rPr>
              <w:t xml:space="preserve">Aim</w:t>
            </w:r>
          </w:p>
        </w:tc>
        <w:tc>
          <w:tcPr>
            <w:tcW w:type="dxa" w:w="2500"/>
            <w:tcBorders>
              <w:top w:val="single" w:color="1A7A6E" w:sz="1"/>
              <w:left w:val="single" w:color="1A7A6E" w:sz="1"/>
              <w:bottom w:val="single" w:color="1A7A6E" w:sz="1"/>
              <w:right w:val="single" w:color="1A7A6E" w:sz="1"/>
            </w:tcBorders>
            <w:shd w:fill="1A7A6E" w:val="clear"/>
            <w:tcMar>
              <w:top w:type="dxa" w:w="100"/>
              <w:left w:type="dxa" w:w="140"/>
              <w:bottom w:type="dxa" w:w="100"/>
              <w:right w:type="dxa" w:w="140"/>
            </w:tcMar>
          </w:tcPr>
          <w:p>
            <w:r>
              <w:rPr>
                <w:rFonts w:ascii="Arial" w:cs="Arial" w:eastAsia="Arial" w:hAnsi="Arial"/>
                <w:b/>
                <w:bCs/>
                <w:color w:val="FFFFFF"/>
                <w:sz w:val="20"/>
                <w:szCs w:val="20"/>
              </w:rPr>
              <w:t xml:space="preserve">Assay / Method</w:t>
            </w:r>
          </w:p>
        </w:tc>
        <w:tc>
          <w:tcPr>
            <w:tcW w:type="dxa" w:w="2000"/>
            <w:tcBorders>
              <w:top w:val="single" w:color="1A7A6E" w:sz="1"/>
              <w:left w:val="single" w:color="1A7A6E" w:sz="1"/>
              <w:bottom w:val="single" w:color="1A7A6E" w:sz="1"/>
              <w:right w:val="single" w:color="1A7A6E" w:sz="1"/>
            </w:tcBorders>
            <w:shd w:fill="1A7A6E" w:val="clear"/>
            <w:tcMar>
              <w:top w:type="dxa" w:w="100"/>
              <w:left w:type="dxa" w:w="140"/>
              <w:bottom w:type="dxa" w:w="100"/>
              <w:right w:type="dxa" w:w="140"/>
            </w:tcMar>
          </w:tcPr>
          <w:p>
            <w:r>
              <w:rPr>
                <w:rFonts w:ascii="Arial" w:cs="Arial" w:eastAsia="Arial" w:hAnsi="Arial"/>
                <w:b/>
                <w:bCs/>
                <w:color w:val="FFFFFF"/>
                <w:sz w:val="20"/>
                <w:szCs w:val="20"/>
              </w:rPr>
              <w:t xml:space="preserve">Timepoints</w:t>
            </w:r>
          </w:p>
        </w:tc>
        <w:tc>
          <w:tcPr>
            <w:tcW w:type="dxa" w:w="3660"/>
            <w:tcBorders>
              <w:top w:val="single" w:color="1A7A6E" w:sz="1"/>
              <w:left w:val="single" w:color="1A7A6E" w:sz="1"/>
              <w:bottom w:val="single" w:color="1A7A6E" w:sz="1"/>
              <w:right w:val="single" w:color="1A7A6E" w:sz="1"/>
            </w:tcBorders>
            <w:shd w:fill="1A7A6E" w:val="clear"/>
            <w:tcMar>
              <w:top w:type="dxa" w:w="100"/>
              <w:left w:type="dxa" w:w="140"/>
              <w:bottom w:type="dxa" w:w="100"/>
              <w:right w:type="dxa" w:w="140"/>
            </w:tcMar>
          </w:tcPr>
          <w:p>
            <w:r>
              <w:rPr>
                <w:rFonts w:ascii="Arial" w:cs="Arial" w:eastAsia="Arial" w:hAnsi="Arial"/>
                <w:b/>
                <w:bCs/>
                <w:color w:val="FFFFFF"/>
                <w:sz w:val="20"/>
                <w:szCs w:val="20"/>
              </w:rPr>
              <w:t xml:space="preserve">Output Metric</w:t>
            </w:r>
          </w:p>
        </w:tc>
      </w:tr>
      <w:tr>
        <w:tc>
          <w:tcPr>
            <w:tcW w:type="dxa" w:w="12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Aim 1</w:t>
            </w:r>
          </w:p>
        </w:tc>
        <w:tc>
          <w:tcPr>
            <w:tcW w:type="dxa" w:w="25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WES (all lines × 5 timepoints)</w:t>
            </w:r>
          </w:p>
        </w:tc>
        <w:tc>
          <w:tcPr>
            <w:tcW w:type="dxa" w:w="20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P2/P5/P10/P15/P20</w:t>
            </w:r>
          </w:p>
        </w:tc>
        <w:tc>
          <w:tcPr>
            <w:tcW w:type="dxa" w:w="366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Somatic VAF trajectories, CNV evolution maps, clonal evolution trees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Aim 1</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RRBS methylation profiling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P2/P10/P20 + post-thaw</w:t>
            </w:r>
          </w:p>
        </w:tc>
        <w:tc>
          <w:tcPr>
            <w:tcW w:type="dxa" w:w="3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Differential methylation regions (DMRs), CpG drift index</w:t>
            </w:r>
          </w:p>
        </w:tc>
      </w:tr>
      <w:tr>
        <w:tc>
          <w:tcPr>
            <w:tcW w:type="dxa" w:w="12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Aim 2</w:t>
            </w:r>
          </w:p>
        </w:tc>
        <w:tc>
          <w:tcPr>
            <w:tcW w:type="dxa" w:w="25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Bulk RNA-seq</w:t>
            </w:r>
          </w:p>
        </w:tc>
        <w:tc>
          <w:tcPr>
            <w:tcW w:type="dxa" w:w="20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P2/P5/P10/P15/P20</w:t>
            </w:r>
          </w:p>
        </w:tc>
        <w:tc>
          <w:tcPr>
            <w:tcW w:type="dxa" w:w="366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Transcriptional drift score, pathway activity vectors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Aim 2</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scRNA-seq (5 lines)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P5 and P15</w:t>
            </w:r>
          </w:p>
        </w:tc>
        <w:tc>
          <w:tcPr>
            <w:tcW w:type="dxa" w:w="3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Cell population composition shift, trajectory pseudotime maps</w:t>
            </w:r>
          </w:p>
        </w:tc>
      </w:tr>
      <w:tr>
        <w:tc>
          <w:tcPr>
            <w:tcW w:type="dxa" w:w="12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Aim 2</w:t>
            </w:r>
          </w:p>
        </w:tc>
        <w:tc>
          <w:tcPr>
            <w:tcW w:type="dxa" w:w="25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Growth kinetics assay</w:t>
            </w:r>
          </w:p>
        </w:tc>
        <w:tc>
          <w:tcPr>
            <w:tcW w:type="dxa" w:w="20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Weekly (all passages)</w:t>
            </w:r>
          </w:p>
        </w:tc>
        <w:tc>
          <w:tcPr>
            <w:tcW w:type="dxa" w:w="366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Doubling time table, growth-predictive gene signature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Aim 3</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Drug sensitivity panel (48 agents)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All passages + post-thaw</w:t>
            </w:r>
          </w:p>
        </w:tc>
        <w:tc>
          <w:tcPr>
            <w:tcW w:type="dxa" w:w="3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IC50/AUC matrices, functional drift score per compound</w:t>
            </w:r>
          </w:p>
        </w:tc>
      </w:tr>
      <w:tr>
        <w:tc>
          <w:tcPr>
            <w:tcW w:type="dxa" w:w="12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Aim 3</w:t>
            </w:r>
          </w:p>
        </w:tc>
        <w:tc>
          <w:tcPr>
            <w:tcW w:type="dxa" w:w="25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Post-thaw RNA-seq time series</w:t>
            </w:r>
          </w:p>
        </w:tc>
        <w:tc>
          <w:tcPr>
            <w:tcW w:type="dxa" w:w="20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24h/48h/72h/7d</w:t>
            </w:r>
          </w:p>
        </w:tc>
        <w:tc>
          <w:tcPr>
            <w:tcW w:type="dxa" w:w="366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Transcriptional recovery half-life, persistent perturbation loci</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All</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Multi-Omic Drift Score (MODS)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Per passage &amp; condition</w:t>
            </w:r>
          </w:p>
        </w:tc>
        <w:tc>
          <w:tcPr>
            <w:tcW w:type="dxa" w:w="3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Composite drift score for each line; flagging thresholds</w:t>
            </w:r>
          </w:p>
        </w:tc>
      </w:tr>
    </w:tbl>
    <w:p>
      <w:pPr>
        <w:spacing w:before="80" w:after="0"/>
      </w:pPr>
      <w:r>
        <w:t xml:space="preserve"/>
      </w:r>
    </w:p>
    <w:p>
      <w:r>
        <w:br w:type="page"/>
      </w:r>
    </w:p>
    <w:p>
      <w:pPr>
        <w:pStyle w:val="Heading1"/>
        <w:spacing w:before="360" w:after="120"/>
      </w:pPr>
      <w:r>
        <w:rPr>
          <w:rFonts w:ascii="Arial" w:cs="Arial" w:eastAsia="Arial" w:hAnsi="Arial"/>
          <w:b/>
          <w:bCs/>
          <w:color w:val="1B3A6B"/>
          <w:sz w:val="36"/>
          <w:szCs w:val="36"/>
        </w:rPr>
        <w:t xml:space="preserve">6. Bioinformatics Infrastructure &amp; Data Management</w:t>
      </w:r>
    </w:p>
    <w:p>
      <w:pPr>
        <w:pBdr>
          <w:bottom w:val="single" w:color="2E6DB4" w:sz="4"/>
        </w:pBdr>
        <w:spacing w:before="160" w:after="160"/>
      </w:pPr>
      <w:r>
        <w:t xml:space="preserve"/>
      </w:r>
    </w:p>
    <w:p>
      <w:pPr>
        <w:pStyle w:val="Heading2"/>
        <w:spacing w:before="360" w:after="120"/>
      </w:pPr>
      <w:r>
        <w:rPr>
          <w:rFonts w:ascii="Arial" w:cs="Arial" w:eastAsia="Arial" w:hAnsi="Arial"/>
          <w:b/>
          <w:bCs/>
          <w:color w:val="2E6DB4"/>
          <w:sz w:val="30"/>
          <w:szCs w:val="30"/>
        </w:rPr>
        <w:t xml:space="preserve">6.1  Computational Pipeline Architecture</w:t>
      </w:r>
    </w:p>
    <w:p>
      <w:pPr>
        <w:spacing w:before="80" w:after="120"/>
      </w:pPr>
      <w:r>
        <w:rPr>
          <w:rFonts w:ascii="Arial" w:cs="Arial" w:eastAsia="Arial" w:hAnsi="Arial"/>
          <w:color w:val="4A4A4A"/>
          <w:sz w:val="22"/>
          <w:szCs w:val="22"/>
        </w:rPr>
        <w:t xml:space="preserve">All analyses will be executed via containerized, reproducible workflows using Snakemake or Nextflow pipeline management systems. Compute infrastructure will leverage HPC cluster allocation (SLURM scheduler) with dedicated GPU nodes for deep learning-based image analysis modules.</w:t>
      </w:r>
    </w:p>
    <w:p>
      <w:pPr>
        <w:spacing w:before="60" w:after="0"/>
      </w:pPr>
      <w:r>
        <w:t xml:space="preserve"/>
      </w:r>
    </w:p>
    <w:p>
      <w:pPr>
        <w:pStyle w:val="ListParagraph"/>
        <w:numPr>
          <w:ilvl w:val="0"/>
          <w:numId w:val="2"/>
        </w:numPr>
        <w:spacing w:before="60" w:after="60"/>
      </w:pPr>
      <w:r>
        <w:rPr>
          <w:rFonts w:ascii="Arial" w:cs="Arial" w:eastAsia="Arial" w:hAnsi="Arial"/>
          <w:color w:val="4A4A4A"/>
          <w:sz w:val="22"/>
          <w:szCs w:val="22"/>
        </w:rPr>
        <w:t xml:space="preserve">Version control</w:t>
      </w:r>
      <w:r>
        <w:rPr>
          <w:rFonts w:ascii="Arial" w:cs="Arial" w:eastAsia="Arial" w:hAnsi="Arial"/>
          <w:i/>
          <w:iCs/>
          <w:color w:val="888888"/>
          <w:sz w:val="22"/>
          <w:szCs w:val="22"/>
        </w:rPr>
        <w:t xml:space="preserve"> — All pipeline code on GitHub (private repository); tagged releases per project phase</w:t>
      </w:r>
    </w:p>
    <w:p>
      <w:pPr>
        <w:pStyle w:val="ListParagraph"/>
        <w:numPr>
          <w:ilvl w:val="0"/>
          <w:numId w:val="2"/>
        </w:numPr>
        <w:spacing w:before="60" w:after="60"/>
      </w:pPr>
      <w:r>
        <w:rPr>
          <w:rFonts w:ascii="Arial" w:cs="Arial" w:eastAsia="Arial" w:hAnsi="Arial"/>
          <w:color w:val="4A4A4A"/>
          <w:sz w:val="22"/>
          <w:szCs w:val="22"/>
        </w:rPr>
        <w:t xml:space="preserve">Containerization</w:t>
      </w:r>
      <w:r>
        <w:rPr>
          <w:rFonts w:ascii="Arial" w:cs="Arial" w:eastAsia="Arial" w:hAnsi="Arial"/>
          <w:i/>
          <w:iCs/>
          <w:color w:val="888888"/>
          <w:sz w:val="22"/>
          <w:szCs w:val="22"/>
        </w:rPr>
        <w:t xml:space="preserve"> — Docker + Singularity images for all analysis environments; pinned dependency versions</w:t>
      </w:r>
    </w:p>
    <w:p>
      <w:pPr>
        <w:pStyle w:val="ListParagraph"/>
        <w:numPr>
          <w:ilvl w:val="0"/>
          <w:numId w:val="2"/>
        </w:numPr>
        <w:spacing w:before="60" w:after="60"/>
      </w:pPr>
      <w:r>
        <w:rPr>
          <w:rFonts w:ascii="Arial" w:cs="Arial" w:eastAsia="Arial" w:hAnsi="Arial"/>
          <w:color w:val="4A4A4A"/>
          <w:sz w:val="22"/>
          <w:szCs w:val="22"/>
        </w:rPr>
        <w:t xml:space="preserve">Data storage</w:t>
      </w:r>
      <w:r>
        <w:rPr>
          <w:rFonts w:ascii="Arial" w:cs="Arial" w:eastAsia="Arial" w:hAnsi="Arial"/>
          <w:i/>
          <w:iCs/>
          <w:color w:val="888888"/>
          <w:sz w:val="22"/>
          <w:szCs w:val="22"/>
        </w:rPr>
        <w:t xml:space="preserve"> — Tier-1 NAS (raw FASTQ + BAM: ~50 TB projected); Tier-2 cloud archive (AWS S3 Glacier)</w:t>
      </w:r>
    </w:p>
    <w:p>
      <w:pPr>
        <w:pStyle w:val="ListParagraph"/>
        <w:numPr>
          <w:ilvl w:val="0"/>
          <w:numId w:val="2"/>
        </w:numPr>
        <w:spacing w:before="60" w:after="60"/>
      </w:pPr>
      <w:r>
        <w:rPr>
          <w:rFonts w:ascii="Arial" w:cs="Arial" w:eastAsia="Arial" w:hAnsi="Arial"/>
          <w:color w:val="4A4A4A"/>
          <w:sz w:val="22"/>
          <w:szCs w:val="22"/>
        </w:rPr>
        <w:t xml:space="preserve">Metadata management</w:t>
      </w:r>
      <w:r>
        <w:rPr>
          <w:rFonts w:ascii="Arial" w:cs="Arial" w:eastAsia="Arial" w:hAnsi="Arial"/>
          <w:i/>
          <w:iCs/>
          <w:color w:val="888888"/>
          <w:sz w:val="22"/>
          <w:szCs w:val="22"/>
        </w:rPr>
        <w:t xml:space="preserve"> — ISA-Tab compliant metadata schema; integration with BioSample/dbGaP for eventual public deposition</w:t>
      </w:r>
    </w:p>
    <w:p>
      <w:pPr>
        <w:pStyle w:val="ListParagraph"/>
        <w:numPr>
          <w:ilvl w:val="0"/>
          <w:numId w:val="2"/>
        </w:numPr>
        <w:spacing w:before="60" w:after="60"/>
      </w:pPr>
      <w:r>
        <w:rPr>
          <w:rFonts w:ascii="Arial" w:cs="Arial" w:eastAsia="Arial" w:hAnsi="Arial"/>
          <w:color w:val="4A4A4A"/>
          <w:sz w:val="22"/>
          <w:szCs w:val="22"/>
        </w:rPr>
        <w:t xml:space="preserve">Interactive visualization</w:t>
      </w:r>
      <w:r>
        <w:rPr>
          <w:rFonts w:ascii="Arial" w:cs="Arial" w:eastAsia="Arial" w:hAnsi="Arial"/>
          <w:i/>
          <w:iCs/>
          <w:color w:val="888888"/>
          <w:sz w:val="22"/>
          <w:szCs w:val="22"/>
        </w:rPr>
        <w:t xml:space="preserve"> — R Shiny application for real-time MODS tracking and per-line QC dashboards</w:t>
      </w:r>
    </w:p>
    <w:p>
      <w:pPr>
        <w:spacing w:before="80" w:after="0"/>
      </w:pPr>
      <w:r>
        <w:t xml:space="preserve"/>
      </w:r>
    </w:p>
    <w:p>
      <w:pPr>
        <w:pStyle w:val="Heading2"/>
        <w:spacing w:before="360" w:after="120"/>
      </w:pPr>
      <w:r>
        <w:rPr>
          <w:rFonts w:ascii="Arial" w:cs="Arial" w:eastAsia="Arial" w:hAnsi="Arial"/>
          <w:b/>
          <w:bCs/>
          <w:color w:val="2E6DB4"/>
          <w:sz w:val="30"/>
          <w:szCs w:val="30"/>
        </w:rPr>
        <w:t xml:space="preserve">6.2  Statistical Framework</w:t>
      </w:r>
    </w:p>
    <w:p>
      <w:pPr>
        <w:spacing w:before="80" w:after="120"/>
      </w:pPr>
      <w:r>
        <w:rPr>
          <w:rFonts w:ascii="Arial" w:cs="Arial" w:eastAsia="Arial" w:hAnsi="Arial"/>
          <w:color w:val="4A4A4A"/>
          <w:sz w:val="22"/>
          <w:szCs w:val="22"/>
        </w:rPr>
        <w:t xml:space="preserve">All primary statistical analyses will be pre-registered via OSF (Open Science Framework) prior to data collection to minimize post-hoc analytical bias. Key statistical considerations include:</w:t>
      </w:r>
    </w:p>
    <w:p>
      <w:pPr>
        <w:pStyle w:val="ListParagraph"/>
        <w:numPr>
          <w:ilvl w:val="0"/>
          <w:numId w:val="2"/>
        </w:numPr>
        <w:spacing w:before="60" w:after="60"/>
      </w:pPr>
      <w:r>
        <w:rPr>
          <w:rFonts w:ascii="Arial" w:cs="Arial" w:eastAsia="Arial" w:hAnsi="Arial"/>
          <w:color w:val="4A4A4A"/>
          <w:sz w:val="22"/>
          <w:szCs w:val="22"/>
        </w:rPr>
        <w:t xml:space="preserve">Multiple testing correction</w:t>
      </w:r>
      <w:r>
        <w:rPr>
          <w:rFonts w:ascii="Arial" w:cs="Arial" w:eastAsia="Arial" w:hAnsi="Arial"/>
          <w:i/>
          <w:iCs/>
          <w:color w:val="888888"/>
          <w:sz w:val="22"/>
          <w:szCs w:val="22"/>
        </w:rPr>
        <w:t xml:space="preserve"> — Benjamini-Hochberg FDR for gene-level tests; Bonferroni for primary endpoints</w:t>
      </w:r>
    </w:p>
    <w:p>
      <w:pPr>
        <w:pStyle w:val="ListParagraph"/>
        <w:numPr>
          <w:ilvl w:val="0"/>
          <w:numId w:val="2"/>
        </w:numPr>
        <w:spacing w:before="60" w:after="60"/>
      </w:pPr>
      <w:r>
        <w:rPr>
          <w:rFonts w:ascii="Arial" w:cs="Arial" w:eastAsia="Arial" w:hAnsi="Arial"/>
          <w:color w:val="4A4A4A"/>
          <w:sz w:val="22"/>
          <w:szCs w:val="22"/>
        </w:rPr>
        <w:t xml:space="preserve">Mixed-effects modeling</w:t>
      </w:r>
      <w:r>
        <w:rPr>
          <w:rFonts w:ascii="Arial" w:cs="Arial" w:eastAsia="Arial" w:hAnsi="Arial"/>
          <w:i/>
          <w:iCs/>
          <w:color w:val="888888"/>
          <w:sz w:val="22"/>
          <w:szCs w:val="22"/>
        </w:rPr>
        <w:t xml:space="preserve"> — Linear mixed models for longitudinal transcriptomic data (passage as time variable; line as random effect)</w:t>
      </w:r>
    </w:p>
    <w:p>
      <w:pPr>
        <w:pStyle w:val="ListParagraph"/>
        <w:numPr>
          <w:ilvl w:val="0"/>
          <w:numId w:val="2"/>
        </w:numPr>
        <w:spacing w:before="60" w:after="60"/>
      </w:pPr>
      <w:r>
        <w:rPr>
          <w:rFonts w:ascii="Arial" w:cs="Arial" w:eastAsia="Arial" w:hAnsi="Arial"/>
          <w:color w:val="4A4A4A"/>
          <w:sz w:val="22"/>
          <w:szCs w:val="22"/>
        </w:rPr>
        <w:t xml:space="preserve">Power analysis</w:t>
      </w:r>
      <w:r>
        <w:rPr>
          <w:rFonts w:ascii="Arial" w:cs="Arial" w:eastAsia="Arial" w:hAnsi="Arial"/>
          <w:i/>
          <w:iCs/>
          <w:color w:val="888888"/>
          <w:sz w:val="22"/>
          <w:szCs w:val="22"/>
        </w:rPr>
        <w:t xml:space="preserve"> — Minimum 80% power to detect 2-fold expression change at FDR &lt;5% with n=3 biological replicates per timepoint per line</w:t>
      </w:r>
    </w:p>
    <w:p>
      <w:pPr>
        <w:pStyle w:val="ListParagraph"/>
        <w:numPr>
          <w:ilvl w:val="0"/>
          <w:numId w:val="2"/>
        </w:numPr>
        <w:spacing w:before="60" w:after="60"/>
      </w:pPr>
      <w:r>
        <w:rPr>
          <w:rFonts w:ascii="Arial" w:cs="Arial" w:eastAsia="Arial" w:hAnsi="Arial"/>
          <w:color w:val="4A4A4A"/>
          <w:sz w:val="22"/>
          <w:szCs w:val="22"/>
        </w:rPr>
        <w:t xml:space="preserve">Dimensionality reduction</w:t>
      </w:r>
      <w:r>
        <w:rPr>
          <w:rFonts w:ascii="Arial" w:cs="Arial" w:eastAsia="Arial" w:hAnsi="Arial"/>
          <w:i/>
          <w:iCs/>
          <w:color w:val="888888"/>
          <w:sz w:val="22"/>
          <w:szCs w:val="22"/>
        </w:rPr>
        <w:t xml:space="preserve"> — PCA, UMAP, and t-SNE for exploratory analysis; MOFA+ for multi-omic factor analysis</w:t>
      </w:r>
    </w:p>
    <w:p>
      <w:pPr>
        <w:spacing w:before="80" w:after="0"/>
      </w:pPr>
      <w:r>
        <w:t xml:space="preserve"/>
      </w:r>
    </w:p>
    <w:p>
      <w:r>
        <w:br w:type="page"/>
      </w:r>
    </w:p>
    <w:p>
      <w:pPr>
        <w:pStyle w:val="Heading1"/>
        <w:spacing w:before="360" w:after="120"/>
      </w:pPr>
      <w:r>
        <w:rPr>
          <w:rFonts w:ascii="Arial" w:cs="Arial" w:eastAsia="Arial" w:hAnsi="Arial"/>
          <w:b/>
          <w:bCs/>
          <w:color w:val="1B3A6B"/>
          <w:sz w:val="36"/>
          <w:szCs w:val="36"/>
        </w:rPr>
        <w:t xml:space="preserve">7. Expected Outcomes &amp; Significance</w:t>
      </w:r>
    </w:p>
    <w:p>
      <w:pPr>
        <w:pBdr>
          <w:bottom w:val="single" w:color="2E6DB4" w:sz="4"/>
        </w:pBdr>
        <w:spacing w:before="160" w:after="160"/>
      </w:pPr>
      <w:r>
        <w:t xml:space="preserve"/>
      </w:r>
    </w:p>
    <w:p>
      <w:pPr>
        <w:pStyle w:val="Heading2"/>
        <w:spacing w:before="360" w:after="120"/>
      </w:pPr>
      <w:r>
        <w:rPr>
          <w:rFonts w:ascii="Arial" w:cs="Arial" w:eastAsia="Arial" w:hAnsi="Arial"/>
          <w:b/>
          <w:bCs/>
          <w:color w:val="2E6DB4"/>
          <w:sz w:val="30"/>
          <w:szCs w:val="30"/>
        </w:rPr>
        <w:t xml:space="preserve">7.1  Scientific Contributions</w:t>
      </w:r>
    </w:p>
    <w:p>
      <w:pPr>
        <w:spacing w:before="80" w:after="120"/>
      </w:pPr>
      <w:r>
        <w:rPr>
          <w:rFonts w:ascii="Arial" w:cs="Arial" w:eastAsia="Arial" w:hAnsi="Arial"/>
          <w:color w:val="4A4A4A"/>
          <w:sz w:val="22"/>
          <w:szCs w:val="22"/>
        </w:rPr>
        <w:t xml:space="preserve">This project will generate the most comprehensive, multi-omic, longitudinal characterization of PDO temporal drift assembled to date. The primary scientific contributions are anticipated to include:</w:t>
      </w:r>
    </w:p>
    <w:p>
      <w:pPr>
        <w:spacing w:before="60" w:after="0"/>
      </w:pPr>
      <w:r>
        <w:t xml:space="preserve"/>
      </w:r>
    </w:p>
    <w:p>
      <w:pPr>
        <w:pStyle w:val="ListParagraph"/>
        <w:numPr>
          <w:ilvl w:val="0"/>
          <w:numId w:val="3"/>
        </w:numPr>
        <w:spacing w:before="60" w:after="60"/>
      </w:pPr>
      <w:r>
        <w:rPr>
          <w:rFonts w:ascii="Arial" w:cs="Arial" w:eastAsia="Arial" w:hAnsi="Arial"/>
          <w:color w:val="4A4A4A"/>
          <w:sz w:val="22"/>
          <w:szCs w:val="22"/>
        </w:rPr>
        <w:t xml:space="preserve">A passage-resolved, multi-omic atlas of genomic and transcriptomic drift across 10–15 PDO lines representing 5 major cancer types — a publicly accessible resource for the organoid research community.</w:t>
      </w:r>
    </w:p>
    <w:p>
      <w:pPr>
        <w:pStyle w:val="ListParagraph"/>
        <w:numPr>
          <w:ilvl w:val="0"/>
          <w:numId w:val="3"/>
        </w:numPr>
        <w:spacing w:before="60" w:after="60"/>
      </w:pPr>
      <w:r>
        <w:rPr>
          <w:rFonts w:ascii="Arial" w:cs="Arial" w:eastAsia="Arial" w:hAnsi="Arial"/>
          <w:color w:val="4A4A4A"/>
          <w:sz w:val="22"/>
          <w:szCs w:val="22"/>
        </w:rPr>
        <w:t xml:space="preserve">Definition of critical drift thresholds — specific passage numbers and MODS values beyond which PDO molecular profiles diverge significantly from the source tumor, providing practical guidance for researchers.</w:t>
      </w:r>
    </w:p>
    <w:p>
      <w:pPr>
        <w:pStyle w:val="ListParagraph"/>
        <w:numPr>
          <w:ilvl w:val="0"/>
          <w:numId w:val="3"/>
        </w:numPr>
        <w:spacing w:before="60" w:after="60"/>
      </w:pPr>
      <w:r>
        <w:rPr>
          <w:rFonts w:ascii="Arial" w:cs="Arial" w:eastAsia="Arial" w:hAnsi="Arial"/>
          <w:color w:val="4A4A4A"/>
          <w:sz w:val="22"/>
          <w:szCs w:val="22"/>
        </w:rPr>
        <w:t xml:space="preserve">Identification of molecular mechanisms underlying differential growth kinetics — new biological insights into why certain PDO lines outcompete others, with potential implications for clonal evolution theory.</w:t>
      </w:r>
    </w:p>
    <w:p>
      <w:pPr>
        <w:pStyle w:val="ListParagraph"/>
        <w:numPr>
          <w:ilvl w:val="0"/>
          <w:numId w:val="3"/>
        </w:numPr>
        <w:spacing w:before="60" w:after="60"/>
      </w:pPr>
      <w:r>
        <w:rPr>
          <w:rFonts w:ascii="Arial" w:cs="Arial" w:eastAsia="Arial" w:hAnsi="Arial"/>
          <w:color w:val="4A4A4A"/>
          <w:sz w:val="22"/>
          <w:szCs w:val="22"/>
        </w:rPr>
        <w:t xml:space="preserve">Characterization of freeze-thaw-induced molecular perturbations and recovery kinetics — enabling evidence-based recommendations for minimum post-thaw recovery periods before conducting functional assays.</w:t>
      </w:r>
    </w:p>
    <w:p>
      <w:pPr>
        <w:pStyle w:val="ListParagraph"/>
        <w:numPr>
          <w:ilvl w:val="0"/>
          <w:numId w:val="3"/>
        </w:numPr>
        <w:spacing w:before="60" w:after="60"/>
      </w:pPr>
      <w:r>
        <w:rPr>
          <w:rFonts w:ascii="Arial" w:cs="Arial" w:eastAsia="Arial" w:hAnsi="Arial"/>
          <w:color w:val="4A4A4A"/>
          <w:sz w:val="22"/>
          <w:szCs w:val="22"/>
        </w:rPr>
        <w:t xml:space="preserve">Validation and public release of the Multi-Omic Drift Score (MODS) framework — a standardized tool for PDO quality assessment applicable across laboratories worldwide.</w:t>
      </w:r>
    </w:p>
    <w:p>
      <w:pPr>
        <w:spacing w:before="80" w:after="0"/>
      </w:pPr>
      <w:r>
        <w:t xml:space="preserve"/>
      </w:r>
    </w:p>
    <w:p>
      <w:pPr>
        <w:pStyle w:val="Heading2"/>
        <w:spacing w:before="360" w:after="120"/>
      </w:pPr>
      <w:r>
        <w:rPr>
          <w:rFonts w:ascii="Arial" w:cs="Arial" w:eastAsia="Arial" w:hAnsi="Arial"/>
          <w:b/>
          <w:bCs/>
          <w:color w:val="2E6DB4"/>
          <w:sz w:val="30"/>
          <w:szCs w:val="30"/>
        </w:rPr>
        <w:t xml:space="preserve">7.2  Translational Impact</w:t>
      </w:r>
    </w:p>
    <w:p>
      <w:pPr>
        <w:spacing w:before="80" w:after="120"/>
      </w:pPr>
      <w:r>
        <w:rPr>
          <w:rFonts w:ascii="Arial" w:cs="Arial" w:eastAsia="Arial" w:hAnsi="Arial"/>
          <w:color w:val="4A4A4A"/>
          <w:sz w:val="22"/>
          <w:szCs w:val="22"/>
        </w:rPr>
        <w:t xml:space="preserve">Beyond basic science, this project addresses tangible translational bottlenecks:</w:t>
      </w:r>
    </w:p>
    <w:p>
      <w:pPr>
        <w:pStyle w:val="ListParagraph"/>
        <w:numPr>
          <w:ilvl w:val="0"/>
          <w:numId w:val="2"/>
        </w:numPr>
        <w:spacing w:before="60" w:after="60"/>
      </w:pPr>
      <w:r>
        <w:rPr>
          <w:rFonts w:ascii="Arial" w:cs="Arial" w:eastAsia="Arial" w:hAnsi="Arial"/>
          <w:color w:val="4A4A4A"/>
          <w:sz w:val="22"/>
          <w:szCs w:val="22"/>
        </w:rPr>
        <w:t xml:space="preserve">Drug discovery</w:t>
      </w:r>
      <w:r>
        <w:rPr>
          <w:rFonts w:ascii="Arial" w:cs="Arial" w:eastAsia="Arial" w:hAnsi="Arial"/>
          <w:i/>
          <w:iCs/>
          <w:color w:val="888888"/>
          <w:sz w:val="22"/>
          <w:szCs w:val="22"/>
        </w:rPr>
        <w:t xml:space="preserve"> — Establishes confidence limits for PDO-based drug screening data based on passage-quality certification</w:t>
      </w:r>
    </w:p>
    <w:p>
      <w:pPr>
        <w:pStyle w:val="ListParagraph"/>
        <w:numPr>
          <w:ilvl w:val="0"/>
          <w:numId w:val="2"/>
        </w:numPr>
        <w:spacing w:before="60" w:after="60"/>
      </w:pPr>
      <w:r>
        <w:rPr>
          <w:rFonts w:ascii="Arial" w:cs="Arial" w:eastAsia="Arial" w:hAnsi="Arial"/>
          <w:color w:val="4A4A4A"/>
          <w:sz w:val="22"/>
          <w:szCs w:val="22"/>
        </w:rPr>
        <w:t xml:space="preserve">Biomarker development</w:t>
      </w:r>
      <w:r>
        <w:rPr>
          <w:rFonts w:ascii="Arial" w:cs="Arial" w:eastAsia="Arial" w:hAnsi="Arial"/>
          <w:i/>
          <w:iCs/>
          <w:color w:val="888888"/>
          <w:sz w:val="22"/>
          <w:szCs w:val="22"/>
        </w:rPr>
        <w:t xml:space="preserve"> — Ensures PDO-derived biomarker signatures are not artifacts of culture-induced drift</w:t>
      </w:r>
    </w:p>
    <w:p>
      <w:pPr>
        <w:pStyle w:val="ListParagraph"/>
        <w:numPr>
          <w:ilvl w:val="0"/>
          <w:numId w:val="2"/>
        </w:numPr>
        <w:spacing w:before="60" w:after="60"/>
      </w:pPr>
      <w:r>
        <w:rPr>
          <w:rFonts w:ascii="Arial" w:cs="Arial" w:eastAsia="Arial" w:hAnsi="Arial"/>
          <w:color w:val="4A4A4A"/>
          <w:sz w:val="22"/>
          <w:szCs w:val="22"/>
        </w:rPr>
        <w:t xml:space="preserve">Co-clinical trial design</w:t>
      </w:r>
      <w:r>
        <w:rPr>
          <w:rFonts w:ascii="Arial" w:cs="Arial" w:eastAsia="Arial" w:hAnsi="Arial"/>
          <w:i/>
          <w:iCs/>
          <w:color w:val="888888"/>
          <w:sz w:val="22"/>
          <w:szCs w:val="22"/>
        </w:rPr>
        <w:t xml:space="preserve"> — Informs PDO banking protocols for prospective clinical studies, minimizing inter-site variability</w:t>
      </w:r>
    </w:p>
    <w:p>
      <w:pPr>
        <w:pStyle w:val="ListParagraph"/>
        <w:numPr>
          <w:ilvl w:val="0"/>
          <w:numId w:val="2"/>
        </w:numPr>
        <w:spacing w:before="60" w:after="60"/>
      </w:pPr>
      <w:r>
        <w:rPr>
          <w:rFonts w:ascii="Arial" w:cs="Arial" w:eastAsia="Arial" w:hAnsi="Arial"/>
          <w:color w:val="4A4A4A"/>
          <w:sz w:val="22"/>
          <w:szCs w:val="22"/>
        </w:rPr>
        <w:t xml:space="preserve">Regulatory science</w:t>
      </w:r>
      <w:r>
        <w:rPr>
          <w:rFonts w:ascii="Arial" w:cs="Arial" w:eastAsia="Arial" w:hAnsi="Arial"/>
          <w:i/>
          <w:iCs/>
          <w:color w:val="888888"/>
          <w:sz w:val="22"/>
          <w:szCs w:val="22"/>
        </w:rPr>
        <w:t xml:space="preserve"> — Provides data to support FDA and EMA guidance on PDO model qualification for IND-enabling studies</w:t>
      </w:r>
    </w:p>
    <w:p>
      <w:pPr>
        <w:spacing w:before="80" w:after="0"/>
      </w:pPr>
      <w:r>
        <w:t xml:space="preserve"/>
      </w:r>
    </w:p>
    <w:p>
      <w:pPr>
        <w:pStyle w:val="Heading2"/>
        <w:spacing w:before="360" w:after="120"/>
      </w:pPr>
      <w:r>
        <w:rPr>
          <w:rFonts w:ascii="Arial" w:cs="Arial" w:eastAsia="Arial" w:hAnsi="Arial"/>
          <w:b/>
          <w:bCs/>
          <w:color w:val="2E6DB4"/>
          <w:sz w:val="30"/>
          <w:szCs w:val="30"/>
        </w:rPr>
        <w:t xml:space="preserve">7.3  Anticipated Publications</w:t>
      </w:r>
    </w:p>
    <w:p>
      <w:pPr>
        <w:pStyle w:val="ListParagraph"/>
        <w:numPr>
          <w:ilvl w:val="0"/>
          <w:numId w:val="2"/>
        </w:numPr>
        <w:spacing w:before="60" w:after="60"/>
      </w:pPr>
      <w:r>
        <w:rPr>
          <w:rFonts w:ascii="Arial" w:cs="Arial" w:eastAsia="Arial" w:hAnsi="Arial"/>
          <w:color w:val="4A4A4A"/>
          <w:sz w:val="22"/>
          <w:szCs w:val="22"/>
        </w:rPr>
        <w:t xml:space="preserve">Manuscript 1 (Month 14)</w:t>
      </w:r>
      <w:r>
        <w:rPr>
          <w:rFonts w:ascii="Arial" w:cs="Arial" w:eastAsia="Arial" w:hAnsi="Arial"/>
          <w:i/>
          <w:iCs/>
          <w:color w:val="888888"/>
          <w:sz w:val="22"/>
          <w:szCs w:val="22"/>
        </w:rPr>
        <w:t xml:space="preserve"> — Primary research article: Multi-omic characterization of genomic and transcriptomic drift in PDOs across serial passage — Nature Methods or Cell Systems</w:t>
      </w:r>
    </w:p>
    <w:p>
      <w:pPr>
        <w:pStyle w:val="ListParagraph"/>
        <w:numPr>
          <w:ilvl w:val="0"/>
          <w:numId w:val="2"/>
        </w:numPr>
        <w:spacing w:before="60" w:after="60"/>
      </w:pPr>
      <w:r>
        <w:rPr>
          <w:rFonts w:ascii="Arial" w:cs="Arial" w:eastAsia="Arial" w:hAnsi="Arial"/>
          <w:color w:val="4A4A4A"/>
          <w:sz w:val="22"/>
          <w:szCs w:val="22"/>
        </w:rPr>
        <w:t xml:space="preserve">Manuscript 2 (Month 15)</w:t>
      </w:r>
      <w:r>
        <w:rPr>
          <w:rFonts w:ascii="Arial" w:cs="Arial" w:eastAsia="Arial" w:hAnsi="Arial"/>
          <w:i/>
          <w:iCs/>
          <w:color w:val="888888"/>
          <w:sz w:val="22"/>
          <w:szCs w:val="22"/>
        </w:rPr>
        <w:t xml:space="preserve"> — Research article: Molecular determinants of differential growth kinetics in PDOs — Cancer Research or Oncogene</w:t>
      </w:r>
    </w:p>
    <w:p>
      <w:pPr>
        <w:pStyle w:val="ListParagraph"/>
        <w:numPr>
          <w:ilvl w:val="0"/>
          <w:numId w:val="2"/>
        </w:numPr>
        <w:spacing w:before="60" w:after="60"/>
      </w:pPr>
      <w:r>
        <w:rPr>
          <w:rFonts w:ascii="Arial" w:cs="Arial" w:eastAsia="Arial" w:hAnsi="Arial"/>
          <w:color w:val="4A4A4A"/>
          <w:sz w:val="22"/>
          <w:szCs w:val="22"/>
        </w:rPr>
        <w:t xml:space="preserve">Manuscript 3 (Month 17)</w:t>
      </w:r>
      <w:r>
        <w:rPr>
          <w:rFonts w:ascii="Arial" w:cs="Arial" w:eastAsia="Arial" w:hAnsi="Arial"/>
          <w:i/>
          <w:iCs/>
          <w:color w:val="888888"/>
          <w:sz w:val="22"/>
          <w:szCs w:val="22"/>
        </w:rPr>
        <w:t xml:space="preserve"> — Methods article: MODS — a composite drift scoring framework for PDO quality control — eLife or PLOS Biology</w:t>
      </w:r>
    </w:p>
    <w:p>
      <w:pPr>
        <w:pStyle w:val="ListParagraph"/>
        <w:numPr>
          <w:ilvl w:val="0"/>
          <w:numId w:val="2"/>
        </w:numPr>
        <w:spacing w:before="60" w:after="60"/>
      </w:pPr>
      <w:r>
        <w:rPr>
          <w:rFonts w:ascii="Arial" w:cs="Arial" w:eastAsia="Arial" w:hAnsi="Arial"/>
          <w:color w:val="4A4A4A"/>
          <w:sz w:val="22"/>
          <w:szCs w:val="22"/>
        </w:rPr>
        <w:t xml:space="preserve">Data descriptor (Month 18)</w:t>
      </w:r>
      <w:r>
        <w:rPr>
          <w:rFonts w:ascii="Arial" w:cs="Arial" w:eastAsia="Arial" w:hAnsi="Arial"/>
          <w:i/>
          <w:iCs/>
          <w:color w:val="888888"/>
          <w:sz w:val="22"/>
          <w:szCs w:val="22"/>
        </w:rPr>
        <w:t xml:space="preserve"> — PDO Temporal Drift Atlas: A multi-omic, passage-resolved resource — Scientific Data</w:t>
      </w:r>
    </w:p>
    <w:p>
      <w:pPr>
        <w:spacing w:before="80" w:after="0"/>
      </w:pPr>
      <w:r>
        <w:t xml:space="preserve"/>
      </w:r>
    </w:p>
    <w:p>
      <w:r>
        <w:br w:type="page"/>
      </w:r>
    </w:p>
    <w:p>
      <w:pPr>
        <w:pStyle w:val="Heading1"/>
        <w:spacing w:before="360" w:after="120"/>
      </w:pPr>
      <w:r>
        <w:rPr>
          <w:rFonts w:ascii="Arial" w:cs="Arial" w:eastAsia="Arial" w:hAnsi="Arial"/>
          <w:b/>
          <w:bCs/>
          <w:color w:val="1B3A6B"/>
          <w:sz w:val="36"/>
          <w:szCs w:val="36"/>
        </w:rPr>
        <w:t xml:space="preserve">8. Quality Control &amp; Risk Mitigation</w:t>
      </w:r>
    </w:p>
    <w:p>
      <w:pPr>
        <w:pBdr>
          <w:bottom w:val="single" w:color="2E6DB4" w:sz="4"/>
        </w:pBdr>
        <w:spacing w:before="160" w:after="160"/>
      </w:pPr>
      <w:r>
        <w:t xml:space="preserve"/>
      </w:r>
    </w:p>
    <w:p>
      <w:pPr>
        <w:pStyle w:val="Heading2"/>
        <w:spacing w:before="360" w:after="120"/>
      </w:pPr>
      <w:r>
        <w:rPr>
          <w:rFonts w:ascii="Arial" w:cs="Arial" w:eastAsia="Arial" w:hAnsi="Arial"/>
          <w:b/>
          <w:bCs/>
          <w:color w:val="2E6DB4"/>
          <w:sz w:val="30"/>
          <w:szCs w:val="30"/>
        </w:rPr>
        <w:t xml:space="preserve">8.1  PDO Culture QC Thresholds</w:t>
      </w:r>
    </w:p>
    <w:p>
      <w:pPr>
        <w:spacing w:before="80" w:after="120"/>
      </w:pPr>
      <w:r>
        <w:rPr>
          <w:rFonts w:ascii="Arial" w:cs="Arial" w:eastAsia="Arial" w:hAnsi="Arial"/>
          <w:color w:val="4A4A4A"/>
          <w:sz w:val="22"/>
          <w:szCs w:val="22"/>
        </w:rPr>
        <w:t xml:space="preserve">Each passage event and sample collection will be gated on the following minimum quality criteria before proceeding to molecular profiling: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7A6E" w:sz="1"/>
              <w:left w:val="single" w:color="1A7A6E" w:sz="1"/>
              <w:bottom w:val="single" w:color="1A7A6E" w:sz="1"/>
              <w:right w:val="single" w:color="1A7A6E" w:sz="1"/>
            </w:tcBorders>
            <w:shd w:fill="1A7A6E" w:val="clear"/>
            <w:tcMar>
              <w:top w:type="dxa" w:w="100"/>
              <w:left w:type="dxa" w:w="140"/>
              <w:bottom w:type="dxa" w:w="100"/>
              <w:right w:type="dxa" w:w="140"/>
            </w:tcMar>
          </w:tcPr>
          <w:p>
            <w:r>
              <w:rPr>
                <w:rFonts w:ascii="Arial" w:cs="Arial" w:eastAsia="Arial" w:hAnsi="Arial"/>
                <w:b/>
                <w:bCs/>
                <w:color w:val="FFFFFF"/>
                <w:sz w:val="20"/>
                <w:szCs w:val="20"/>
              </w:rPr>
              <w:t xml:space="preserve">QC Parameter</w:t>
            </w:r>
          </w:p>
        </w:tc>
        <w:tc>
          <w:tcPr>
            <w:tcW w:type="dxa" w:w="3000"/>
            <w:tcBorders>
              <w:top w:val="single" w:color="1A7A6E" w:sz="1"/>
              <w:left w:val="single" w:color="1A7A6E" w:sz="1"/>
              <w:bottom w:val="single" w:color="1A7A6E" w:sz="1"/>
              <w:right w:val="single" w:color="1A7A6E" w:sz="1"/>
            </w:tcBorders>
            <w:shd w:fill="1A7A6E" w:val="clear"/>
            <w:tcMar>
              <w:top w:type="dxa" w:w="100"/>
              <w:left w:type="dxa" w:w="140"/>
              <w:bottom w:type="dxa" w:w="100"/>
              <w:right w:type="dxa" w:w="140"/>
            </w:tcMar>
          </w:tcPr>
          <w:p>
            <w:r>
              <w:rPr>
                <w:rFonts w:ascii="Arial" w:cs="Arial" w:eastAsia="Arial" w:hAnsi="Arial"/>
                <w:b/>
                <w:bCs/>
                <w:color w:val="FFFFFF"/>
                <w:sz w:val="20"/>
                <w:szCs w:val="20"/>
              </w:rPr>
              <w:t xml:space="preserve">Minimum Threshold</w:t>
            </w:r>
          </w:p>
        </w:tc>
        <w:tc>
          <w:tcPr>
            <w:tcW w:type="dxa" w:w="3360"/>
            <w:tcBorders>
              <w:top w:val="single" w:color="1A7A6E" w:sz="1"/>
              <w:left w:val="single" w:color="1A7A6E" w:sz="1"/>
              <w:bottom w:val="single" w:color="1A7A6E" w:sz="1"/>
              <w:right w:val="single" w:color="1A7A6E" w:sz="1"/>
            </w:tcBorders>
            <w:shd w:fill="1A7A6E" w:val="clear"/>
            <w:tcMar>
              <w:top w:type="dxa" w:w="100"/>
              <w:left w:type="dxa" w:w="140"/>
              <w:bottom w:type="dxa" w:w="100"/>
              <w:right w:type="dxa" w:w="140"/>
            </w:tcMar>
          </w:tcPr>
          <w:p>
            <w:r>
              <w:rPr>
                <w:rFonts w:ascii="Arial" w:cs="Arial" w:eastAsia="Arial" w:hAnsi="Arial"/>
                <w:b/>
                <w:bCs/>
                <w:color w:val="FFFFFF"/>
                <w:sz w:val="20"/>
                <w:szCs w:val="20"/>
              </w:rPr>
              <w:t xml:space="preserve">Remediation if Failed</w:t>
            </w:r>
          </w:p>
        </w:tc>
      </w:tr>
      <w:tr>
        <w:tc>
          <w:tcPr>
            <w:tcW w:type="dxa" w:w="30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Cell viability (trypan blue)</w:t>
            </w:r>
          </w:p>
        </w:tc>
        <w:tc>
          <w:tcPr>
            <w:tcW w:type="dxa" w:w="30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≥85% viable at harvest</w:t>
            </w:r>
          </w:p>
        </w:tc>
        <w:tc>
          <w:tcPr>
            <w:tcW w:type="dxa" w:w="336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Repeat passage; investigate media lot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Mycoplasma status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Negative (monthly testing)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Discard line; restore from biobank</w:t>
            </w:r>
          </w:p>
        </w:tc>
      </w:tr>
      <w:tr>
        <w:tc>
          <w:tcPr>
            <w:tcW w:type="dxa" w:w="30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STR profiling (6-monthly)</w:t>
            </w:r>
          </w:p>
        </w:tc>
        <w:tc>
          <w:tcPr>
            <w:tcW w:type="dxa" w:w="30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≥80% concordance with P2 reference</w:t>
            </w:r>
          </w:p>
        </w:tc>
        <w:tc>
          <w:tcPr>
            <w:tcW w:type="dxa" w:w="336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Flag line; increase WES priority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Organoid morphology score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≥3/5 structured morphology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Document; include as covariate</w:t>
            </w:r>
          </w:p>
        </w:tc>
      </w:tr>
      <w:tr>
        <w:tc>
          <w:tcPr>
            <w:tcW w:type="dxa" w:w="30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RNA integrity (RIN)</w:t>
            </w:r>
          </w:p>
        </w:tc>
        <w:tc>
          <w:tcPr>
            <w:tcW w:type="dxa" w:w="300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≥7.0 for RNA-seq libraries</w:t>
            </w:r>
          </w:p>
        </w:tc>
        <w:tc>
          <w:tcPr>
            <w:tcW w:type="dxa" w:w="3360"/>
            <w:tcBorders>
              <w:top w:val="single" w:color="CCCCCC" w:sz="1"/>
              <w:left w:val="single" w:color="CCCCCC" w:sz="1"/>
              <w:bottom w:val="single" w:color="CCCCCC" w:sz="1"/>
              <w:right w:val="single" w:color="CCCCCC" w:sz="1"/>
            </w:tcBorders>
            <w:shd w:fill="D0EFEC" w:val="clear"/>
            <w:tcMar>
              <w:top w:type="dxa" w:w="90"/>
              <w:left w:type="dxa" w:w="140"/>
              <w:bottom w:type="dxa" w:w="90"/>
              <w:right w:type="dxa" w:w="140"/>
            </w:tcMar>
          </w:tcPr>
          <w:p>
            <w:r>
              <w:rPr>
                <w:rFonts w:ascii="Arial" w:cs="Arial" w:eastAsia="Arial" w:hAnsi="Arial"/>
                <w:color w:val="4A4A4A"/>
                <w:sz w:val="19"/>
                <w:szCs w:val="19"/>
              </w:rPr>
              <w:t xml:space="preserve">Re-extract; adjust homogenization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WES target coverage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≥100× at 90% of target bases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Re-sequence affected sample</w:t>
            </w:r>
          </w:p>
        </w:tc>
      </w:tr>
    </w:tbl>
    <w:p>
      <w:pPr>
        <w:spacing w:before="160" w:after="0"/>
      </w:pPr>
      <w:r>
        <w:t xml:space="preserve"/>
      </w:r>
    </w:p>
    <w:p>
      <w:pPr>
        <w:pStyle w:val="Heading2"/>
        <w:spacing w:before="360" w:after="120"/>
      </w:pPr>
      <w:r>
        <w:rPr>
          <w:rFonts w:ascii="Arial" w:cs="Arial" w:eastAsia="Arial" w:hAnsi="Arial"/>
          <w:b/>
          <w:bCs/>
          <w:color w:val="2E6DB4"/>
          <w:sz w:val="30"/>
          <w:szCs w:val="30"/>
        </w:rPr>
        <w:t xml:space="preserve">8.2  Risk Register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5C00" w:sz="1"/>
              <w:left w:val="single" w:color="C95C00" w:sz="1"/>
              <w:bottom w:val="single" w:color="C95C00" w:sz="1"/>
              <w:right w:val="single" w:color="C95C00" w:sz="1"/>
            </w:tcBorders>
            <w:shd w:fill="FAE6D5" w:val="clear"/>
            <w:tcMar>
              <w:top w:type="dxa" w:w="160"/>
              <w:left w:type="dxa" w:w="240"/>
              <w:bottom w:type="dxa" w:w="160"/>
              <w:right w:type="dxa" w:w="240"/>
            </w:tcMar>
          </w:tcPr>
          <w:p>
            <w:pPr>
              <w:spacing w:before="0" w:after="100"/>
            </w:pPr>
            <w:r>
              <w:rPr>
                <w:rFonts w:ascii="Arial" w:cs="Arial" w:eastAsia="Arial" w:hAnsi="Arial"/>
                <w:b/>
                <w:bCs/>
                <w:color w:val="C95C00"/>
                <w:sz w:val="22"/>
                <w:szCs w:val="22"/>
              </w:rPr>
              <w:t xml:space="preserve">High-Priority Risks &amp; Mitigations:</w:t>
            </w:r>
          </w:p>
          <w:p>
            <w:pPr>
              <w:pStyle w:val="ListParagraph"/>
              <w:numPr>
                <w:ilvl w:val="0"/>
                <w:numId w:val="2"/>
              </w:numPr>
              <w:spacing w:before="50" w:after="50"/>
            </w:pPr>
            <w:r>
              <w:rPr>
                <w:rFonts w:ascii="Arial" w:cs="Arial" w:eastAsia="Arial" w:hAnsi="Arial"/>
                <w:color w:val="333333"/>
                <w:sz w:val="20"/>
                <w:szCs w:val="20"/>
              </w:rPr>
              <w:t xml:space="preserve">Risk: PDO line contamination or loss — Mitigation: Biobank cryovials at every 5th passage (minimum 5 vials); monthly mycoplasma testing; STR authentication every 6 months</w:t>
            </w:r>
          </w:p>
          <w:p>
            <w:pPr>
              <w:pStyle w:val="ListParagraph"/>
              <w:numPr>
                <w:ilvl w:val="0"/>
                <w:numId w:val="2"/>
              </w:numPr>
              <w:spacing w:before="50" w:after="50"/>
            </w:pPr>
            <w:r>
              <w:rPr>
                <w:rFonts w:ascii="Arial" w:cs="Arial" w:eastAsia="Arial" w:hAnsi="Arial"/>
                <w:color w:val="333333"/>
                <w:sz w:val="20"/>
                <w:szCs w:val="20"/>
              </w:rPr>
              <w:t xml:space="preserve">Risk: Inter-operator technical variability inflating biological drift signal — Mitigation: Written SOPs for all culture steps; operator-blinded randomization of passage order; inclusion of technical replicates</w:t>
            </w:r>
          </w:p>
          <w:p>
            <w:pPr>
              <w:pStyle w:val="ListParagraph"/>
              <w:numPr>
                <w:ilvl w:val="0"/>
                <w:numId w:val="2"/>
              </w:numPr>
              <w:spacing w:before="50" w:after="50"/>
            </w:pPr>
            <w:r>
              <w:rPr>
                <w:rFonts w:ascii="Arial" w:cs="Arial" w:eastAsia="Arial" w:hAnsi="Arial"/>
                <w:color w:val="333333"/>
                <w:sz w:val="20"/>
                <w:szCs w:val="20"/>
              </w:rPr>
              <w:t xml:space="preserve">Risk: Insufficient cell yield for multi-omic profiling at later passages — Mitigation: Low-input library protocols (Smart-seq3, SRSLY); scale-up culture vessels at P15+</w:t>
            </w:r>
          </w:p>
          <w:p>
            <w:pPr>
              <w:pStyle w:val="ListParagraph"/>
              <w:numPr>
                <w:ilvl w:val="0"/>
                <w:numId w:val="2"/>
              </w:numPr>
              <w:spacing w:before="50" w:after="50"/>
            </w:pPr>
            <w:r>
              <w:rPr>
                <w:rFonts w:ascii="Arial" w:cs="Arial" w:eastAsia="Arial" w:hAnsi="Arial"/>
                <w:color w:val="333333"/>
                <w:sz w:val="20"/>
                <w:szCs w:val="20"/>
              </w:rPr>
              <w:t xml:space="preserve">Risk: Loss of clinical annotation integrity — Mitigation: REDCap database with audit trail; double data entry for all clinical metadata; de-identification pipeline</w:t>
            </w:r>
          </w:p>
          <w:p>
            <w:pPr>
              <w:pStyle w:val="ListParagraph"/>
              <w:numPr>
                <w:ilvl w:val="0"/>
                <w:numId w:val="2"/>
              </w:numPr>
              <w:spacing w:before="50" w:after="50"/>
            </w:pPr>
            <w:r>
              <w:rPr>
                <w:rFonts w:ascii="Arial" w:cs="Arial" w:eastAsia="Arial" w:hAnsi="Arial"/>
                <w:color w:val="333333"/>
                <w:sz w:val="20"/>
                <w:szCs w:val="20"/>
              </w:rPr>
              <w:t xml:space="preserve">Risk: Computational resource bottlenecks — Mitigation: Pre-allocated HPC core-hours; cloud burst capacity via AWS on demand</w:t>
            </w:r>
          </w:p>
        </w:tc>
      </w:tr>
    </w:tbl>
    <w:p>
      <w:pPr>
        <w:spacing w:before="80" w:after="0"/>
      </w:pPr>
      <w:r>
        <w:t xml:space="preserve"/>
      </w:r>
    </w:p>
    <w:p>
      <w:r>
        <w:br w:type="page"/>
      </w:r>
    </w:p>
    <w:p>
      <w:pPr>
        <w:pStyle w:val="Heading1"/>
        <w:spacing w:before="360" w:after="120"/>
      </w:pPr>
      <w:r>
        <w:rPr>
          <w:rFonts w:ascii="Arial" w:cs="Arial" w:eastAsia="Arial" w:hAnsi="Arial"/>
          <w:b/>
          <w:bCs/>
          <w:color w:val="1B3A6B"/>
          <w:sz w:val="36"/>
          <w:szCs w:val="36"/>
        </w:rPr>
        <w:t xml:space="preserve">9. Team, Roles &amp; Resource Requirements</w:t>
      </w:r>
    </w:p>
    <w:p>
      <w:pPr>
        <w:pBdr>
          <w:bottom w:val="single" w:color="2E6DB4" w:sz="4"/>
        </w:pBdr>
        <w:spacing w:before="160" w:after="160"/>
      </w:pPr>
      <w:r>
        <w:t xml:space="preserve"/>
      </w:r>
    </w:p>
    <w:p>
      <w:pPr>
        <w:pStyle w:val="Heading2"/>
        <w:spacing w:before="360" w:after="120"/>
      </w:pPr>
      <w:r>
        <w:rPr>
          <w:rFonts w:ascii="Arial" w:cs="Arial" w:eastAsia="Arial" w:hAnsi="Arial"/>
          <w:b/>
          <w:bCs/>
          <w:color w:val="2E6DB4"/>
          <w:sz w:val="30"/>
          <w:szCs w:val="30"/>
        </w:rPr>
        <w:t xml:space="preserve">9.1  Proposed Team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Effort (FTE)</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Principal Investigator</w:t>
            </w:r>
          </w:p>
        </w:tc>
        <w:tc>
          <w:tcPr>
            <w:tcW w:type="dxa" w:w="24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0.20 FTE</w:t>
            </w:r>
          </w:p>
        </w:tc>
        <w:tc>
          <w:tcPr>
            <w:tcW w:type="dxa" w:w="47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Scientific leadership, grant oversight, manuscript senior authorship</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Co-Investigator (Bioinformatics)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0.30 FTE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Pipeline development, MODS framework, data management, computational analysis</w:t>
            </w:r>
          </w:p>
        </w:tc>
      </w:tr>
      <w:tr>
        <w:tc>
          <w:tcPr>
            <w:tcW w:type="dxa" w:w="22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Research Scientist (PDO Biology)</w:t>
            </w:r>
          </w:p>
        </w:tc>
        <w:tc>
          <w:tcPr>
            <w:tcW w:type="dxa" w:w="24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1.00 FTE</w:t>
            </w:r>
          </w:p>
        </w:tc>
        <w:tc>
          <w:tcPr>
            <w:tcW w:type="dxa" w:w="47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PDO culture, passaging, cryopreservation, functional assays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Postdoctoral Fellow (Genomics)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1.00 FTE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WES/RRBS library prep, genomic analysis, clonal evolution modeling</w:t>
            </w:r>
          </w:p>
        </w:tc>
      </w:tr>
      <w:tr>
        <w:tc>
          <w:tcPr>
            <w:tcW w:type="dxa" w:w="22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Postdoctoral Fellow (Transcriptomics)</w:t>
            </w:r>
          </w:p>
        </w:tc>
        <w:tc>
          <w:tcPr>
            <w:tcW w:type="dxa" w:w="24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1.00 FTE</w:t>
            </w:r>
          </w:p>
        </w:tc>
        <w:tc>
          <w:tcPr>
            <w:tcW w:type="dxa" w:w="47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RNA-seq/scRNA-seq, transcriptional drift analysis, manuscript preparation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Research Technician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1.00 FTE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A4A4A"/>
                <w:sz w:val="19"/>
                <w:szCs w:val="19"/>
              </w:rPr>
              <w:t xml:space="preserve">Cell culture support, QC assays, biobanking, administrative lab tasks</w:t>
            </w:r>
          </w:p>
        </w:tc>
      </w:tr>
      <w:tr>
        <w:tc>
          <w:tcPr>
            <w:tcW w:type="dxa" w:w="22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Biostatistician (part-time)</w:t>
            </w:r>
          </w:p>
        </w:tc>
        <w:tc>
          <w:tcPr>
            <w:tcW w:type="dxa" w:w="24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0.20 FTE</w:t>
            </w:r>
          </w:p>
        </w:tc>
        <w:tc>
          <w:tcPr>
            <w:tcW w:type="dxa" w:w="47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color w:val="4A4A4A"/>
                <w:sz w:val="19"/>
                <w:szCs w:val="19"/>
              </w:rPr>
              <w:t xml:space="preserve">Study design, power calculations, primary endpoint statistical analysis</w:t>
            </w:r>
          </w:p>
        </w:tc>
      </w:tr>
    </w:tbl>
    <w:p>
      <w:pPr>
        <w:spacing w:before="160" w:after="0"/>
      </w:pPr>
      <w:r>
        <w:t xml:space="preserve"/>
      </w:r>
    </w:p>
    <w:p>
      <w:pPr>
        <w:pStyle w:val="Heading2"/>
        <w:spacing w:before="360" w:after="120"/>
      </w:pPr>
      <w:r>
        <w:rPr>
          <w:rFonts w:ascii="Arial" w:cs="Arial" w:eastAsia="Arial" w:hAnsi="Arial"/>
          <w:b/>
          <w:bCs/>
          <w:color w:val="2E6DB4"/>
          <w:sz w:val="30"/>
          <w:szCs w:val="30"/>
        </w:rPr>
        <w:t xml:space="preserve">9.2  Estimated Budget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2E6DB4" w:sz="1"/>
              <w:left w:val="single" w:color="2E6DB4" w:sz="1"/>
              <w:bottom w:val="single" w:color="2E6DB4" w:sz="1"/>
              <w:right w:val="single" w:color="2E6DB4" w:sz="1"/>
            </w:tcBorders>
            <w:shd w:fill="2E6DB4" w:val="clear"/>
            <w:tcMar>
              <w:top w:type="dxa" w:w="100"/>
              <w:left w:type="dxa" w:w="140"/>
              <w:bottom w:type="dxa" w:w="100"/>
              <w:right w:type="dxa" w:w="140"/>
            </w:tcMar>
          </w:tcPr>
          <w:p>
            <w:r>
              <w:rPr>
                <w:rFonts w:ascii="Arial" w:cs="Arial" w:eastAsia="Arial" w:hAnsi="Arial"/>
                <w:b/>
                <w:bCs/>
                <w:color w:val="FFFFFF"/>
                <w:sz w:val="20"/>
                <w:szCs w:val="20"/>
              </w:rPr>
              <w:t xml:space="preserve">Budget Category</w:t>
            </w:r>
          </w:p>
        </w:tc>
        <w:tc>
          <w:tcPr>
            <w:tcW w:type="dxa" w:w="2000"/>
            <w:tcBorders>
              <w:top w:val="single" w:color="2E6DB4" w:sz="1"/>
              <w:left w:val="single" w:color="2E6DB4" w:sz="1"/>
              <w:bottom w:val="single" w:color="2E6DB4" w:sz="1"/>
              <w:right w:val="single" w:color="2E6DB4" w:sz="1"/>
            </w:tcBorders>
            <w:shd w:fill="2E6DB4" w:val="clear"/>
            <w:tcMar>
              <w:top w:type="dxa" w:w="100"/>
              <w:left w:type="dxa" w:w="140"/>
              <w:bottom w:type="dxa" w:w="100"/>
              <w:right w:type="dxa" w:w="140"/>
            </w:tcMar>
          </w:tcPr>
          <w:p>
            <w:r>
              <w:rPr>
                <w:rFonts w:ascii="Arial" w:cs="Arial" w:eastAsia="Arial" w:hAnsi="Arial"/>
                <w:b/>
                <w:bCs/>
                <w:color w:val="FFFFFF"/>
                <w:sz w:val="20"/>
                <w:szCs w:val="20"/>
              </w:rPr>
              <w:t xml:space="preserve">Per Year (Est.)</w:t>
            </w:r>
          </w:p>
        </w:tc>
        <w:tc>
          <w:tcPr>
            <w:tcW w:type="dxa" w:w="2360"/>
            <w:tcBorders>
              <w:top w:val="single" w:color="2E6DB4" w:sz="1"/>
              <w:left w:val="single" w:color="2E6DB4" w:sz="1"/>
              <w:bottom w:val="single" w:color="2E6DB4" w:sz="1"/>
              <w:right w:val="single" w:color="2E6DB4" w:sz="1"/>
            </w:tcBorders>
            <w:shd w:fill="2E6DB4" w:val="clear"/>
            <w:tcMar>
              <w:top w:type="dxa" w:w="100"/>
              <w:left w:type="dxa" w:w="140"/>
              <w:bottom w:type="dxa" w:w="100"/>
              <w:right w:type="dxa" w:w="140"/>
            </w:tcMar>
          </w:tcPr>
          <w:p>
            <w:r>
              <w:rPr>
                <w:rFonts w:ascii="Arial" w:cs="Arial" w:eastAsia="Arial" w:hAnsi="Arial"/>
                <w:b/>
                <w:bCs/>
                <w:color w:val="FFFFFF"/>
                <w:sz w:val="20"/>
                <w:szCs w:val="20"/>
              </w:rPr>
              <w:t xml:space="preserve">18-Month Total</w:t>
            </w:r>
          </w:p>
        </w:tc>
      </w:tr>
      <w:tr>
        <w:tc>
          <w:tcPr>
            <w:tcW w:type="dxa" w:w="5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Personnel (5.5 FTE total)</w:t>
            </w:r>
          </w:p>
        </w:tc>
        <w:tc>
          <w:tcPr>
            <w:tcW w:type="dxa" w:w="2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$520,000</w:t>
            </w:r>
          </w:p>
        </w:tc>
        <w:tc>
          <w:tcPr>
            <w:tcW w:type="dxa" w:w="23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$780,000</w:t>
            </w:r>
          </w:p>
        </w:tc>
      </w:tr>
      <w:tr>
        <w:tc>
          <w:tcPr>
            <w:tcW w:type="dxa" w:w="5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Sequencing (WES, RNA-seq, RRBS, scRNA-seq)</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$180,000</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$270,000</w:t>
            </w:r>
          </w:p>
        </w:tc>
      </w:tr>
      <w:tr>
        <w:tc>
          <w:tcPr>
            <w:tcW w:type="dxa" w:w="5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Cell culture consumables &amp; reagents</w:t>
            </w:r>
          </w:p>
        </w:tc>
        <w:tc>
          <w:tcPr>
            <w:tcW w:type="dxa" w:w="2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$60,000</w:t>
            </w:r>
          </w:p>
        </w:tc>
        <w:tc>
          <w:tcPr>
            <w:tcW w:type="dxa" w:w="23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$90,000</w:t>
            </w:r>
          </w:p>
        </w:tc>
      </w:tr>
      <w:tr>
        <w:tc>
          <w:tcPr>
            <w:tcW w:type="dxa" w:w="5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Functional assay reagents &amp; drug compounds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$30,000</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$45,000</w:t>
            </w:r>
          </w:p>
        </w:tc>
      </w:tr>
      <w:tr>
        <w:tc>
          <w:tcPr>
            <w:tcW w:type="dxa" w:w="5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Proteomics / metabolomics (outsourced core)</w:t>
            </w:r>
          </w:p>
        </w:tc>
        <w:tc>
          <w:tcPr>
            <w:tcW w:type="dxa" w:w="2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$40,000</w:t>
            </w:r>
          </w:p>
        </w:tc>
        <w:tc>
          <w:tcPr>
            <w:tcW w:type="dxa" w:w="23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$60,000</w:t>
            </w:r>
          </w:p>
        </w:tc>
      </w:tr>
      <w:tr>
        <w:tc>
          <w:tcPr>
            <w:tcW w:type="dxa" w:w="5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High-content imaging consumables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$15,000</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$22,500</w:t>
            </w:r>
          </w:p>
        </w:tc>
      </w:tr>
      <w:tr>
        <w:tc>
          <w:tcPr>
            <w:tcW w:type="dxa" w:w="5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Computational resources (HPC + cloud)</w:t>
            </w:r>
          </w:p>
        </w:tc>
        <w:tc>
          <w:tcPr>
            <w:tcW w:type="dxa" w:w="200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$20,000</w:t>
            </w:r>
          </w:p>
        </w:tc>
        <w:tc>
          <w:tcPr>
            <w:tcW w:type="dxa" w:w="2360"/>
            <w:tcBorders>
              <w:top w:val="single" w:color="CCCCCC" w:sz="1"/>
              <w:left w:val="single" w:color="CCCCCC" w:sz="1"/>
              <w:bottom w:val="single" w:color="CCCCCC" w:sz="1"/>
              <w:right w:val="single" w:color="CCCCCC" w:sz="1"/>
            </w:tcBorders>
            <w:shd w:fill="EEF4FC" w:val="clear"/>
            <w:tcMar>
              <w:top w:type="dxa" w:w="90"/>
              <w:left w:type="dxa" w:w="140"/>
              <w:bottom w:type="dxa" w:w="90"/>
              <w:right w:type="dxa" w:w="140"/>
            </w:tcMar>
          </w:tcPr>
          <w:p>
            <w:r>
              <w:rPr>
                <w:rFonts w:ascii="Arial" w:cs="Arial" w:eastAsia="Arial" w:hAnsi="Arial"/>
                <w:b w:val="false"/>
                <w:bCs w:val="false"/>
                <w:color w:val="4A4A4A"/>
                <w:sz w:val="20"/>
                <w:szCs w:val="20"/>
              </w:rPr>
              <w:t xml:space="preserve">$30,000</w:t>
            </w:r>
          </w:p>
        </w:tc>
      </w:tr>
      <w:tr>
        <w:tc>
          <w:tcPr>
            <w:tcW w:type="dxa" w:w="5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Indirect costs (estimated @ 55%)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$473,500</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4A4A4A"/>
                <w:sz w:val="20"/>
                <w:szCs w:val="20"/>
              </w:rPr>
              <w:t xml:space="preserve">$710,250</w:t>
            </w:r>
          </w:p>
        </w:tc>
      </w:tr>
      <w:tr>
        <w:tc>
          <w:tcPr>
            <w:tcW w:type="dxa" w:w="5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TOTAL ESTIMATED BUDGET</w:t>
            </w:r>
          </w:p>
        </w:tc>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$1,338,500</w:t>
            </w:r>
          </w:p>
        </w:tc>
        <w:tc>
          <w:tcPr>
            <w:tcW w:type="dxa" w:w="23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$2,007,750</w:t>
            </w:r>
          </w:p>
        </w:tc>
      </w:tr>
    </w:tbl>
    <w:p>
      <w:pPr>
        <w:spacing w:before="80" w:after="0"/>
      </w:pPr>
      <w:r>
        <w:t xml:space="preserve"/>
      </w:r>
    </w:p>
    <w:p>
      <w:r>
        <w:br w:type="page"/>
      </w:r>
    </w:p>
    <w:p>
      <w:pPr>
        <w:pStyle w:val="Heading1"/>
        <w:spacing w:before="360" w:after="120"/>
      </w:pPr>
      <w:r>
        <w:rPr>
          <w:rFonts w:ascii="Arial" w:cs="Arial" w:eastAsia="Arial" w:hAnsi="Arial"/>
          <w:b/>
          <w:bCs/>
          <w:color w:val="1B3A6B"/>
          <w:sz w:val="36"/>
          <w:szCs w:val="36"/>
        </w:rPr>
        <w:t xml:space="preserve">10. Ethical, Regulatory &amp; Data Governance Considerations</w:t>
      </w:r>
    </w:p>
    <w:p>
      <w:pPr>
        <w:pBdr>
          <w:bottom w:val="single" w:color="2E6DB4" w:sz="4"/>
        </w:pBdr>
        <w:spacing w:before="160" w:after="160"/>
      </w:pPr>
      <w:r>
        <w:t xml:space="preserve"/>
      </w:r>
    </w:p>
    <w:p>
      <w:pPr>
        <w:pStyle w:val="Heading2"/>
        <w:spacing w:before="360" w:after="120"/>
      </w:pPr>
      <w:r>
        <w:rPr>
          <w:rFonts w:ascii="Arial" w:cs="Arial" w:eastAsia="Arial" w:hAnsi="Arial"/>
          <w:b/>
          <w:bCs/>
          <w:color w:val="2E6DB4"/>
          <w:sz w:val="30"/>
          <w:szCs w:val="30"/>
        </w:rPr>
        <w:t xml:space="preserve">10.1  Human Subjects &amp; Tissue Procurement</w:t>
      </w:r>
    </w:p>
    <w:p>
      <w:pPr>
        <w:spacing w:before="80" w:after="120"/>
      </w:pPr>
      <w:r>
        <w:rPr>
          <w:rFonts w:ascii="Arial" w:cs="Arial" w:eastAsia="Arial" w:hAnsi="Arial"/>
          <w:color w:val="4A4A4A"/>
          <w:sz w:val="22"/>
          <w:szCs w:val="22"/>
        </w:rPr>
        <w:t xml:space="preserve">All PDO lines will be derived from patient tissue collected under IRB-approved biobanking protocols. Informed consent will include explicit language permitting organoid derivation, extended in vitro culture, genomic profiling, and sharing of de-identified molecular data in public repositories. Patients will retain the right to withdraw consent for future data use.</w:t>
      </w:r>
    </w:p>
    <w:p>
      <w:pPr>
        <w:pStyle w:val="ListParagraph"/>
        <w:numPr>
          <w:ilvl w:val="0"/>
          <w:numId w:val="2"/>
        </w:numPr>
        <w:spacing w:before="60" w:after="60"/>
      </w:pPr>
      <w:r>
        <w:rPr>
          <w:rFonts w:ascii="Arial" w:cs="Arial" w:eastAsia="Arial" w:hAnsi="Arial"/>
          <w:color w:val="4A4A4A"/>
          <w:sz w:val="22"/>
          <w:szCs w:val="22"/>
        </w:rPr>
        <w:t xml:space="preserve">IRB protocol</w:t>
      </w:r>
      <w:r>
        <w:rPr>
          <w:rFonts w:ascii="Arial" w:cs="Arial" w:eastAsia="Arial" w:hAnsi="Arial"/>
          <w:i/>
          <w:iCs/>
          <w:color w:val="888888"/>
          <w:sz w:val="22"/>
          <w:szCs w:val="22"/>
        </w:rPr>
        <w:t xml:space="preserve"> — Existing institutional biobank protocol (amendment required for passage-extended profiling)</w:t>
      </w:r>
    </w:p>
    <w:p>
      <w:pPr>
        <w:pStyle w:val="ListParagraph"/>
        <w:numPr>
          <w:ilvl w:val="0"/>
          <w:numId w:val="2"/>
        </w:numPr>
        <w:spacing w:before="60" w:after="60"/>
      </w:pPr>
      <w:r>
        <w:rPr>
          <w:rFonts w:ascii="Arial" w:cs="Arial" w:eastAsia="Arial" w:hAnsi="Arial"/>
          <w:color w:val="4A4A4A"/>
          <w:sz w:val="22"/>
          <w:szCs w:val="22"/>
        </w:rPr>
        <w:t xml:space="preserve">Data de-identification</w:t>
      </w:r>
      <w:r>
        <w:rPr>
          <w:rFonts w:ascii="Arial" w:cs="Arial" w:eastAsia="Arial" w:hAnsi="Arial"/>
          <w:i/>
          <w:iCs/>
          <w:color w:val="888888"/>
          <w:sz w:val="22"/>
          <w:szCs w:val="22"/>
        </w:rPr>
        <w:t xml:space="preserve"> — HIPAA Safe Harbor standard; all samples assigned anonymous PDO-IDs</w:t>
      </w:r>
    </w:p>
    <w:p>
      <w:pPr>
        <w:pStyle w:val="ListParagraph"/>
        <w:numPr>
          <w:ilvl w:val="0"/>
          <w:numId w:val="2"/>
        </w:numPr>
        <w:spacing w:before="60" w:after="60"/>
      </w:pPr>
      <w:r>
        <w:rPr>
          <w:rFonts w:ascii="Arial" w:cs="Arial" w:eastAsia="Arial" w:hAnsi="Arial"/>
          <w:color w:val="4A4A4A"/>
          <w:sz w:val="22"/>
          <w:szCs w:val="22"/>
        </w:rPr>
        <w:t xml:space="preserve">Incidental findings policy</w:t>
      </w:r>
      <w:r>
        <w:rPr>
          <w:rFonts w:ascii="Arial" w:cs="Arial" w:eastAsia="Arial" w:hAnsi="Arial"/>
          <w:i/>
          <w:iCs/>
          <w:color w:val="888888"/>
          <w:sz w:val="22"/>
          <w:szCs w:val="22"/>
        </w:rPr>
        <w:t xml:space="preserve"> — Genomic findings with clinical significance to be referred per institutional return-of-results SOP</w:t>
      </w:r>
    </w:p>
    <w:p>
      <w:pPr>
        <w:spacing w:before="80" w:after="0"/>
      </w:pPr>
      <w:r>
        <w:t xml:space="preserve"/>
      </w:r>
    </w:p>
    <w:p>
      <w:pPr>
        <w:pStyle w:val="Heading2"/>
        <w:spacing w:before="360" w:after="120"/>
      </w:pPr>
      <w:r>
        <w:rPr>
          <w:rFonts w:ascii="Arial" w:cs="Arial" w:eastAsia="Arial" w:hAnsi="Arial"/>
          <w:b/>
          <w:bCs/>
          <w:color w:val="2E6DB4"/>
          <w:sz w:val="30"/>
          <w:szCs w:val="30"/>
        </w:rPr>
        <w:t xml:space="preserve">10.2  Data Sharing &amp; Open Science</w:t>
      </w:r>
    </w:p>
    <w:p>
      <w:pPr>
        <w:pStyle w:val="ListParagraph"/>
        <w:numPr>
          <w:ilvl w:val="0"/>
          <w:numId w:val="2"/>
        </w:numPr>
        <w:spacing w:before="60" w:after="60"/>
      </w:pPr>
      <w:r>
        <w:rPr>
          <w:rFonts w:ascii="Arial" w:cs="Arial" w:eastAsia="Arial" w:hAnsi="Arial"/>
          <w:color w:val="4A4A4A"/>
          <w:sz w:val="22"/>
          <w:szCs w:val="22"/>
        </w:rPr>
        <w:t xml:space="preserve">Raw sequencing data</w:t>
      </w:r>
      <w:r>
        <w:rPr>
          <w:rFonts w:ascii="Arial" w:cs="Arial" w:eastAsia="Arial" w:hAnsi="Arial"/>
          <w:i/>
          <w:iCs/>
          <w:color w:val="888888"/>
          <w:sz w:val="22"/>
          <w:szCs w:val="22"/>
        </w:rPr>
        <w:t xml:space="preserve"> — dbGaP deposit upon first publication (controlled access for human genomic data)</w:t>
      </w:r>
    </w:p>
    <w:p>
      <w:pPr>
        <w:pStyle w:val="ListParagraph"/>
        <w:numPr>
          <w:ilvl w:val="0"/>
          <w:numId w:val="2"/>
        </w:numPr>
        <w:spacing w:before="60" w:after="60"/>
      </w:pPr>
      <w:r>
        <w:rPr>
          <w:rFonts w:ascii="Arial" w:cs="Arial" w:eastAsia="Arial" w:hAnsi="Arial"/>
          <w:color w:val="4A4A4A"/>
          <w:sz w:val="22"/>
          <w:szCs w:val="22"/>
        </w:rPr>
        <w:t xml:space="preserve">Processed data &amp; MODS scores</w:t>
      </w:r>
      <w:r>
        <w:rPr>
          <w:rFonts w:ascii="Arial" w:cs="Arial" w:eastAsia="Arial" w:hAnsi="Arial"/>
          <w:i/>
          <w:iCs/>
          <w:color w:val="888888"/>
          <w:sz w:val="22"/>
          <w:szCs w:val="22"/>
        </w:rPr>
        <w:t xml:space="preserve"> — GEO deposit for transcriptomic data; SRA for raw reads; GitHub for code</w:t>
      </w:r>
    </w:p>
    <w:p>
      <w:pPr>
        <w:pStyle w:val="ListParagraph"/>
        <w:numPr>
          <w:ilvl w:val="0"/>
          <w:numId w:val="2"/>
        </w:numPr>
        <w:spacing w:before="60" w:after="60"/>
      </w:pPr>
      <w:r>
        <w:rPr>
          <w:rFonts w:ascii="Arial" w:cs="Arial" w:eastAsia="Arial" w:hAnsi="Arial"/>
          <w:color w:val="4A4A4A"/>
          <w:sz w:val="22"/>
          <w:szCs w:val="22"/>
        </w:rPr>
        <w:t xml:space="preserve">PDO biobank resource</w:t>
      </w:r>
      <w:r>
        <w:rPr>
          <w:rFonts w:ascii="Arial" w:cs="Arial" w:eastAsia="Arial" w:hAnsi="Arial"/>
          <w:i/>
          <w:iCs/>
          <w:color w:val="888888"/>
          <w:sz w:val="22"/>
          <w:szCs w:val="22"/>
        </w:rPr>
        <w:t xml:space="preserve"> — Lines available to qualified academic researchers through MTA after publication</w:t>
      </w:r>
    </w:p>
    <w:p>
      <w:pPr>
        <w:pStyle w:val="ListParagraph"/>
        <w:numPr>
          <w:ilvl w:val="0"/>
          <w:numId w:val="2"/>
        </w:numPr>
        <w:spacing w:before="60" w:after="60"/>
      </w:pPr>
      <w:r>
        <w:rPr>
          <w:rFonts w:ascii="Arial" w:cs="Arial" w:eastAsia="Arial" w:hAnsi="Arial"/>
          <w:color w:val="4A4A4A"/>
          <w:sz w:val="22"/>
          <w:szCs w:val="22"/>
        </w:rPr>
        <w:t xml:space="preserve">Pre-registration</w:t>
      </w:r>
      <w:r>
        <w:rPr>
          <w:rFonts w:ascii="Arial" w:cs="Arial" w:eastAsia="Arial" w:hAnsi="Arial"/>
          <w:i/>
          <w:iCs/>
          <w:color w:val="888888"/>
          <w:sz w:val="22"/>
          <w:szCs w:val="22"/>
        </w:rPr>
        <w:t xml:space="preserve"> — OSF pre-registration of primary hypotheses and statistical analysis plans prior to data collection</w:t>
      </w:r>
    </w:p>
    <w:p>
      <w:pPr>
        <w:spacing w:before="200" w:after="0"/>
      </w:pPr>
      <w:r>
        <w:t xml:space="preserve"/>
      </w:r>
    </w:p>
    <w:p>
      <w:pPr>
        <w:pBdr>
          <w:bottom w:val="single" w:color="2E6DB4" w:sz="4"/>
        </w:pBdr>
        <w:spacing w:before="160" w:after="160"/>
      </w:pPr>
      <w:r>
        <w:t xml:space="preserve"/>
      </w:r>
    </w:p>
    <w:p>
      <w:pPr>
        <w:spacing w:before="80" w:after="0"/>
      </w:pPr>
      <w:r>
        <w:t xml:space="preserve"/>
      </w:r>
    </w:p>
    <w:p>
      <w:pPr>
        <w:jc w:val="center"/>
      </w:pPr>
      <w:r>
        <w:rPr>
          <w:rFonts w:ascii="Arial" w:cs="Arial" w:eastAsia="Arial" w:hAnsi="Arial"/>
          <w:i/>
          <w:iCs/>
          <w:color w:val="AAAAAA"/>
          <w:sz w:val="20"/>
          <w:szCs w:val="20"/>
        </w:rPr>
        <w:t xml:space="preserve">PDO Temporal Drift Characterization Project  |  Protocol Version 1.0</w:t>
      </w:r>
    </w:p>
    <w:p>
      <w:pPr>
        <w:jc w:val="center"/>
      </w:pPr>
      <w:r>
        <w:rPr>
          <w:rFonts w:ascii="Arial" w:cs="Arial" w:eastAsia="Arial" w:hAnsi="Arial"/>
          <w:color w:val="BBBBBB"/>
          <w:sz w:val="18"/>
          <w:szCs w:val="18"/>
        </w:rPr>
        <w:t xml:space="preserve">This document is confidential and intended for internal research planning purposes only.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pBdr>
      <w:tabs>
        <w:tab w:val="center" w:pos="4680"/>
      </w:tabs>
      <w:spacing w:before="80" w:after="0"/>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PDO Drift Characterization — Project Protocol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pBdr>
      <w:tabs>
        <w:tab w:val="right" w:pos="8640"/>
      </w:tabs>
      <w:spacing w:before="0" w:after="80"/>
    </w:pPr>
    <w:r>
      <w:rPr>
        <w:rFonts w:ascii="Arial" w:cs="Arial" w:eastAsia="Arial" w:hAnsi="Arial"/>
        <w:b/>
        <w:bCs/>
        <w:color w:val="2E6DB4"/>
        <w:sz w:val="18"/>
        <w:szCs w:val="18"/>
      </w:rPr>
      <w:t xml:space="preserve">PDO TEMPORAL DRIFT CHARACTERIZATION PROJECT</w:t>
    </w:r>
    <w:r>
      <w:rPr>
        <w:rFonts w:ascii="Arial" w:cs="Arial" w:eastAsia="Arial" w:hAnsi="Arial"/>
        <w:color w:val="AAAAAA"/>
        <w:sz w:val="18"/>
        <w:szCs w:val="18"/>
      </w:rPr>
      <w:t xml:space="preserve">		CONFIDENTIAL — RESEARCH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6DB4"/>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1A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2026-03-05T16:59:09.040Z</dcterms:created>
  <dcterms:modified xsi:type="dcterms:W3CDTF">2026-03-05T16:59:09.040Z</dcterms:modified>
</cp:coreProperties>
</file>

<file path=docProps/custom.xml><?xml version="1.0" encoding="utf-8"?>
<Properties xmlns="http://schemas.openxmlformats.org/officeDocument/2006/custom-properties" xmlns:vt="http://schemas.openxmlformats.org/officeDocument/2006/docPropsVTypes"/>
</file>