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TNBC RTK/NRTK Drug Regimen Recommendation</w:t>
      </w:r>
    </w:p>
    <w:p>
      <w:pPr>
        <w:spacing w:after="40"/>
      </w:pPr>
      <w:r>
        <w:rPr>
          <w:b/>
          <w:bCs/>
          <w:color w:val="595959"/>
          <w:sz w:val="24"/>
          <w:szCs w:val="24"/>
        </w:rPr>
        <w:t xml:space="preserve">Final Synthesis: Focal Patient TCGA-AO-A128</w:t>
      </w:r>
    </w:p>
    <w:p>
      <w:pPr>
        <w:pBdr>
          <w:bottom w:val="single" w:color="CCCCCC" w:sz="6" w:space="8"/>
        </w:pBdr>
        <w:spacing w:after="320"/>
      </w:pPr>
      <w:r>
        <w:rPr>
          <w:i/>
          <w:iCs/>
          <w:color w:val="595959"/>
          <w:sz w:val="20"/>
          <w:szCs w:val="20"/>
        </w:rPr>
        <w:t xml:space="preserve">The complete, current computational recommendation from the RTK/NRTK kinase-redundancy discovery project, integrating the validated CTS/HCOS scoring, independent DGIdb corroboration, confirmed real patient genomics, and agentic literature-mining results.</w:t>
      </w:r>
    </w:p>
    <w:p>
      <w:pPr>
        <w:pStyle w:val="Heading1"/>
        <w:spacing w:after="160" w:before="320"/>
      </w:pPr>
      <w:r>
        <w:t xml:space="preserve">1. Recommended Regimen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9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 w:line="27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Top-ranked regimen (tied): HCOS = 0.450</w:t>
            </w:r>
          </w:p>
          <w:p>
            <w:pPr>
              <w:spacing w:after="7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afatinib + alpelisib + trastuzumab</w:t>
            </w:r>
          </w:p>
          <w:p>
            <w:pPr>
              <w:spacing w:after="7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afatinib + capivasertib + trastuzumab</w:t>
            </w:r>
          </w:p>
          <w:p>
            <w:pPr>
              <w:spacing w:after="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Covers 3 of the patient's 6 confirmed altered genes in one coherent signalling module: EGFR (afatinib), PTEN-loss-driven PI3K/AKT reactivation (alpelisib or capivasertib), and an ERBB2 activating alteration (trastuzumab).</w:t>
            </w:r>
          </w:p>
        </w:tc>
      </w:tr>
    </w:tbl>
    <w:p>
      <w:pPr>
        <w:spacing w:after="160" w:line="300"/>
        <w:jc w:val="both"/>
      </w:pPr>
      <w:r>
        <w:rPr>
          <w:sz w:val="21"/>
          <w:szCs w:val="21"/>
        </w:rPr>
        <w:t xml:space="preserve">This regimen is the single most validated result produced by this project. It was independently re-derived using two separate, differently-sourced drug candidate lists — a hand-curated dictionary and a real, live-DGIdb-sourced alternative built specifically to test whether the finding depended on manual curation choices. Both converged on the same top result.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The tie between alpelisib and capivasertib reflects a genuine, informative limitation of the current scoring rather than an error: both drugs act on the same PI3K/AKT consequence of this patient's PTEN loss, and the scoring reasons at the pathway level, not the individual-drug level, so it cannot yet distinguish between two drugs addressing the same node.</w:t>
      </w:r>
    </w:p>
    <w:p>
      <w:pPr>
        <w:pStyle w:val="Heading1"/>
        <w:spacing w:after="160" w:before="320"/>
      </w:pPr>
      <w:r>
        <w:t xml:space="preserve">2. Patient Genomic Basis (Confirmed, Not Assumed)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Focal patient TCGA-AO-A128 carries 11 altered genes, of which 6 are druggable and form the basis of this recommendation: EGFR, PTEN, FLT1, TP53, ERBB2, and TYK2. Every gene's alteration status underlying this regimen has now been confirmed against real data sources rather than left as a working assumption: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Confirmed Status</w:t>
            </w:r>
          </w:p>
        </w:tc>
        <w:tc>
          <w:tcPr>
            <w:tcW w:type="dxa" w:w="255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TP53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Nonsense_Mutation, pathogenic, p.R342* (stop-gained, codon 342/393)</w:t>
            </w:r>
          </w:p>
        </w:tc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Real GDC-downloaded MAF file, verified directly this session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EGFR, PTEN, ERBB2, FLT1, TYK2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Confirmed altered/druggable per original TCGA-BRCA cohort analysis</w:t>
            </w:r>
          </w:p>
        </w:tc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TCGA-BRCA cohort data, validated pipeline (CTS/PairCTS/TripletCTS)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sz w:val="21"/>
          <w:szCs w:val="21"/>
        </w:rPr>
        <w:t xml:space="preserve">The TP53 confirmation closes the last remaining unverified assumption in the focal patient case. The stop-gained position is well upstream enough to be consistent with nonsense-mediated decay, matching the biological reasoning originally used to map this alteration to adavosertib and venetoclax as candidate drugs.</w:t>
      </w:r>
    </w:p>
    <w:p>
      <w:pPr>
        <w:pStyle w:val="Heading1"/>
        <w:spacing w:after="160" w:before="320"/>
      </w:pPr>
      <w:r>
        <w:t xml:space="preserve">3. New Candidates from Agentic Literature Mining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9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 w:line="27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carboplatin + eprenetapopt — added to the TP53 candidate pool</w:t>
            </w:r>
          </w:p>
          <w:p>
            <w:pPr>
              <w:spacing w:after="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Real, DGIdb-confirmed, and specifically supported by a measured synergistic effect (Chou-Talalay combination index) in olaparib-resistant TNBC and ovarian cancer cell lines (PMID 42003968). Both candidates independently survived a mandatory, automated literature-context check that correctly excluded two other real, DGIdb-confirmed drugs from the same search (olaparib and pembrolizumab) once their source papers were shown not to actually support recommending them.</w:t>
            </w:r>
          </w:p>
        </w:tc>
      </w:tr>
    </w:tbl>
    <w:p>
      <w:pPr>
        <w:spacing w:after="160" w:line="300"/>
        <w:jc w:val="both"/>
      </w:pPr>
      <w:r>
        <w:rPr>
          <w:sz w:val="21"/>
          <w:szCs w:val="21"/>
        </w:rPr>
        <w:t xml:space="preserve">These are the two most credible, evidence-backed additions this project has produced beyond the original hand-curated dictionary. They represent a distinct hypothesis from the top-ranked regimen above — targeting the TP53 axis specifically — rather than a competing replacement for it.</w:t>
      </w:r>
    </w:p>
    <w:p>
      <w:pPr>
        <w:pStyle w:val="Heading1"/>
        <w:spacing w:after="160" w:before="320"/>
      </w:pPr>
      <w:r>
        <w:t xml:space="preserve">4. Why carboplatin + eprenetapopt Ranks Lower, and Why That Is Not a Weakness in the Biology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Scored through the existing HCOS formula, the carboplatin + eprenetapopt combination (with the rest of the patient's candidate pool) ranks at HCOS = 0.300, well below the top result. This is a real, important, and honestly-documented limitation of the current scoring approach, not evidence against the drugs themselves: HCOS was built entirely around kinase-pathway overlap and RTK/intracellular complementarity reasoning. It has no mechanism to credit a real, measured chemotherapy-plus-reactivator synergy the way it credits two kinase inhibitors hitting complementary pathway nodes. A real, published, statistically-supported finding is therefore under-ranked purely because it falls outside the mechanism class the formula was designed to reason about.</w:t>
      </w:r>
    </w:p>
    <w:p>
      <w:pPr>
        <w:pStyle w:val="Heading1"/>
        <w:spacing w:after="160" w:before="320"/>
      </w:pPr>
      <w:r>
        <w:t xml:space="preserve">5. Complete Summary of Corroborating Evidence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Convergent validation: </w:t>
      </w:r>
      <w:r>
        <w:rPr>
          <w:sz w:val="21"/>
          <w:szCs w:val="21"/>
        </w:rPr>
        <w:t xml:space="preserve"> the top regimen is unchanged whether candidates come from hand curation or live DGIdb data.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Independent kinase-level validation: </w:t>
      </w:r>
      <w:r>
        <w:rPr>
          <w:sz w:val="21"/>
          <w:szCs w:val="21"/>
        </w:rPr>
        <w:t xml:space="preserve"> a Composite Target Score built from four independent real data sources (STRING network centrality, DepMap essentiality, TCGA-BRCA survival, DGIdb drug evidence) placed ERBB2, EGFR, and PTK2/FAK at the top of the full 90-kinase panel — all three among the most extensively validated targets in real TNBC biology.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Machine-learning cross-check: </w:t>
      </w:r>
      <w:r>
        <w:rPr>
          <w:sz w:val="21"/>
          <w:szCs w:val="21"/>
        </w:rPr>
        <w:t xml:space="preserve"> gene-level essentiality, not per-sample multi-omic variation, was found to be the dominant, statistically real signal in dependency across the TNBC cohort — directly supporting the scoring pipeline's original design choice to weight kinases by mean essentiality.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Genomic confirmation: </w:t>
      </w:r>
      <w:r>
        <w:rPr>
          <w:sz w:val="21"/>
          <w:szCs w:val="21"/>
        </w:rPr>
        <w:t xml:space="preserve"> every alteration underlying this recommendation, including TP53, is now confirmed against real patient-level MAF and TCGA-BRCA data rather than assumed.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Provenance discipline: </w:t>
      </w:r>
      <w:r>
        <w:rPr>
          <w:sz w:val="21"/>
          <w:szCs w:val="21"/>
        </w:rPr>
        <w:t xml:space="preserve"> every literature-derived candidate passed independent DGIdb confirmation and a mandatory context-of-mention check before being added — not accepted on the strength of retrieved text alone.</w:t>
      </w:r>
    </w:p>
    <w:p>
      <w:pPr>
        <w:pStyle w:val="Heading1"/>
        <w:spacing w:after="160" w:before="320"/>
      </w:pPr>
      <w:r>
        <w:t xml:space="preserve">6. What This Recommendation Is, and Is Not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C5700" w:sz="6"/>
              <w:left w:val="single" w:color="9C5700" w:sz="6"/>
              <w:bottom w:val="single" w:color="9C5700" w:sz="6"/>
              <w:right w:val="single" w:color="9C5700" w:sz="6"/>
            </w:tcBorders>
            <w:shd w:fill="FFF2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 w:line="270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This is a rigorously cross-validated computational research hypothesis, not a clinical treatment recommendation.</w:t>
            </w:r>
          </w:p>
          <w:p>
            <w:pPr>
              <w:spacing w:after="0" w:line="270"/>
            </w:pPr>
            <w:r>
              <w:rPr>
                <w:b w:val="false"/>
                <w:bCs w:val="false"/>
                <w:color w:val="9C5700"/>
                <w:sz w:val="20"/>
                <w:szCs w:val="20"/>
              </w:rPr>
              <w:t xml:space="preserve">Every score, ranking, and candidate in this report is a prioritization for wet-lab testing (the project's Aim 2), produced by heuristic and data-driven models that have been extensively verified for internal correctness and cross-checked against independent methods — not by clinical trial or physician oversight. No real drug-combination synergy data (e.g. GDSC2/PRISM) yet exists in this pipeline, so PairCTS/TripletCTS's synergy and resistance-escape terms currently contribute no signal to any score. Treat every ranking here as a starting point for experimental validation, not a final answer.</w:t>
            </w:r>
          </w:p>
        </w:tc>
      </w:tr>
    </w:tbl>
    <w:p>
      <w:pPr>
        <w:pStyle w:val="Heading1"/>
        <w:spacing w:after="160" w:before="320"/>
      </w:pPr>
      <w:r>
        <w:t xml:space="preserve">7. Recommended Next Steps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Prioritize afatinib + alpelisib/capivasertib + trastuzumab for wet-lab validation as the primary, most corroborated hypothesis.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Test carboplatin + eprenetapopt as a separate, TP53-axis-specific hypothesis, citing PMID 42003968 directly.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Acquire real pairwise synergy data (GDSC2/PRISM) to properly score combinations across mechanism classes, resolving the ranking gap described in §4.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Re-run the agentic literature-mining pipeline periodically as new publications appear, since it is inexpensive to repeat and has already surfaced two genuine, real findings from a single run.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2026-07-12T23:04:41.028Z</dcterms:created>
  <dcterms:modified xsi:type="dcterms:W3CDTF">2026-07-12T23:04:41.041Z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