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Times New Roman" w:cs="Times New Roman" w:eastAsia="Times New Roman" w:hAnsi="Times New Roman"/>
          <w:b/>
          <w:bCs/>
          <w:sz w:val="30"/>
          <w:szCs w:val="30"/>
        </w:rPr>
        <w:t xml:space="preserve">S1 Appendix.</w:t>
      </w:r>
      <w:r>
        <w:rPr>
          <w:rFonts w:ascii="Times New Roman" w:cs="Times New Roman" w:eastAsia="Times New Roman" w:hAnsi="Times New Roman"/>
          <w:sz w:val="26"/>
          <w:szCs w:val="26"/>
        </w:rPr>
        <w:t xml:space="preserve"> Composite Target Score (CTS) formula derivations, synthetic-data validation methodology, and diagnostic details supporting the main text.</w:t>
      </w:r>
    </w:p>
    <w:p>
      <w:pPr>
        <w:spacing w:after="160" w:line="360" w:lineRule="auto"/>
      </w:pPr>
      <w:r>
        <w:rPr>
          <w:rFonts w:ascii="Times New Roman" w:cs="Times New Roman" w:eastAsia="Times New Roman" w:hAnsi="Times New Roman"/>
          <w:sz w:val="24"/>
          <w:szCs w:val="24"/>
        </w:rPr>
        <w:t xml:space="preserve">This appendix accompanies “A multi-omic computational pipeline for prioritizing combination-therapy hypotheses in triple-negative breast cancer,” providing the full scoring formulas, derivations, and validation diagnostics referenced in the main text's Materials and Methods and Results sections.</w:t>
      </w:r>
    </w:p>
    <w:p>
      <w:pPr>
        <w:pStyle w:val="Heading1"/>
        <w:spacing w:after="140" w:before="320"/>
      </w:pPr>
      <w:r>
        <w:rPr>
          <w:rFonts w:ascii="Times New Roman" w:cs="Times New Roman" w:eastAsia="Times New Roman" w:hAnsi="Times New Roman"/>
          <w:b/>
          <w:bCs/>
          <w:sz w:val="28"/>
          <w:szCs w:val="28"/>
        </w:rPr>
        <w:t xml:space="preserve">S1. Full Composite Target Score (CTS) Formula</w:t>
      </w:r>
    </w:p>
    <w:p>
      <w:pPr>
        <w:spacing w:after="160" w:before="120"/>
        <w:jc w:val="center"/>
      </w:pPr>
      <w:r>
        <w:rPr>
          <w:rFonts w:ascii="Cambria Math" w:cs="Cambria Math" w:eastAsia="Cambria Math" w:hAnsi="Cambria Math"/>
          <w:i/>
          <w:iCs/>
          <w:sz w:val="24"/>
          <w:szCs w:val="24"/>
        </w:rPr>
        <w:t xml:space="preserve">CTS = 0.30 × NetworkCentrality + 0.25 × Essentiality + 0.25 × SurvivalAssociation + 0.20 × Druggability</w:t>
      </w:r>
    </w:p>
    <w:p>
      <w:pPr>
        <w:pStyle w:val="Heading2"/>
        <w:spacing w:after="100" w:before="220"/>
      </w:pPr>
      <w:r>
        <w:rPr>
          <w:rFonts w:ascii="Times New Roman" w:cs="Times New Roman" w:eastAsia="Times New Roman" w:hAnsi="Times New Roman"/>
          <w:b/>
          <w:bCs/>
          <w:sz w:val="25"/>
          <w:szCs w:val="25"/>
        </w:rPr>
        <w:t xml:space="preserve">S1.1 Network Centrality (STRING)</w:t>
      </w:r>
    </w:p>
    <w:p>
      <w:pPr>
        <w:spacing w:after="160" w:line="360" w:lineRule="auto"/>
      </w:pPr>
      <w:r>
        <w:rPr>
          <w:rFonts w:ascii="Times New Roman" w:cs="Times New Roman" w:eastAsia="Times New Roman" w:hAnsi="Times New Roman"/>
          <w:sz w:val="24"/>
          <w:szCs w:val="24"/>
        </w:rPr>
        <w:t xml:space="preserve">Metrics used:</w:t>
      </w:r>
    </w:p>
    <w:p>
      <w:pPr>
        <w:pStyle w:val="ListParagraph"/>
        <w:numPr>
          <w:ilvl w:val="0"/>
          <w:numId w:val="1"/>
        </w:numPr>
        <w:spacing w:after="100"/>
      </w:pPr>
      <w:r>
        <w:rPr>
          <w:rFonts w:ascii="Times New Roman" w:cs="Times New Roman" w:eastAsia="Times New Roman" w:hAnsi="Times New Roman"/>
          <w:sz w:val="24"/>
          <w:szCs w:val="24"/>
        </w:rPr>
        <w:t xml:space="preserve">Betweenness</w:t>
      </w:r>
    </w:p>
    <w:p>
      <w:pPr>
        <w:pStyle w:val="ListParagraph"/>
        <w:numPr>
          <w:ilvl w:val="0"/>
          <w:numId w:val="1"/>
        </w:numPr>
        <w:spacing w:after="100"/>
      </w:pPr>
      <w:r>
        <w:rPr>
          <w:rFonts w:ascii="Times New Roman" w:cs="Times New Roman" w:eastAsia="Times New Roman" w:hAnsi="Times New Roman"/>
          <w:sz w:val="24"/>
          <w:szCs w:val="24"/>
        </w:rPr>
        <w:t xml:space="preserve">PageRank</w:t>
      </w:r>
    </w:p>
    <w:p>
      <w:pPr>
        <w:pStyle w:val="ListParagraph"/>
        <w:numPr>
          <w:ilvl w:val="0"/>
          <w:numId w:val="1"/>
        </w:numPr>
        <w:spacing w:after="100"/>
      </w:pPr>
      <w:r>
        <w:rPr>
          <w:rFonts w:ascii="Times New Roman" w:cs="Times New Roman" w:eastAsia="Times New Roman" w:hAnsi="Times New Roman"/>
          <w:sz w:val="24"/>
          <w:szCs w:val="24"/>
        </w:rPr>
        <w:t xml:space="preserve">Degree</w:t>
      </w:r>
    </w:p>
    <w:p>
      <w:pPr>
        <w:spacing w:after="160" w:line="360" w:lineRule="auto"/>
      </w:pPr>
      <w:r>
        <w:rPr>
          <w:rFonts w:ascii="Times New Roman" w:cs="Times New Roman" w:eastAsia="Times New Roman" w:hAnsi="Times New Roman"/>
          <w:sz w:val="24"/>
          <w:szCs w:val="24"/>
        </w:rPr>
        <w:t xml:space="preserve">Each metric is normalized to the range [0, 1]. NetworkCentrality is the mean of the three normalized metrics.</w:t>
      </w:r>
    </w:p>
    <w:p>
      <w:pPr>
        <w:pStyle w:val="Heading2"/>
        <w:spacing w:after="100" w:before="220"/>
      </w:pPr>
      <w:r>
        <w:rPr>
          <w:rFonts w:ascii="Times New Roman" w:cs="Times New Roman" w:eastAsia="Times New Roman" w:hAnsi="Times New Roman"/>
          <w:b/>
          <w:bCs/>
          <w:sz w:val="25"/>
          <w:szCs w:val="25"/>
        </w:rPr>
        <w:t xml:space="preserve">S1.2 Essentiality (DepMap)</w:t>
      </w:r>
    </w:p>
    <w:p>
      <w:pPr>
        <w:spacing w:after="160" w:line="360" w:lineRule="auto"/>
      </w:pPr>
      <w:r>
        <w:rPr>
          <w:rFonts w:ascii="Times New Roman" w:cs="Times New Roman" w:eastAsia="Times New Roman" w:hAnsi="Times New Roman"/>
          <w:sz w:val="24"/>
          <w:szCs w:val="24"/>
        </w:rPr>
        <w:t xml:space="preserve">Essentiality is the normalized mean Chronos dependency score across the 25 confirmed-TNBC cell lines. Missing values are resolved to a neutral midpoint (0.5) rather than excluded, consistent with the missing-value policy described in the main text.</w:t>
      </w:r>
    </w:p>
    <w:p>
      <w:pPr>
        <w:pStyle w:val="Heading2"/>
        <w:spacing w:after="100" w:before="220"/>
      </w:pPr>
      <w:r>
        <w:rPr>
          <w:rFonts w:ascii="Times New Roman" w:cs="Times New Roman" w:eastAsia="Times New Roman" w:hAnsi="Times New Roman"/>
          <w:b/>
          <w:bCs/>
          <w:sz w:val="25"/>
          <w:szCs w:val="25"/>
        </w:rPr>
        <w:t xml:space="preserve">S1.3 Survival Association (TCGA-BRCA)</w:t>
      </w:r>
    </w:p>
    <w:p>
      <w:pPr>
        <w:spacing w:after="160" w:line="360" w:lineRule="auto"/>
      </w:pPr>
      <w:r>
        <w:rPr>
          <w:rFonts w:ascii="Times New Roman" w:cs="Times New Roman" w:eastAsia="Times New Roman" w:hAnsi="Times New Roman"/>
          <w:sz w:val="24"/>
          <w:szCs w:val="24"/>
        </w:rPr>
        <w:t xml:space="preserve">The Cox hazard ratio and log-rank p-value are combined as follows, so that a large, statistically significant hazard ratio contributes the most to the score:</w:t>
      </w:r>
    </w:p>
    <w:p>
      <w:pPr>
        <w:spacing w:after="160" w:before="120"/>
        <w:jc w:val="center"/>
      </w:pPr>
      <w:r>
        <w:rPr>
          <w:rFonts w:ascii="Cambria Math" w:cs="Cambria Math" w:eastAsia="Cambria Math" w:hAnsi="Cambria Math"/>
          <w:i/>
          <w:iCs/>
          <w:sz w:val="24"/>
          <w:szCs w:val="24"/>
        </w:rPr>
        <w:t xml:space="preserve">SurvivalAssociation = normalized(HR) × (1 − normalized(p-value))</w:t>
      </w:r>
    </w:p>
    <w:p>
      <w:pPr>
        <w:pStyle w:val="Heading2"/>
        <w:spacing w:after="100" w:before="220"/>
      </w:pPr>
      <w:r>
        <w:rPr>
          <w:rFonts w:ascii="Times New Roman" w:cs="Times New Roman" w:eastAsia="Times New Roman" w:hAnsi="Times New Roman"/>
          <w:b/>
          <w:bCs/>
          <w:sz w:val="25"/>
          <w:szCs w:val="25"/>
        </w:rPr>
        <w:t xml:space="preserve">S1.4 Druggability (DGIdb)</w:t>
      </w:r>
    </w:p>
    <w:p>
      <w:pPr>
        <w:spacing w:after="160" w:line="360" w:lineRule="auto"/>
      </w:pPr>
      <w:r>
        <w:rPr>
          <w:rFonts w:ascii="Times New Roman" w:cs="Times New Roman" w:eastAsia="Times New Roman" w:hAnsi="Times New Roman"/>
          <w:sz w:val="24"/>
          <w:szCs w:val="24"/>
        </w:rPr>
        <w:t xml:space="preserve">Druggability is the normalized count of validated drug–gene interactions recorded in DGIdb for the given kinase.</w:t>
      </w:r>
    </w:p>
    <w:p>
      <w:pPr>
        <w:pStyle w:val="Heading1"/>
        <w:spacing w:after="140" w:before="320"/>
      </w:pPr>
      <w:r>
        <w:rPr>
          <w:rFonts w:ascii="Times New Roman" w:cs="Times New Roman" w:eastAsia="Times New Roman" w:hAnsi="Times New Roman"/>
          <w:b/>
          <w:bCs/>
          <w:sz w:val="28"/>
          <w:szCs w:val="28"/>
        </w:rPr>
        <w:t xml:space="preserve">S2. PairCTS and TripletCTS Derivations</w:t>
      </w:r>
    </w:p>
    <w:p>
      <w:pPr>
        <w:pStyle w:val="Heading2"/>
        <w:spacing w:after="100" w:before="220"/>
      </w:pPr>
      <w:r>
        <w:rPr>
          <w:rFonts w:ascii="Times New Roman" w:cs="Times New Roman" w:eastAsia="Times New Roman" w:hAnsi="Times New Roman"/>
          <w:b/>
          <w:bCs/>
          <w:sz w:val="25"/>
          <w:szCs w:val="25"/>
        </w:rPr>
        <w:t xml:space="preserve">S2.1 PairCTS</w:t>
      </w:r>
    </w:p>
    <w:p>
      <w:pPr>
        <w:spacing w:after="160" w:line="360" w:lineRule="auto"/>
      </w:pPr>
      <w:r>
        <w:rPr>
          <w:rFonts w:ascii="Times New Roman" w:cs="Times New Roman" w:eastAsia="Times New Roman" w:hAnsi="Times New Roman"/>
          <w:sz w:val="24"/>
          <w:szCs w:val="24"/>
        </w:rPr>
        <w:t xml:space="preserve">For two drugs A and B with mapped kinase target sets Tₐ and Tᵇ, PairCTS is computed as the maximum, over every combination of one target from each drug, of:</w:t>
      </w:r>
    </w:p>
    <w:p>
      <w:pPr>
        <w:spacing w:after="160" w:before="120"/>
        <w:jc w:val="center"/>
      </w:pPr>
      <w:r>
        <w:rPr>
          <w:rFonts w:ascii="Cambria Math" w:cs="Cambria Math" w:eastAsia="Cambria Math" w:hAnsi="Cambria Math"/>
          <w:i/>
          <w:iCs/>
          <w:sz w:val="24"/>
          <w:szCs w:val="24"/>
        </w:rPr>
        <w:t xml:space="preserve">PairCTS(A, B) = max over (tₐ ∈ Tₐ, tᵇ ∈ Tᵇ) of:
CTS(tₐ) + CTS(tᵇ) + CommunityComplementarity(tₐ, tᵇ) + STRINGCrosstalk(tₐ, tᵇ)</w:t>
      </w:r>
    </w:p>
    <w:p>
      <w:pPr>
        <w:spacing w:after="160" w:line="360" w:lineRule="auto"/>
      </w:pPr>
      <w:r>
        <w:rPr>
          <w:rFonts w:ascii="Times New Roman" w:cs="Times New Roman" w:eastAsia="Times New Roman" w:hAnsi="Times New Roman"/>
          <w:sz w:val="24"/>
          <w:szCs w:val="24"/>
        </w:rPr>
        <w:t xml:space="preserve">CommunityComplementarity rewards target pairs in different STRING Louvain communities (broader pathway coverage); STRINGCrosstalk rewards target pairs with a direct STRING interaction edge (documented signaling crosstalk). See the main text's Discussion and Limitations for the known max-aggregation ceiling effect this formula produces at scale, and the redundancy-penalty remediation applied (S6 Fig).</w:t>
      </w:r>
    </w:p>
    <w:p>
      <w:pPr>
        <w:pStyle w:val="Heading2"/>
        <w:spacing w:after="100" w:before="220"/>
      </w:pPr>
      <w:r>
        <w:rPr>
          <w:rFonts w:ascii="Times New Roman" w:cs="Times New Roman" w:eastAsia="Times New Roman" w:hAnsi="Times New Roman"/>
          <w:b/>
          <w:bCs/>
          <w:sz w:val="25"/>
          <w:szCs w:val="25"/>
        </w:rPr>
        <w:t xml:space="preserve">S2.2 TripletCTS</w:t>
      </w:r>
    </w:p>
    <w:p>
      <w:pPr>
        <w:spacing w:after="160" w:line="360" w:lineRule="auto"/>
      </w:pPr>
      <w:r>
        <w:rPr>
          <w:rFonts w:ascii="Times New Roman" w:cs="Times New Roman" w:eastAsia="Times New Roman" w:hAnsi="Times New Roman"/>
          <w:sz w:val="24"/>
          <w:szCs w:val="24"/>
        </w:rPr>
        <w:t xml:space="preserve">TripletCTS extends the same logic to three-drug combinations, maximizing over every combination of one target from each of the three drugs:</w:t>
      </w:r>
    </w:p>
    <w:p>
      <w:pPr>
        <w:spacing w:after="160" w:before="120"/>
        <w:jc w:val="center"/>
      </w:pPr>
      <w:r>
        <w:rPr>
          <w:rFonts w:ascii="Cambria Math" w:cs="Cambria Math" w:eastAsia="Cambria Math" w:hAnsi="Cambria Math"/>
          <w:i/>
          <w:iCs/>
          <w:sz w:val="24"/>
          <w:szCs w:val="24"/>
        </w:rPr>
        <w:t xml:space="preserve">TripletCTS(A, B, C) = max over (tₐ, tᵇ, tᶜ) of:
CTS(tₐ) + CTS(tᵇ) + CTS(tᶜ) + community complementarity bonus + pairwise STRING crosstalk sum</w:t>
      </w:r>
    </w:p>
    <w:p>
      <w:pPr>
        <w:spacing w:after="160" w:line="360" w:lineRule="auto"/>
      </w:pPr>
      <w:r>
        <w:rPr>
          <w:rFonts w:ascii="Times New Roman" w:cs="Times New Roman" w:eastAsia="Times New Roman" w:hAnsi="Times New Roman"/>
          <w:sz w:val="24"/>
          <w:szCs w:val="24"/>
        </w:rPr>
        <w:t xml:space="preserve">The community complementarity bonus and crosstalk sum are computed pairwise across all three targets and combined additively, mirroring the two-drug case.</w:t>
      </w:r>
    </w:p>
    <w:p>
      <w:pPr>
        <w:pStyle w:val="Heading1"/>
        <w:spacing w:after="140" w:before="320"/>
      </w:pPr>
      <w:r>
        <w:rPr>
          <w:rFonts w:ascii="Times New Roman" w:cs="Times New Roman" w:eastAsia="Times New Roman" w:hAnsi="Times New Roman"/>
          <w:b/>
          <w:bCs/>
          <w:sz w:val="28"/>
          <w:szCs w:val="28"/>
        </w:rPr>
        <w:t xml:space="preserve">S3. Synthetic-Data Validation</w:t>
      </w:r>
    </w:p>
    <w:p>
      <w:pPr>
        <w:spacing w:after="160" w:line="360" w:lineRule="auto"/>
      </w:pPr>
      <w:r>
        <w:rPr>
          <w:rFonts w:ascii="Times New Roman" w:cs="Times New Roman" w:eastAsia="Times New Roman" w:hAnsi="Times New Roman"/>
          <w:sz w:val="24"/>
          <w:szCs w:val="24"/>
        </w:rPr>
        <w:t xml:space="preserve">Every non-trivial scoring component was validated against synthetic datasets with known planted ground truth before being applied to real data, per the verification methodology described in the main text. Synthetic datasets were generated with the following planted signals:</w:t>
      </w:r>
    </w:p>
    <w:p>
      <w:pPr>
        <w:pStyle w:val="ListParagraph"/>
        <w:numPr>
          <w:ilvl w:val="0"/>
          <w:numId w:val="1"/>
        </w:numPr>
        <w:spacing w:after="100"/>
      </w:pPr>
      <w:r>
        <w:rPr>
          <w:rFonts w:ascii="Times New Roman" w:cs="Times New Roman" w:eastAsia="Times New Roman" w:hAnsi="Times New Roman"/>
          <w:sz w:val="24"/>
          <w:szCs w:val="24"/>
        </w:rPr>
        <w:t xml:space="preserve">planted essentiality gradients</w:t>
      </w:r>
    </w:p>
    <w:p>
      <w:pPr>
        <w:pStyle w:val="ListParagraph"/>
        <w:numPr>
          <w:ilvl w:val="0"/>
          <w:numId w:val="1"/>
        </w:numPr>
        <w:spacing w:after="100"/>
      </w:pPr>
      <w:r>
        <w:rPr>
          <w:rFonts w:ascii="Times New Roman" w:cs="Times New Roman" w:eastAsia="Times New Roman" w:hAnsi="Times New Roman"/>
          <w:sz w:val="24"/>
          <w:szCs w:val="24"/>
        </w:rPr>
        <w:t xml:space="preserve">planted network hubs</w:t>
      </w:r>
    </w:p>
    <w:p>
      <w:pPr>
        <w:pStyle w:val="ListParagraph"/>
        <w:numPr>
          <w:ilvl w:val="0"/>
          <w:numId w:val="1"/>
        </w:numPr>
        <w:spacing w:after="100"/>
      </w:pPr>
      <w:r>
        <w:rPr>
          <w:rFonts w:ascii="Times New Roman" w:cs="Times New Roman" w:eastAsia="Times New Roman" w:hAnsi="Times New Roman"/>
          <w:sz w:val="24"/>
          <w:szCs w:val="24"/>
        </w:rPr>
        <w:t xml:space="preserve">planted druggability tiers</w:t>
      </w:r>
    </w:p>
    <w:p>
      <w:pPr>
        <w:pStyle w:val="ListParagraph"/>
        <w:numPr>
          <w:ilvl w:val="0"/>
          <w:numId w:val="1"/>
        </w:numPr>
        <w:spacing w:after="100"/>
      </w:pPr>
      <w:r>
        <w:rPr>
          <w:rFonts w:ascii="Times New Roman" w:cs="Times New Roman" w:eastAsia="Times New Roman" w:hAnsi="Times New Roman"/>
          <w:sz w:val="24"/>
          <w:szCs w:val="24"/>
        </w:rPr>
        <w:t xml:space="preserve">planted survival associations</w:t>
      </w:r>
    </w:p>
    <w:p>
      <w:pPr>
        <w:spacing w:after="160" w:line="360" w:lineRule="auto"/>
      </w:pPr>
      <w:r>
        <w:rPr>
          <w:rFonts w:ascii="Times New Roman" w:cs="Times New Roman" w:eastAsia="Times New Roman" w:hAnsi="Times New Roman"/>
          <w:sz w:val="24"/>
          <w:szCs w:val="24"/>
        </w:rPr>
        <w:t xml:space="preserve">CTS recovered planted rankings with </w:t>
      </w:r>
      <w:r>
        <w:rPr>
          <w:rFonts w:ascii="Times New Roman" w:cs="Times New Roman" w:eastAsia="Times New Roman" w:hAnsi="Times New Roman"/>
          <w:b/>
          <w:bCs/>
          <w:sz w:val="24"/>
          <w:szCs w:val="24"/>
        </w:rPr>
        <w:t xml:space="preserve">&gt;0.95 correlation</w:t>
      </w:r>
      <w:r>
        <w:rPr>
          <w:rFonts w:ascii="Times New Roman" w:cs="Times New Roman" w:eastAsia="Times New Roman" w:hAnsi="Times New Roman"/>
          <w:sz w:val="24"/>
          <w:szCs w:val="24"/>
        </w:rPr>
        <w:t xml:space="preserve">. PairCTS/TripletCTS recovered planted synergy patterns with </w:t>
      </w:r>
      <w:r>
        <w:rPr>
          <w:rFonts w:ascii="Times New Roman" w:cs="Times New Roman" w:eastAsia="Times New Roman" w:hAnsi="Times New Roman"/>
          <w:b/>
          <w:bCs/>
          <w:sz w:val="24"/>
          <w:szCs w:val="24"/>
        </w:rPr>
        <w:t xml:space="preserve">&gt;0.90 correlation</w:t>
      </w:r>
      <w:r>
        <w:rPr>
          <w:rFonts w:ascii="Times New Roman" w:cs="Times New Roman" w:eastAsia="Times New Roman" w:hAnsi="Times New Roman"/>
          <w:sz w:val="24"/>
          <w:szCs w:val="24"/>
        </w:rPr>
        <w:t xml:space="preserve">.</w:t>
      </w:r>
    </w:p>
    <w:p>
      <w:pPr>
        <w:pStyle w:val="Heading1"/>
        <w:spacing w:after="140" w:before="320"/>
      </w:pPr>
      <w:r>
        <w:rPr>
          <w:rFonts w:ascii="Times New Roman" w:cs="Times New Roman" w:eastAsia="Times New Roman" w:hAnsi="Times New Roman"/>
          <w:b/>
          <w:bCs/>
          <w:sz w:val="28"/>
          <w:szCs w:val="28"/>
        </w:rPr>
        <w:t xml:space="preserve">S4. Drug-Name Normalization Diagnostics</w:t>
      </w:r>
    </w:p>
    <w:p>
      <w:pPr>
        <w:spacing w:after="160" w:line="360" w:lineRule="auto"/>
      </w:pPr>
      <w:r>
        <w:rPr>
          <w:rFonts w:ascii="Times New Roman" w:cs="Times New Roman" w:eastAsia="Times New Roman" w:hAnsi="Times New Roman"/>
          <w:sz w:val="24"/>
          <w:szCs w:val="24"/>
        </w:rPr>
        <w:t xml:space="preserve">Three issues were identified and corrected in raw drug-target interaction data before any drug could be matched to a scoreable kinase target:</w:t>
      </w:r>
    </w:p>
    <w:p>
      <w:pPr>
        <w:spacing w:after="100"/>
      </w:pPr>
      <w:r>
        <w:rPr>
          <w:rFonts w:ascii="Times New Roman" w:cs="Times New Roman" w:eastAsia="Times New Roman" w:hAnsi="Times New Roman"/>
          <w:sz w:val="24"/>
          <w:szCs w:val="24"/>
        </w:rPr>
        <w:t xml:space="preserve">1. Case sensitivity</w:t>
      </w:r>
    </w:p>
    <w:p>
      <w:pPr>
        <w:spacing w:after="100"/>
      </w:pPr>
      <w:r>
        <w:rPr>
          <w:rFonts w:ascii="Times New Roman" w:cs="Times New Roman" w:eastAsia="Times New Roman" w:hAnsi="Times New Roman"/>
          <w:sz w:val="24"/>
          <w:szCs w:val="24"/>
        </w:rPr>
        <w:t xml:space="preserve">2. Salt-form suffixes (e.g., “mesylate”)</w:t>
      </w:r>
    </w:p>
    <w:p>
      <w:pPr>
        <w:spacing w:after="100"/>
      </w:pPr>
      <w:r>
        <w:rPr>
          <w:rFonts w:ascii="Times New Roman" w:cs="Times New Roman" w:eastAsia="Times New Roman" w:hAnsi="Times New Roman"/>
          <w:sz w:val="24"/>
          <w:szCs w:val="24"/>
        </w:rPr>
        <w:t xml:space="preserve">3. Mechanism-class labels (e.g., “EGFR inhibitor”)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864" w:val="clear"/>
            <w:vAlign w:val="center"/>
          </w:tcPr>
          <w:p>
            <w:pPr>
              <w:jc w:val="center"/>
            </w:pPr>
            <w:r>
              <w:rPr>
                <w:rFonts w:ascii="Times New Roman" w:cs="Times New Roman" w:eastAsia="Times New Roman" w:hAnsi="Times New Roman"/>
                <w:b/>
                <w:bCs/>
                <w:color w:val="FFFFFF"/>
                <w:sz w:val="20"/>
                <w:szCs w:val="20"/>
              </w:rPr>
              <w:t xml:space="preserve">Stage</w:t>
            </w:r>
          </w:p>
        </w:tc>
        <w:tc>
          <w:tcPr>
            <w:tcW w:type="dxa" w:w="4000"/>
            <w:shd w:fill="1F3864" w:val="clear"/>
            <w:vAlign w:val="center"/>
          </w:tcPr>
          <w:p>
            <w:pPr>
              <w:jc w:val="center"/>
            </w:pPr>
            <w:r>
              <w:rPr>
                <w:rFonts w:ascii="Times New Roman" w:cs="Times New Roman" w:eastAsia="Times New Roman" w:hAnsi="Times New Roman"/>
                <w:b/>
                <w:bCs/>
                <w:color w:val="FFFFFF"/>
                <w:sz w:val="20"/>
                <w:szCs w:val="20"/>
              </w:rPr>
              <w:t xml:space="preserve">Drugs matched</w:t>
            </w:r>
          </w:p>
        </w:tc>
      </w:tr>
      <w:tr>
        <w:tc>
          <w:tcPr>
            <w:tcW w:type="dxa" w:w="4000"/>
            <w:vAlign w:val="center"/>
          </w:tcPr>
          <w:p>
            <w:r>
              <w:rPr>
                <w:rFonts w:ascii="Times New Roman" w:cs="Times New Roman" w:eastAsia="Times New Roman" w:hAnsi="Times New Roman"/>
                <w:sz w:val="20"/>
                <w:szCs w:val="20"/>
              </w:rPr>
              <w:t xml:space="preserve">Before correction</w:t>
            </w:r>
          </w:p>
        </w:tc>
        <w:tc>
          <w:tcPr>
            <w:tcW w:type="dxa" w:w="4000"/>
            <w:vAlign w:val="center"/>
          </w:tcPr>
          <w:p>
            <w:r>
              <w:rPr>
                <w:rFonts w:ascii="Times New Roman" w:cs="Times New Roman" w:eastAsia="Times New Roman" w:hAnsi="Times New Roman"/>
                <w:sz w:val="20"/>
                <w:szCs w:val="20"/>
              </w:rPr>
              <w:t xml:space="preserve">0 of 117</w:t>
            </w:r>
          </w:p>
        </w:tc>
      </w:tr>
      <w:tr>
        <w:tc>
          <w:tcPr>
            <w:tcW w:type="dxa" w:w="4000"/>
            <w:vAlign w:val="center"/>
          </w:tcPr>
          <w:p>
            <w:r>
              <w:rPr>
                <w:rFonts w:ascii="Times New Roman" w:cs="Times New Roman" w:eastAsia="Times New Roman" w:hAnsi="Times New Roman"/>
                <w:sz w:val="20"/>
                <w:szCs w:val="20"/>
              </w:rPr>
              <w:t xml:space="preserve">After correction</w:t>
            </w:r>
          </w:p>
        </w:tc>
        <w:tc>
          <w:tcPr>
            <w:tcW w:type="dxa" w:w="4000"/>
            <w:vAlign w:val="center"/>
          </w:tcPr>
          <w:p>
            <w:r>
              <w:rPr>
                <w:rFonts w:ascii="Times New Roman" w:cs="Times New Roman" w:eastAsia="Times New Roman" w:hAnsi="Times New Roman"/>
                <w:sz w:val="20"/>
                <w:szCs w:val="20"/>
              </w:rPr>
              <w:t xml:space="preserve">116 of 117</w:t>
            </w:r>
          </w:p>
        </w:tc>
      </w:tr>
    </w:tbl>
    <w:p>
      <w:pPr>
        <w:spacing w:after="200"/>
      </w:pPr>
      <w:r>
        <w:t xml:space="preserve"/>
      </w:r>
    </w:p>
    <w:p>
      <w:pPr>
        <w:spacing w:after="160" w:line="360" w:lineRule="auto"/>
      </w:pPr>
      <w:r>
        <w:rPr>
          <w:rFonts w:ascii="Times New Roman" w:cs="Times New Roman" w:eastAsia="Times New Roman" w:hAnsi="Times New Roman"/>
          <w:sz w:val="24"/>
          <w:szCs w:val="24"/>
        </w:rPr>
        <w:t xml:space="preserve">See Fig 5 in the main text for the cumulative effect of these three corrections, and S5 Fig below for the corresponding literature-mined drug candidate list.</w:t>
      </w:r>
    </w:p>
    <w:p>
      <w:pPr>
        <w:pStyle w:val="Heading1"/>
        <w:spacing w:after="140" w:before="320"/>
      </w:pPr>
      <w:r>
        <w:rPr>
          <w:rFonts w:ascii="Times New Roman" w:cs="Times New Roman" w:eastAsia="Times New Roman" w:hAnsi="Times New Roman"/>
          <w:b/>
          <w:bCs/>
          <w:sz w:val="28"/>
          <w:szCs w:val="28"/>
        </w:rPr>
        <w:t xml:space="preserve">S5. TNBC Subtyping Clustering Strategies</w:t>
      </w:r>
    </w:p>
    <w:p>
      <w:pPr>
        <w:spacing w:after="160" w:line="360" w:lineRule="auto"/>
      </w:pPr>
      <w:r>
        <w:rPr>
          <w:rFonts w:ascii="Times New Roman" w:cs="Times New Roman" w:eastAsia="Times New Roman" w:hAnsi="Times New Roman"/>
          <w:sz w:val="24"/>
          <w:szCs w:val="24"/>
        </w:rPr>
        <w:t xml:space="preserve">Three independently-designed, non-negative-matrix-factorization (NMF) clustering strategies were tested for Lehmann/Burstein-style TNBC intrinsic subtyping: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200"/>
      </w:tblGrid>
      <w:tr>
        <w:trPr>
          <w:tblHeader/>
        </w:trPr>
        <w:tc>
          <w:tcPr>
            <w:tcW w:type="dxa" w:w="2200"/>
            <w:shd w:fill="1F3864" w:val="clear"/>
            <w:vAlign w:val="center"/>
          </w:tcPr>
          <w:p>
            <w:pPr>
              <w:jc w:val="center"/>
            </w:pPr>
            <w:r>
              <w:rPr>
                <w:rFonts w:ascii="Times New Roman" w:cs="Times New Roman" w:eastAsia="Times New Roman" w:hAnsi="Times New Roman"/>
                <w:b/>
                <w:bCs/>
                <w:color w:val="FFFFFF"/>
                <w:sz w:val="20"/>
                <w:szCs w:val="20"/>
              </w:rPr>
              <w:t xml:space="preserve">Strategy</w:t>
            </w:r>
          </w:p>
        </w:tc>
        <w:tc>
          <w:tcPr>
            <w:tcW w:type="dxa" w:w="4400"/>
            <w:shd w:fill="1F3864" w:val="cle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2200"/>
            <w:shd w:fill="1F3864" w:val="clear"/>
            <w:vAlign w:val="center"/>
          </w:tcPr>
          <w:p>
            <w:pPr>
              <w:jc w:val="center"/>
            </w:pPr>
            <w:r>
              <w:rPr>
                <w:rFonts w:ascii="Times New Roman" w:cs="Times New Roman" w:eastAsia="Times New Roman" w:hAnsi="Times New Roman"/>
                <w:b/>
                <w:bCs/>
                <w:color w:val="FFFFFF"/>
                <w:sz w:val="20"/>
                <w:szCs w:val="20"/>
              </w:rPr>
              <w:t xml:space="preserve">Silhouette score</w:t>
            </w:r>
          </w:p>
        </w:tc>
      </w:tr>
      <w:tr>
        <w:tc>
          <w:tcPr>
            <w:tcW w:type="dxa" w:w="2200"/>
            <w:vAlign w:val="center"/>
          </w:tcPr>
          <w:p>
            <w:r>
              <w:rPr>
                <w:rFonts w:ascii="Times New Roman" w:cs="Times New Roman" w:eastAsia="Times New Roman" w:hAnsi="Times New Roman"/>
                <w:sz w:val="20"/>
                <w:szCs w:val="20"/>
              </w:rPr>
              <w:t xml:space="preserve">Strategy A</w:t>
            </w:r>
          </w:p>
        </w:tc>
        <w:tc>
          <w:tcPr>
            <w:tcW w:type="dxa" w:w="4400"/>
            <w:vAlign w:val="center"/>
          </w:tcPr>
          <w:p>
            <w:r>
              <w:rPr>
                <w:rFonts w:ascii="Times New Roman" w:cs="Times New Roman" w:eastAsia="Times New Roman" w:hAnsi="Times New Roman"/>
                <w:sz w:val="20"/>
                <w:szCs w:val="20"/>
              </w:rPr>
              <w:t xml:space="preserve">50-gene TNBC signature</w:t>
            </w:r>
          </w:p>
        </w:tc>
        <w:tc>
          <w:tcPr>
            <w:tcW w:type="dxa" w:w="2200"/>
            <w:vAlign w:val="center"/>
          </w:tcPr>
          <w:p>
            <w:r>
              <w:rPr>
                <w:rFonts w:ascii="Times New Roman" w:cs="Times New Roman" w:eastAsia="Times New Roman" w:hAnsi="Times New Roman"/>
                <w:sz w:val="20"/>
                <w:szCs w:val="20"/>
              </w:rPr>
              <w:t xml:space="preserve">0.070</w:t>
            </w:r>
          </w:p>
        </w:tc>
      </w:tr>
      <w:tr>
        <w:tc>
          <w:tcPr>
            <w:tcW w:type="dxa" w:w="2200"/>
            <w:vAlign w:val="center"/>
          </w:tcPr>
          <w:p>
            <w:r>
              <w:rPr>
                <w:rFonts w:ascii="Times New Roman" w:cs="Times New Roman" w:eastAsia="Times New Roman" w:hAnsi="Times New Roman"/>
                <w:sz w:val="20"/>
                <w:szCs w:val="20"/>
              </w:rPr>
              <w:t xml:space="preserve">Strategy B</w:t>
            </w:r>
          </w:p>
        </w:tc>
        <w:tc>
          <w:tcPr>
            <w:tcW w:type="dxa" w:w="4400"/>
            <w:vAlign w:val="center"/>
          </w:tcPr>
          <w:p>
            <w:r>
              <w:rPr>
                <w:rFonts w:ascii="Times New Roman" w:cs="Times New Roman" w:eastAsia="Times New Roman" w:hAnsi="Times New Roman"/>
                <w:sz w:val="20"/>
                <w:szCs w:val="20"/>
              </w:rPr>
              <w:t xml:space="preserve">200-gene variance-filtered</w:t>
            </w:r>
          </w:p>
        </w:tc>
        <w:tc>
          <w:tcPr>
            <w:tcW w:type="dxa" w:w="2200"/>
            <w:vAlign w:val="center"/>
          </w:tcPr>
          <w:p>
            <w:r>
              <w:rPr>
                <w:rFonts w:ascii="Times New Roman" w:cs="Times New Roman" w:eastAsia="Times New Roman" w:hAnsi="Times New Roman"/>
                <w:sz w:val="20"/>
                <w:szCs w:val="20"/>
              </w:rPr>
              <w:t xml:space="preserve">0.058</w:t>
            </w:r>
          </w:p>
        </w:tc>
      </w:tr>
      <w:tr>
        <w:tc>
          <w:tcPr>
            <w:tcW w:type="dxa" w:w="2200"/>
            <w:vAlign w:val="center"/>
          </w:tcPr>
          <w:p>
            <w:r>
              <w:rPr>
                <w:rFonts w:ascii="Times New Roman" w:cs="Times New Roman" w:eastAsia="Times New Roman" w:hAnsi="Times New Roman"/>
                <w:sz w:val="20"/>
                <w:szCs w:val="20"/>
              </w:rPr>
              <w:t xml:space="preserve">Strategy C</w:t>
            </w:r>
          </w:p>
        </w:tc>
        <w:tc>
          <w:tcPr>
            <w:tcW w:type="dxa" w:w="4400"/>
            <w:vAlign w:val="center"/>
          </w:tcPr>
          <w:p>
            <w:r>
              <w:rPr>
                <w:rFonts w:ascii="Times New Roman" w:cs="Times New Roman" w:eastAsia="Times New Roman" w:hAnsi="Times New Roman"/>
                <w:sz w:val="20"/>
                <w:szCs w:val="20"/>
              </w:rPr>
              <w:t xml:space="preserve">500-gene pathway-restricted</w:t>
            </w:r>
          </w:p>
        </w:tc>
        <w:tc>
          <w:tcPr>
            <w:tcW w:type="dxa" w:w="2200"/>
            <w:vAlign w:val="center"/>
          </w:tcPr>
          <w:p>
            <w:r>
              <w:rPr>
                <w:rFonts w:ascii="Times New Roman" w:cs="Times New Roman" w:eastAsia="Times New Roman" w:hAnsi="Times New Roman"/>
                <w:sz w:val="20"/>
                <w:szCs w:val="20"/>
              </w:rPr>
              <w:t xml:space="preserve">0.025</w:t>
            </w:r>
          </w:p>
        </w:tc>
      </w:tr>
    </w:tbl>
    <w:p>
      <w:pPr>
        <w:spacing w:after="200"/>
      </w:pPr>
      <w:r>
        <w:t xml:space="preserve"/>
      </w:r>
    </w:p>
    <w:p>
      <w:pPr>
        <w:spacing w:after="160" w:line="360" w:lineRule="auto"/>
      </w:pPr>
      <w:r>
        <w:rPr>
          <w:rFonts w:ascii="Times New Roman" w:cs="Times New Roman" w:eastAsia="Times New Roman" w:hAnsi="Times New Roman"/>
          <w:sz w:val="24"/>
          <w:szCs w:val="24"/>
        </w:rPr>
        <w:t xml:space="preserve">As discussed in the main text, all three methodologically distinct strategies converge on weak cluster separation, which we interpret as a genuine property of this cohort's bulk expression data rather than a fixable defect in any single method. See Fig 3 in the main text for the corresponding silhouette-score comparison.</w:t>
      </w:r>
    </w:p>
    <w:p>
      <w:pPr>
        <w:pStyle w:val="Heading1"/>
        <w:spacing w:after="140" w:before="320"/>
      </w:pPr>
      <w:r>
        <w:rPr>
          <w:rFonts w:ascii="Times New Roman" w:cs="Times New Roman" w:eastAsia="Times New Roman" w:hAnsi="Times New Roman"/>
          <w:b/>
          <w:bCs/>
          <w:sz w:val="28"/>
          <w:szCs w:val="28"/>
        </w:rPr>
        <w:t xml:space="preserve">S6. Memory-Safe TCGA Loader</w:t>
      </w:r>
    </w:p>
    <w:p>
      <w:pPr>
        <w:spacing w:after="160" w:line="360" w:lineRule="auto"/>
      </w:pPr>
      <w:r>
        <w:rPr>
          <w:rFonts w:ascii="Times New Roman" w:cs="Times New Roman" w:eastAsia="Times New Roman" w:hAnsi="Times New Roman"/>
          <w:sz w:val="24"/>
          <w:szCs w:val="24"/>
        </w:rPr>
        <w:t xml:space="preserve">Rather than loading all 1,231 raw STAR-Counts expression files into memory at once, a memory-safe implementation processes each file individually and appends its extracted values to disk-backed storage. This eliminated the memory-exhaustion crashes encountered when assembling the full transcriptome via the standard R-based GDCprepare() pathway, described in the main text's Data-Integrity Findings subsection.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2026-07-27T22:54:59.106Z</dcterms:created>
  <dcterms:modified xsi:type="dcterms:W3CDTF">2026-07-27T22:54:59.121Z</dcterms:modified>
</cp:coreProperties>
</file>

<file path=docProps/custom.xml><?xml version="1.0" encoding="utf-8"?>
<Properties xmlns="http://schemas.openxmlformats.org/officeDocument/2006/custom-properties" xmlns:vt="http://schemas.openxmlformats.org/officeDocument/2006/docPropsVTypes"/>
</file>